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E1806" w14:paraId="51145371" w14:textId="1D40E56B">
      <w:pPr>
        <w:spacing w:before="120" w:after="240"/>
        <w:rPr>
          <w:b/>
          <w:sz w:val="24"/>
        </w:rPr>
      </w:pPr>
    </w:p>
    <w:p w:rsidR="669AF986" w:rsidP="669AF986" w14:paraId="79A44A5D" w14:textId="607D7AE7">
      <w:pPr>
        <w:jc w:val="right"/>
        <w:rPr>
          <w:b/>
          <w:bCs/>
          <w:sz w:val="24"/>
          <w:szCs w:val="24"/>
        </w:rPr>
      </w:pPr>
      <w:bookmarkStart w:id="0" w:name="_Hlk106180427"/>
      <w:r w:rsidRPr="669AF986">
        <w:rPr>
          <w:b/>
          <w:bCs/>
          <w:sz w:val="24"/>
          <w:szCs w:val="24"/>
        </w:rPr>
        <w:t>DA 22-</w:t>
      </w:r>
      <w:r w:rsidR="001F7ED4">
        <w:rPr>
          <w:b/>
          <w:bCs/>
          <w:sz w:val="24"/>
          <w:szCs w:val="24"/>
        </w:rPr>
        <w:t>639</w:t>
      </w:r>
    </w:p>
    <w:bookmarkEnd w:id="0"/>
    <w:p w:rsidR="19A20B7B" w:rsidP="62140736" w14:paraId="728F7DB7" w14:textId="5A121FB4">
      <w:pPr>
        <w:jc w:val="right"/>
      </w:pPr>
      <w:r w:rsidRPr="62140736">
        <w:rPr>
          <w:b/>
          <w:bCs/>
          <w:sz w:val="24"/>
          <w:szCs w:val="24"/>
        </w:rPr>
        <w:t>Enforcement Advisory No. 2022-03</w:t>
      </w:r>
    </w:p>
    <w:p w:rsidR="00302F62" w:rsidP="669AF986" w14:paraId="25910742" w14:textId="77777777">
      <w:pPr>
        <w:spacing w:before="60"/>
        <w:jc w:val="right"/>
        <w:rPr>
          <w:b/>
          <w:sz w:val="24"/>
          <w:szCs w:val="24"/>
        </w:rPr>
      </w:pPr>
      <w:r w:rsidRPr="669AF986">
        <w:rPr>
          <w:b/>
          <w:bCs/>
          <w:sz w:val="24"/>
          <w:szCs w:val="24"/>
        </w:rPr>
        <w:t>Released: June 15, 2022</w:t>
      </w:r>
    </w:p>
    <w:p w:rsidR="00302F62" w:rsidP="28B80074" w14:paraId="338626DC" w14:textId="7B3D94E8">
      <w:pPr>
        <w:spacing w:before="60"/>
        <w:jc w:val="right"/>
        <w:rPr>
          <w:b/>
          <w:bCs/>
          <w:szCs w:val="22"/>
        </w:rPr>
      </w:pPr>
    </w:p>
    <w:p w:rsidR="00302F62" w:rsidP="00F234F3" w14:paraId="6F9B990B" w14:textId="1BB6FA7A">
      <w:pPr>
        <w:spacing w:after="240"/>
        <w:jc w:val="center"/>
      </w:pPr>
      <w:r>
        <w:rPr>
          <w:noProof/>
          <w:color w:val="2B579A"/>
          <w:shd w:val="clear" w:color="auto" w:fill="E6E6E6"/>
        </w:rPr>
        <w:drawing>
          <wp:inline distT="0" distB="0" distL="0" distR="0">
            <wp:extent cx="4572000" cy="523875"/>
            <wp:effectExtent l="0" t="0" r="0" b="0"/>
            <wp:docPr id="1715586217" name="Picture 1715586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586217" name=""/>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4572000" cy="523875"/>
                    </a:xfrm>
                    <a:prstGeom prst="rect">
                      <a:avLst/>
                    </a:prstGeom>
                  </pic:spPr>
                </pic:pic>
              </a:graphicData>
            </a:graphic>
          </wp:inline>
        </w:drawing>
      </w:r>
    </w:p>
    <w:p w:rsidR="00AE1806" w14:paraId="20B9D9DC" w14:textId="493D67ED">
      <w:pPr>
        <w:spacing w:after="240"/>
        <w:jc w:val="center"/>
        <w:rPr>
          <w:rFonts w:ascii="Times New Roman Bold" w:hAnsi="Times New Roman Bold"/>
          <w:b/>
          <w:caps/>
          <w:sz w:val="24"/>
          <w:szCs w:val="24"/>
        </w:rPr>
      </w:pPr>
      <w:r w:rsidRPr="2E2FF330">
        <w:rPr>
          <w:rFonts w:ascii="Times New Roman Bold" w:hAnsi="Times New Roman Bold"/>
          <w:b/>
          <w:caps/>
          <w:sz w:val="24"/>
          <w:szCs w:val="24"/>
        </w:rPr>
        <w:t xml:space="preserve">ALL </w:t>
      </w:r>
      <w:r w:rsidRPr="2E2FF330" w:rsidR="00B24ECF">
        <w:rPr>
          <w:rFonts w:ascii="Times New Roman Bold" w:hAnsi="Times New Roman Bold"/>
          <w:b/>
          <w:caps/>
          <w:sz w:val="24"/>
          <w:szCs w:val="24"/>
        </w:rPr>
        <w:t xml:space="preserve">Facilities-based broadband </w:t>
      </w:r>
      <w:r w:rsidRPr="2E2FF330" w:rsidR="000E206F">
        <w:rPr>
          <w:rFonts w:ascii="Times New Roman Bold" w:hAnsi="Times New Roman Bold"/>
          <w:b/>
          <w:caps/>
          <w:sz w:val="24"/>
          <w:szCs w:val="24"/>
        </w:rPr>
        <w:t xml:space="preserve">Internet </w:t>
      </w:r>
      <w:r w:rsidRPr="2E2FF330" w:rsidR="00B24ECF">
        <w:rPr>
          <w:rFonts w:ascii="Times New Roman Bold" w:hAnsi="Times New Roman Bold"/>
          <w:b/>
          <w:caps/>
          <w:sz w:val="24"/>
          <w:szCs w:val="24"/>
        </w:rPr>
        <w:t xml:space="preserve">Access </w:t>
      </w:r>
      <w:r w:rsidRPr="2E2FF330" w:rsidR="00206725">
        <w:rPr>
          <w:rFonts w:ascii="Times New Roman Bold" w:hAnsi="Times New Roman Bold"/>
          <w:b/>
          <w:caps/>
          <w:sz w:val="24"/>
          <w:szCs w:val="24"/>
        </w:rPr>
        <w:t>service providers must timely file complete and accurate data in the Broadband Data Collection</w:t>
      </w:r>
    </w:p>
    <w:p w:rsidR="00AE1806" w14:paraId="14E798AD" w14:textId="1593C1F1">
      <w:pPr>
        <w:spacing w:after="240"/>
        <w:jc w:val="center"/>
        <w:rPr>
          <w:b/>
          <w:sz w:val="24"/>
        </w:rPr>
      </w:pPr>
      <w:r>
        <w:rPr>
          <w:b/>
          <w:sz w:val="24"/>
        </w:rPr>
        <w:t>Broadband Data Collection Filings Due by September 1, 2022</w:t>
      </w:r>
    </w:p>
    <w:p w:rsidR="00AE1806" w14:paraId="13D8F0D4" w14:textId="73C576F2">
      <w:pPr>
        <w:jc w:val="center"/>
        <w:rPr>
          <w:b/>
          <w:sz w:val="24"/>
        </w:rPr>
      </w:pPr>
      <w:r>
        <w:rPr>
          <w:b/>
          <w:sz w:val="24"/>
        </w:rPr>
        <w:t>WC Docket Nos. 19-195, 11-10</w:t>
      </w:r>
    </w:p>
    <w:p w:rsidR="00AE1806" w14:paraId="049BAF8A" w14:textId="77777777">
      <w:bookmarkStart w:id="1" w:name="TOChere"/>
    </w:p>
    <w:p w:rsidR="00B670B5" w:rsidP="001D3551" w14:paraId="163D3BE8" w14:textId="78AE91FA">
      <w:pPr>
        <w:widowControl/>
      </w:pPr>
      <w:r>
        <w:t xml:space="preserve">The Enforcement Bureau issues this Advisory to </w:t>
      </w:r>
      <w:r w:rsidR="00AD6290">
        <w:t xml:space="preserve">remind </w:t>
      </w:r>
      <w:r w:rsidR="00360B59">
        <w:t xml:space="preserve">all </w:t>
      </w:r>
      <w:r w:rsidR="00AD6290">
        <w:t>facilities</w:t>
      </w:r>
      <w:r w:rsidR="006757F8">
        <w:t>-</w:t>
      </w:r>
      <w:r w:rsidR="00AD6290">
        <w:t xml:space="preserve">based providers of fixed </w:t>
      </w:r>
      <w:r w:rsidR="00945ECA">
        <w:t xml:space="preserve">or </w:t>
      </w:r>
      <w:r w:rsidR="00AD6290">
        <w:t xml:space="preserve">mobile broadband internet access </w:t>
      </w:r>
      <w:r w:rsidR="003556BC">
        <w:t xml:space="preserve">service </w:t>
      </w:r>
      <w:r w:rsidR="00AD6290">
        <w:t xml:space="preserve">of their duty to </w:t>
      </w:r>
      <w:r w:rsidR="003556BC">
        <w:t xml:space="preserve">timely </w:t>
      </w:r>
      <w:r w:rsidR="00AD6290">
        <w:t>file complete and accurate data in the Broadband Data Collection (BDC)</w:t>
      </w:r>
      <w:r w:rsidR="0003277C">
        <w:t xml:space="preserve"> on a biannual basis</w:t>
      </w:r>
      <w:r w:rsidR="00AD6290">
        <w:t>.</w:t>
      </w:r>
      <w:r>
        <w:rPr>
          <w:rStyle w:val="FootnoteReference"/>
        </w:rPr>
        <w:footnoteReference w:id="3"/>
      </w:r>
      <w:r w:rsidR="00AD6290">
        <w:t xml:space="preserve">  </w:t>
      </w:r>
      <w:r w:rsidR="003556BC">
        <w:t>Providers</w:t>
      </w:r>
      <w:r w:rsidR="00F31254">
        <w:t xml:space="preserve"> may begin submitting their data on June 30, 2022</w:t>
      </w:r>
      <w:r w:rsidR="00C979E0">
        <w:t>,</w:t>
      </w:r>
      <w:r w:rsidR="00F31254">
        <w:t xml:space="preserve"> and must complete their submissions </w:t>
      </w:r>
      <w:r w:rsidRPr="00EA18A2" w:rsidR="00F31254">
        <w:rPr>
          <w:b/>
          <w:bCs/>
        </w:rPr>
        <w:t>no later than September 1, 2022</w:t>
      </w:r>
      <w:r w:rsidR="00F31254">
        <w:t>.</w:t>
      </w:r>
      <w:r>
        <w:rPr>
          <w:rStyle w:val="FootnoteReference"/>
        </w:rPr>
        <w:footnoteReference w:id="4"/>
      </w:r>
      <w:r w:rsidR="00F31254">
        <w:t xml:space="preserve">  </w:t>
      </w:r>
      <w:r w:rsidR="00AD6290">
        <w:t xml:space="preserve">This Advisory highlights the BDC filing </w:t>
      </w:r>
      <w:r w:rsidR="0084689C">
        <w:t>obligations</w:t>
      </w:r>
      <w:r w:rsidR="00AD6290">
        <w:t xml:space="preserve"> and reiterate</w:t>
      </w:r>
      <w:r w:rsidR="00EA18A2">
        <w:t>s</w:t>
      </w:r>
      <w:r w:rsidR="00AD6290">
        <w:t xml:space="preserve"> that </w:t>
      </w:r>
      <w:r w:rsidR="00FD4F76">
        <w:t xml:space="preserve">a </w:t>
      </w:r>
      <w:r w:rsidR="00AD6290">
        <w:t>failure to timely file</w:t>
      </w:r>
      <w:r w:rsidR="00EA18A2">
        <w:t xml:space="preserve"> the</w:t>
      </w:r>
      <w:r w:rsidR="00AD6290">
        <w:t xml:space="preserve"> required dat</w:t>
      </w:r>
      <w:r w:rsidR="00EA18A2">
        <w:t xml:space="preserve">a </w:t>
      </w:r>
      <w:r w:rsidR="00AD6290">
        <w:t xml:space="preserve">in the new BDC system may lead to enforcement action and/or penalties as set forth in the Communications Act </w:t>
      </w:r>
      <w:r w:rsidR="00B000FD">
        <w:t xml:space="preserve">of 1934, as amended, </w:t>
      </w:r>
      <w:r w:rsidR="00AD6290">
        <w:t>and other applicable laws, absent circumstances beyond a filer’s control.</w:t>
      </w:r>
      <w:r>
        <w:rPr>
          <w:rStyle w:val="FootnoteReference"/>
        </w:rPr>
        <w:footnoteReference w:id="5"/>
      </w:r>
    </w:p>
    <w:p w:rsidR="00AD6290" w:rsidP="001D3551" w14:paraId="4D3CC4D5" w14:textId="2F57FCBE">
      <w:pPr>
        <w:widowControl/>
      </w:pPr>
    </w:p>
    <w:p w:rsidR="00AD6290" w:rsidP="001D3551" w14:paraId="5D87C4F0" w14:textId="7FF669F6">
      <w:pPr>
        <w:widowControl/>
      </w:pPr>
      <w:r>
        <w:t>The BDC consists of a set of interrelated systems and processes to collect, validate, and publish complete, granular, and reliable data on broadband availability nationwide.</w:t>
      </w:r>
      <w:r>
        <w:rPr>
          <w:rStyle w:val="FootnoteReference"/>
        </w:rPr>
        <w:footnoteReference w:id="6"/>
      </w:r>
      <w:r>
        <w:t xml:space="preserve">  </w:t>
      </w:r>
      <w:r w:rsidR="00F31254">
        <w:t xml:space="preserve">Federal and state policymakers, in </w:t>
      </w:r>
      <w:r w:rsidR="00F31254">
        <w:t xml:space="preserve">addition to the general public, have an urgent and compelling need for these </w:t>
      </w:r>
      <w:r w:rsidR="00A854C4">
        <w:t xml:space="preserve">broadband availability </w:t>
      </w:r>
      <w:r w:rsidR="00F31254">
        <w:t xml:space="preserve">data, particularly given </w:t>
      </w:r>
      <w:r w:rsidR="00AA2DAE">
        <w:t>that</w:t>
      </w:r>
      <w:r w:rsidR="00F31254">
        <w:t xml:space="preserve"> they are a prerequisite to the distribution of broadband deployment funds made available </w:t>
      </w:r>
      <w:r w:rsidR="00BF3D28">
        <w:t xml:space="preserve">through </w:t>
      </w:r>
      <w:r w:rsidR="00946338">
        <w:t xml:space="preserve">various funding programs, including most recently funds appropriated </w:t>
      </w:r>
      <w:r w:rsidR="00F31254">
        <w:t>by Congress in the Infrastructure Investment and Jobs Act (IIJA).</w:t>
      </w:r>
      <w:r>
        <w:rPr>
          <w:rStyle w:val="FootnoteReference"/>
        </w:rPr>
        <w:footnoteReference w:id="7"/>
      </w:r>
      <w:r w:rsidR="008E20A2">
        <w:t xml:space="preserve">  </w:t>
      </w:r>
      <w:r w:rsidR="00D05E72">
        <w:t xml:space="preserve">Further, as </w:t>
      </w:r>
      <w:r w:rsidR="00CB5554">
        <w:t>the National Telecommunications and Information Administration (</w:t>
      </w:r>
      <w:r w:rsidR="00D05E72">
        <w:t>NTIA</w:t>
      </w:r>
      <w:r w:rsidR="00CB5554">
        <w:t>)</w:t>
      </w:r>
      <w:r w:rsidR="00D05E72">
        <w:t xml:space="preserve"> </w:t>
      </w:r>
      <w:r w:rsidR="00247744">
        <w:t>stated</w:t>
      </w:r>
      <w:r w:rsidR="00D05E72">
        <w:t xml:space="preserve"> in its recently released Notice of Funding Opportunity for the Broadband Equity</w:t>
      </w:r>
      <w:r w:rsidR="00247744">
        <w:t xml:space="preserve">, Access, and Deployment Program, </w:t>
      </w:r>
      <w:r w:rsidR="007B5EAF">
        <w:t xml:space="preserve">a </w:t>
      </w:r>
      <w:r w:rsidR="006C3FA1">
        <w:t xml:space="preserve">prospective </w:t>
      </w:r>
      <w:r w:rsidR="007B5EAF">
        <w:t xml:space="preserve">subgrantee </w:t>
      </w:r>
      <w:r w:rsidR="004609DB">
        <w:t xml:space="preserve">that has provided a voice and/or broadband service and </w:t>
      </w:r>
      <w:r w:rsidR="006C3FA1">
        <w:t>seek</w:t>
      </w:r>
      <w:r w:rsidR="004609DB">
        <w:t>s</w:t>
      </w:r>
      <w:r w:rsidR="006C3FA1">
        <w:t xml:space="preserve"> to receive deployment funds</w:t>
      </w:r>
      <w:r w:rsidR="00C35225">
        <w:t xml:space="preserve"> through the program</w:t>
      </w:r>
      <w:r w:rsidR="006C3FA1">
        <w:t xml:space="preserve"> “must certify that </w:t>
      </w:r>
      <w:r w:rsidR="00F02A97">
        <w:t>it has</w:t>
      </w:r>
      <w:r w:rsidR="006C3FA1">
        <w:t xml:space="preserve"> timely filed Commission Form 477s and the Broadband DATA Act submission . . . and otherwise </w:t>
      </w:r>
      <w:r w:rsidR="00F02A97">
        <w:t>has</w:t>
      </w:r>
      <w:r w:rsidR="006C3FA1">
        <w:t xml:space="preserve"> complied with </w:t>
      </w:r>
      <w:r w:rsidR="00D206AD">
        <w:t xml:space="preserve">the </w:t>
      </w:r>
      <w:r w:rsidR="006C3FA1">
        <w:t>Commission’s rules and regulations.”</w:t>
      </w:r>
      <w:r>
        <w:rPr>
          <w:rStyle w:val="FootnoteReference"/>
        </w:rPr>
        <w:footnoteReference w:id="8"/>
      </w:r>
      <w:r w:rsidRPr="00247744" w:rsidR="00D05E72">
        <w:t xml:space="preserve"> </w:t>
      </w:r>
      <w:r w:rsidR="001C16D5">
        <w:t xml:space="preserve"> Accordingly, </w:t>
      </w:r>
      <w:r w:rsidR="002C588C">
        <w:t xml:space="preserve">it is critical that all providers subject to BDC filing </w:t>
      </w:r>
      <w:r w:rsidR="00884152">
        <w:t xml:space="preserve">requirements timely file accurate </w:t>
      </w:r>
      <w:r w:rsidR="0041002C">
        <w:t xml:space="preserve">and comprehensive data </w:t>
      </w:r>
      <w:r w:rsidR="00CB7E56">
        <w:t>on the availability of their services</w:t>
      </w:r>
      <w:r w:rsidR="002050DE">
        <w:t>.  T</w:t>
      </w:r>
      <w:r w:rsidR="000D70AA">
        <w:t xml:space="preserve">he </w:t>
      </w:r>
      <w:r w:rsidR="00CB7E56">
        <w:t>Enforcement Bureau</w:t>
      </w:r>
      <w:r w:rsidR="00B83003">
        <w:t>, working with the</w:t>
      </w:r>
      <w:r w:rsidR="006E4BF2">
        <w:t xml:space="preserve"> Broadband Data Task Force,</w:t>
      </w:r>
      <w:r w:rsidR="009E0040">
        <w:t xml:space="preserve"> the</w:t>
      </w:r>
      <w:r w:rsidR="00B83003">
        <w:t xml:space="preserve"> Office of Economics and Analytics, the Wireline Competition Bureau</w:t>
      </w:r>
      <w:r w:rsidR="0077594E">
        <w:t>,</w:t>
      </w:r>
      <w:r w:rsidR="00B83003">
        <w:t xml:space="preserve"> and the </w:t>
      </w:r>
      <w:r w:rsidR="00940824">
        <w:t>Wireless Telecommunications Bureau</w:t>
      </w:r>
      <w:r w:rsidR="00CB7E56">
        <w:t xml:space="preserve"> </w:t>
      </w:r>
      <w:r w:rsidR="00650C52">
        <w:t xml:space="preserve">will </w:t>
      </w:r>
      <w:r w:rsidR="003503B4">
        <w:t>monitor</w:t>
      </w:r>
      <w:r w:rsidR="002050DE">
        <w:t xml:space="preserve"> </w:t>
      </w:r>
      <w:r w:rsidR="003503B4">
        <w:t xml:space="preserve">compliance and take action where necessary </w:t>
      </w:r>
      <w:r w:rsidR="002050DE">
        <w:t>to</w:t>
      </w:r>
      <w:r w:rsidR="00940824">
        <w:t xml:space="preserve"> </w:t>
      </w:r>
      <w:r w:rsidR="005D446B">
        <w:t xml:space="preserve">support the </w:t>
      </w:r>
      <w:r w:rsidR="005F4A5F">
        <w:t xml:space="preserve">success </w:t>
      </w:r>
      <w:r w:rsidR="005D446B">
        <w:t>of the BDC.</w:t>
      </w:r>
    </w:p>
    <w:p w:rsidR="003A7F04" w:rsidP="001D3551" w14:paraId="37221784" w14:textId="77777777">
      <w:pPr>
        <w:widowControl/>
      </w:pPr>
    </w:p>
    <w:p w:rsidR="0089544F" w:rsidRPr="00360B59" w:rsidP="001D3551" w14:paraId="5A61335F" w14:textId="3CE71612">
      <w:pPr>
        <w:widowControl/>
      </w:pPr>
      <w:r w:rsidRPr="006F1EE1">
        <w:rPr>
          <w:b/>
          <w:bCs/>
        </w:rPr>
        <w:t>Entities Required to File in the Broadband Data Collection.</w:t>
      </w:r>
      <w:r>
        <w:rPr>
          <w:rStyle w:val="FootnoteReference"/>
          <w:b/>
          <w:bCs/>
        </w:rPr>
        <w:footnoteReference w:id="9"/>
      </w:r>
      <w:r w:rsidR="00360B59">
        <w:rPr>
          <w:b/>
          <w:bCs/>
        </w:rPr>
        <w:t xml:space="preserve">  </w:t>
      </w:r>
      <w:r w:rsidR="00360B59">
        <w:t xml:space="preserve">All </w:t>
      </w:r>
      <w:r w:rsidR="009C73B7">
        <w:t xml:space="preserve">facilities-based providers of fixed </w:t>
      </w:r>
      <w:r w:rsidR="00F84EFF">
        <w:t xml:space="preserve">or </w:t>
      </w:r>
      <w:r w:rsidR="009C73B7">
        <w:t xml:space="preserve">mobile broadband internet access </w:t>
      </w:r>
      <w:r w:rsidR="00A566E7">
        <w:t xml:space="preserve">service </w:t>
      </w:r>
      <w:r w:rsidR="005F64FA">
        <w:t>who have one or more end user connection</w:t>
      </w:r>
      <w:r w:rsidR="00E3270C">
        <w:t>s</w:t>
      </w:r>
      <w:r w:rsidR="005F64FA">
        <w:t xml:space="preserve"> in service on June 30, 2022</w:t>
      </w:r>
      <w:r w:rsidR="00B15BC2">
        <w:t>,</w:t>
      </w:r>
      <w:r w:rsidR="005F64FA">
        <w:t xml:space="preserve"> must file </w:t>
      </w:r>
      <w:r w:rsidR="000F1E88">
        <w:t xml:space="preserve">BDC data </w:t>
      </w:r>
      <w:r w:rsidR="005F64FA">
        <w:t>no later than September 1, 2022.</w:t>
      </w:r>
      <w:r>
        <w:rPr>
          <w:rStyle w:val="FootnoteReference"/>
        </w:rPr>
        <w:footnoteReference w:id="10"/>
      </w:r>
      <w:r w:rsidR="005F64FA">
        <w:t xml:space="preserve"> </w:t>
      </w:r>
      <w:r w:rsidR="006C6DAA">
        <w:t xml:space="preserve"> </w:t>
      </w:r>
      <w:r w:rsidR="00CB5554">
        <w:t>A</w:t>
      </w:r>
      <w:r w:rsidR="009C73B7">
        <w:t xml:space="preserve">n entity is a facilities-based provider if it supplies </w:t>
      </w:r>
      <w:r w:rsidR="001C188B">
        <w:t>broadband</w:t>
      </w:r>
      <w:r w:rsidR="00482BAD">
        <w:t xml:space="preserve"> </w:t>
      </w:r>
      <w:r w:rsidR="009C73B7">
        <w:t>service using any of five types of facilities</w:t>
      </w:r>
      <w:r w:rsidR="00CB5554">
        <w:t xml:space="preserve"> enumerated in the Commission’s </w:t>
      </w:r>
      <w:r w:rsidR="00CB5554">
        <w:rPr>
          <w:i/>
          <w:iCs/>
        </w:rPr>
        <w:t>Third Report and Order</w:t>
      </w:r>
      <w:r w:rsidR="00CB5554">
        <w:t xml:space="preserve"> in the BDC proceeding</w:t>
      </w:r>
      <w:r w:rsidR="001C188B">
        <w:t>.</w:t>
      </w:r>
      <w:r>
        <w:rPr>
          <w:rStyle w:val="FootnoteReference"/>
        </w:rPr>
        <w:footnoteReference w:id="11"/>
      </w:r>
      <w:r w:rsidR="008A6E9E">
        <w:t xml:space="preserve"> </w:t>
      </w:r>
      <w:r w:rsidR="001C188B">
        <w:t xml:space="preserve"> T</w:t>
      </w:r>
      <w:r w:rsidR="00D14E94">
        <w:t>he Commission</w:t>
      </w:r>
      <w:r w:rsidR="00CB5554">
        <w:t xml:space="preserve"> </w:t>
      </w:r>
      <w:r w:rsidR="00D14E94">
        <w:t>adopted the definition of broadband internet</w:t>
      </w:r>
      <w:r w:rsidR="00ED3560">
        <w:t xml:space="preserve"> access</w:t>
      </w:r>
      <w:r w:rsidR="00D14E94">
        <w:t xml:space="preserve"> service in the Broadband DATA Act,</w:t>
      </w:r>
      <w:r>
        <w:rPr>
          <w:rStyle w:val="FootnoteReference"/>
        </w:rPr>
        <w:footnoteReference w:id="12"/>
      </w:r>
      <w:r w:rsidR="00D14E94">
        <w:t xml:space="preserve"> which adopts by reference the meaning given to that term in</w:t>
      </w:r>
      <w:r w:rsidR="00A854C4">
        <w:t xml:space="preserve"> section </w:t>
      </w:r>
      <w:r w:rsidR="00D14E94">
        <w:t>8.1</w:t>
      </w:r>
      <w:r w:rsidR="00A854C4">
        <w:t xml:space="preserve">(b) of </w:t>
      </w:r>
      <w:r w:rsidR="00F87483">
        <w:t>the Commission’s rules</w:t>
      </w:r>
      <w:r w:rsidR="001C188B">
        <w:t xml:space="preserve">, limiting the </w:t>
      </w:r>
      <w:r w:rsidR="00AA6F97">
        <w:t xml:space="preserve">BDC </w:t>
      </w:r>
      <w:r w:rsidR="001C188B">
        <w:t>requirement</w:t>
      </w:r>
      <w:r w:rsidR="00ED3560">
        <w:t xml:space="preserve">s </w:t>
      </w:r>
      <w:r w:rsidR="001C188B">
        <w:t xml:space="preserve">to providers of </w:t>
      </w:r>
      <w:r w:rsidR="004A5B5E">
        <w:t xml:space="preserve">mass-market retail service </w:t>
      </w:r>
      <w:r w:rsidR="00ED3560">
        <w:t>only</w:t>
      </w:r>
      <w:r w:rsidR="004A5B5E">
        <w:t>.</w:t>
      </w:r>
      <w:r>
        <w:rPr>
          <w:rStyle w:val="FootnoteReference"/>
        </w:rPr>
        <w:footnoteReference w:id="13"/>
      </w:r>
    </w:p>
    <w:p w:rsidR="00360B59" w:rsidP="001D3551" w14:paraId="6A2F3EA7" w14:textId="3183757E">
      <w:pPr>
        <w:widowControl/>
      </w:pPr>
    </w:p>
    <w:p w:rsidR="00F35A2A" w:rsidRPr="0043738D" w:rsidP="001D3551" w14:paraId="3B99D29F" w14:textId="5C23279E">
      <w:pPr>
        <w:widowControl/>
      </w:pPr>
      <w:r w:rsidRPr="006F1EE1">
        <w:rPr>
          <w:b/>
          <w:bCs/>
        </w:rPr>
        <w:t>How to File in the Broadband Data Collection.</w:t>
      </w:r>
      <w:r>
        <w:rPr>
          <w:b/>
          <w:bCs/>
        </w:rPr>
        <w:t xml:space="preserve">  </w:t>
      </w:r>
      <w:r>
        <w:t xml:space="preserve">Filers must submit data in the BDC system via file upload and/or web form.  Detailed specifications for the biannual BDC filings are available at </w:t>
      </w:r>
      <w:hyperlink r:id="rId6" w:anchor="data-specifications" w:history="1">
        <w:r w:rsidRPr="1F59B0FE" w:rsidR="27D61FDC">
          <w:rPr>
            <w:rStyle w:val="Hyperlink"/>
          </w:rPr>
          <w:t>https://www.fcc.gov/BroadbandData/resources#data-sp</w:t>
        </w:r>
        <w:r w:rsidRPr="1F59B0FE" w:rsidR="27D61FDC">
          <w:rPr>
            <w:rStyle w:val="Hyperlink"/>
          </w:rPr>
          <w:t>e</w:t>
        </w:r>
        <w:r w:rsidRPr="1F59B0FE" w:rsidR="27D61FDC">
          <w:rPr>
            <w:rStyle w:val="Hyperlink"/>
          </w:rPr>
          <w:t>cifications</w:t>
        </w:r>
      </w:hyperlink>
      <w:r>
        <w:t xml:space="preserve">.   </w:t>
      </w:r>
    </w:p>
    <w:p w:rsidR="00360B59" w:rsidP="001D3551" w14:paraId="1E9874B2" w14:textId="77777777">
      <w:pPr>
        <w:widowControl/>
        <w:rPr>
          <w:b/>
          <w:bCs/>
        </w:rPr>
      </w:pPr>
    </w:p>
    <w:p w:rsidR="00360B59" w:rsidP="001D3551" w14:paraId="46B1C9D5" w14:textId="460E2A2E">
      <w:pPr>
        <w:widowControl/>
      </w:pPr>
      <w:r>
        <w:t xml:space="preserve">Filers are encouraged to submit their data </w:t>
      </w:r>
      <w:r w:rsidR="003E1B22">
        <w:t xml:space="preserve">as </w:t>
      </w:r>
      <w:r>
        <w:t xml:space="preserve">early </w:t>
      </w:r>
      <w:r w:rsidR="003E1B22">
        <w:t xml:space="preserve">as possible </w:t>
      </w:r>
      <w:r>
        <w:t xml:space="preserve">in the filing window. </w:t>
      </w:r>
      <w:r w:rsidR="00483818">
        <w:t xml:space="preserve"> The BDC system include</w:t>
      </w:r>
      <w:r w:rsidR="00FA614E">
        <w:t>s</w:t>
      </w:r>
      <w:r w:rsidR="00483818">
        <w:t xml:space="preserve"> automatic checks and validations that will prevent filers from submitting data</w:t>
      </w:r>
      <w:r w:rsidR="00093664">
        <w:t xml:space="preserve"> with </w:t>
      </w:r>
      <w:r w:rsidR="00F865A7">
        <w:t xml:space="preserve">patent errors, </w:t>
      </w:r>
      <w:r w:rsidR="00F865A7">
        <w:t>such as reporting subscribers in an area with no service availability</w:t>
      </w:r>
      <w:r w:rsidR="00483818">
        <w:t xml:space="preserve">; filers must correct errors </w:t>
      </w:r>
      <w:r w:rsidRPr="3E52B3F8" w:rsidR="00483818">
        <w:rPr>
          <w:b/>
          <w:bCs/>
          <w:i/>
          <w:iCs/>
        </w:rPr>
        <w:t>prior</w:t>
      </w:r>
      <w:r w:rsidR="00483818">
        <w:t xml:space="preserve"> to submitting and certifying a BDC filing, which they must do before the filing deadline.  Filing early in the window will afford filers an opportunity to make any necessary corrections in advance of the deadline </w:t>
      </w:r>
      <w:r w:rsidR="000F1E88">
        <w:t>and</w:t>
      </w:r>
      <w:r w:rsidR="00483818">
        <w:t xml:space="preserve"> </w:t>
      </w:r>
      <w:r w:rsidR="000F1E88">
        <w:t>ensure</w:t>
      </w:r>
      <w:r w:rsidR="00483818">
        <w:t xml:space="preserve"> that their submission</w:t>
      </w:r>
      <w:r w:rsidR="00F238B5">
        <w:t>s are</w:t>
      </w:r>
      <w:r w:rsidR="00483818">
        <w:t xml:space="preserve"> </w:t>
      </w:r>
      <w:r w:rsidR="006D02A1">
        <w:t xml:space="preserve">accurate and </w:t>
      </w:r>
      <w:r w:rsidR="00483818">
        <w:t xml:space="preserve">timely filed.  </w:t>
      </w:r>
    </w:p>
    <w:p w:rsidR="00FE4276" w:rsidP="001D3551" w14:paraId="45DC5CE7" w14:textId="31E4F3F1">
      <w:pPr>
        <w:widowControl/>
      </w:pPr>
    </w:p>
    <w:p w:rsidR="00FE4276" w:rsidP="001D3551" w14:paraId="376F3F37" w14:textId="4F9CD865">
      <w:pPr>
        <w:widowControl/>
      </w:pPr>
      <w:r>
        <w:t xml:space="preserve">The </w:t>
      </w:r>
      <w:r w:rsidR="00BB7209">
        <w:t xml:space="preserve">Commission </w:t>
      </w:r>
      <w:r>
        <w:t xml:space="preserve">is providing various technical assistance resources to assist filers in preparing their biannual BDC </w:t>
      </w:r>
      <w:r w:rsidR="000F1E88">
        <w:t>submissions</w:t>
      </w:r>
      <w:r>
        <w:t xml:space="preserve">.  </w:t>
      </w:r>
      <w:r w:rsidR="008606E6">
        <w:t>S</w:t>
      </w:r>
      <w:r w:rsidR="00FC2738">
        <w:t xml:space="preserve">elf-help resources such as </w:t>
      </w:r>
      <w:r w:rsidR="00F83B2D">
        <w:t xml:space="preserve">data specifications, a </w:t>
      </w:r>
      <w:r w:rsidR="00FC2738">
        <w:t xml:space="preserve">user guide, video tutorials, and </w:t>
      </w:r>
      <w:r w:rsidR="00265AAD">
        <w:t>help articles</w:t>
      </w:r>
      <w:r w:rsidR="00FC2738">
        <w:t xml:space="preserve">, </w:t>
      </w:r>
      <w:r w:rsidR="008606E6">
        <w:t>as well as a</w:t>
      </w:r>
      <w:r w:rsidR="00265AAD">
        <w:t>n online</w:t>
      </w:r>
      <w:r w:rsidR="008606E6">
        <w:t xml:space="preserve"> </w:t>
      </w:r>
      <w:r w:rsidR="00265AAD">
        <w:t xml:space="preserve">form </w:t>
      </w:r>
      <w:r w:rsidR="008606E6">
        <w:t>to request additional support, can be found in</w:t>
      </w:r>
      <w:r w:rsidR="00FC2738">
        <w:t xml:space="preserve"> the BDC Help Center</w:t>
      </w:r>
      <w:r w:rsidR="0048569E">
        <w:t>,</w:t>
      </w:r>
      <w:r w:rsidR="00FC2738">
        <w:t xml:space="preserve"> </w:t>
      </w:r>
      <w:r w:rsidR="008606E6">
        <w:t>which filers can access though the BDC webpage at</w:t>
      </w:r>
      <w:r w:rsidR="00FC2738">
        <w:t xml:space="preserve"> </w:t>
      </w:r>
      <w:hyperlink r:id="rId7" w:history="1">
        <w:r w:rsidRPr="00E7727A" w:rsidR="00FC2738">
          <w:rPr>
            <w:rStyle w:val="Hyperlink"/>
          </w:rPr>
          <w:t>https://www.fcc.gov/BroadbandData</w:t>
        </w:r>
      </w:hyperlink>
      <w:r w:rsidR="00FC2738">
        <w:t xml:space="preserve">.  </w:t>
      </w:r>
      <w:r w:rsidR="0061514B">
        <w:t>P</w:t>
      </w:r>
      <w:r w:rsidR="00FC2738">
        <w:t xml:space="preserve">ursuant to the Broadband DATA Act, the </w:t>
      </w:r>
      <w:r w:rsidR="0098049A">
        <w:t xml:space="preserve">Commission </w:t>
      </w:r>
      <w:r w:rsidR="00FC2738">
        <w:t xml:space="preserve">has set up a process through which filers may request and receive assistance with geographic information system (GIS) data processing </w:t>
      </w:r>
      <w:r w:rsidR="001932E4">
        <w:t xml:space="preserve">and formatting </w:t>
      </w:r>
      <w:r w:rsidR="00FC2738">
        <w:t xml:space="preserve">to ensure that the </w:t>
      </w:r>
      <w:r w:rsidR="001932E4">
        <w:t xml:space="preserve">filer </w:t>
      </w:r>
      <w:r w:rsidR="0039084F">
        <w:t xml:space="preserve">can </w:t>
      </w:r>
      <w:r w:rsidR="00FC2738">
        <w:t xml:space="preserve">comply with the requirements </w:t>
      </w:r>
      <w:r w:rsidR="001932E4">
        <w:t>of the BDC</w:t>
      </w:r>
      <w:r w:rsidR="00FC2738">
        <w:t>.</w:t>
      </w:r>
      <w:r>
        <w:rPr>
          <w:rStyle w:val="FootnoteReference"/>
        </w:rPr>
        <w:footnoteReference w:id="14"/>
      </w:r>
      <w:r w:rsidR="008606E6">
        <w:t xml:space="preserve">  Such requests </w:t>
      </w:r>
      <w:r w:rsidR="0026529A">
        <w:t>should</w:t>
      </w:r>
      <w:r w:rsidR="008606E6">
        <w:t xml:space="preserve"> be submitted through the Help Center </w:t>
      </w:r>
      <w:r w:rsidR="00F76C1B">
        <w:t>on the BDC webpage.</w:t>
      </w:r>
    </w:p>
    <w:p w:rsidR="003A7F04" w:rsidP="001D3551" w14:paraId="06B9B464" w14:textId="1D4A1DD9">
      <w:pPr>
        <w:widowControl/>
      </w:pPr>
    </w:p>
    <w:p w:rsidR="005C1037" w:rsidP="001D3551" w14:paraId="1C367029" w14:textId="1C891358">
      <w:pPr>
        <w:widowControl/>
      </w:pPr>
      <w:r w:rsidRPr="006F1EE1">
        <w:rPr>
          <w:b/>
          <w:bCs/>
        </w:rPr>
        <w:t>Enforcement Authority.</w:t>
      </w:r>
      <w:r>
        <w:rPr>
          <w:b/>
          <w:bCs/>
        </w:rPr>
        <w:t xml:space="preserve">  </w:t>
      </w:r>
      <w:bookmarkStart w:id="2" w:name="_Hlk105496750"/>
      <w:r>
        <w:t>In addition to the Commission’s general enforcement authority in the Communications Act</w:t>
      </w:r>
      <w:r w:rsidR="004F0F2B">
        <w:t xml:space="preserve"> and other applicable laws</w:t>
      </w:r>
      <w:bookmarkEnd w:id="2"/>
      <w:r>
        <w:t>,</w:t>
      </w:r>
      <w:r>
        <w:rPr>
          <w:rStyle w:val="FootnoteReference"/>
        </w:rPr>
        <w:footnoteReference w:id="15"/>
      </w:r>
      <w:r>
        <w:t xml:space="preserve"> section 803 of the Broadband DATA Act makes it “unlawful for an entity or individual to willfully and knowingly, or recklessly, submit information or data under this title that is materially inaccurate or incomplete with respect to the availability of broadband internet access service or the quality of service with respect to broadband internet access service.”</w:t>
      </w:r>
      <w:r>
        <w:rPr>
          <w:rStyle w:val="FootnoteReference"/>
        </w:rPr>
        <w:footnoteReference w:id="16"/>
      </w:r>
      <w:r>
        <w:t xml:space="preserve">   </w:t>
      </w:r>
    </w:p>
    <w:p w:rsidR="001F18A8" w:rsidP="001D3551" w14:paraId="61E71324" w14:textId="78D62D08">
      <w:pPr>
        <w:widowControl/>
      </w:pPr>
    </w:p>
    <w:p w:rsidR="001F18A8" w:rsidP="001D3551" w14:paraId="4B8A8DC2" w14:textId="0BF81426">
      <w:pPr>
        <w:widowControl/>
      </w:pPr>
      <w:r>
        <w:t>The Commission</w:t>
      </w:r>
      <w:r w:rsidR="00F87483">
        <w:t xml:space="preserve">’s rules </w:t>
      </w:r>
      <w:r>
        <w:t>define “materially inaccurate or incomplete” as “a submission that contains omissions or incomplete or inaccurate information that the Commission finds has a substantial impact on its collection and use of the data collected” through the BDC.</w:t>
      </w:r>
      <w:r>
        <w:rPr>
          <w:rStyle w:val="FootnoteReference"/>
        </w:rPr>
        <w:footnoteReference w:id="17"/>
      </w:r>
      <w:r>
        <w:t xml:space="preserve">  The Commission </w:t>
      </w:r>
      <w:r w:rsidR="00DB1CBB">
        <w:t xml:space="preserve">has </w:t>
      </w:r>
      <w:r>
        <w:t xml:space="preserve">established a </w:t>
      </w:r>
      <w:r w:rsidR="00E946D7">
        <w:t>base forfeiture of $15,000</w:t>
      </w:r>
      <w:r>
        <w:t xml:space="preserve"> per violation for providers that file materially inaccurate or incomplete information</w:t>
      </w:r>
      <w:r w:rsidR="0061514B">
        <w:t xml:space="preserve"> in the BDC.</w:t>
      </w:r>
      <w:r>
        <w:rPr>
          <w:rStyle w:val="FootnoteReference"/>
        </w:rPr>
        <w:footnoteReference w:id="18"/>
      </w:r>
      <w:r w:rsidR="00A41398">
        <w:t xml:space="preserve">  </w:t>
      </w:r>
      <w:r w:rsidR="00206682">
        <w:t>If a provider discovers a</w:t>
      </w:r>
      <w:r w:rsidR="00871596">
        <w:t>ny</w:t>
      </w:r>
      <w:r w:rsidR="00206682">
        <w:t xml:space="preserve"> inaccuracy, omission, or significant </w:t>
      </w:r>
      <w:r w:rsidR="007D025B">
        <w:t xml:space="preserve">reporting </w:t>
      </w:r>
      <w:r w:rsidR="00206682">
        <w:t xml:space="preserve">error in the original data it </w:t>
      </w:r>
      <w:r w:rsidR="007D025B">
        <w:t>submitted</w:t>
      </w:r>
      <w:r w:rsidR="00206682">
        <w:t>, whether through self-discovery</w:t>
      </w:r>
      <w:r w:rsidR="007D025B">
        <w:t>,</w:t>
      </w:r>
      <w:r w:rsidR="00206682">
        <w:t xml:space="preserve"> the BDC challenge, crowdsourcing, or verification processes, </w:t>
      </w:r>
      <w:r w:rsidR="007D025B">
        <w:t>or otherwise</w:t>
      </w:r>
      <w:r w:rsidR="00E64FA2">
        <w:t xml:space="preserve">, </w:t>
      </w:r>
      <w:r w:rsidR="00206682">
        <w:t xml:space="preserve">that provider </w:t>
      </w:r>
      <w:r w:rsidR="00DA7F72">
        <w:t xml:space="preserve">is required to </w:t>
      </w:r>
      <w:r w:rsidR="00206682">
        <w:t xml:space="preserve">file corrected data within 30 days of </w:t>
      </w:r>
      <w:r w:rsidR="00B07047">
        <w:t xml:space="preserve">the </w:t>
      </w:r>
      <w:r w:rsidR="00206682">
        <w:t xml:space="preserve">discovery </w:t>
      </w:r>
      <w:r w:rsidR="00B07047">
        <w:t>or notification</w:t>
      </w:r>
      <w:r w:rsidR="00943D75">
        <w:t xml:space="preserve"> </w:t>
      </w:r>
      <w:r w:rsidR="00206682">
        <w:t>of the inaccuracy or omission</w:t>
      </w:r>
      <w:r w:rsidR="00943D75">
        <w:t>.</w:t>
      </w:r>
      <w:r>
        <w:rPr>
          <w:rStyle w:val="FootnoteReference"/>
        </w:rPr>
        <w:footnoteReference w:id="19"/>
      </w:r>
      <w:r w:rsidR="00943D75">
        <w:t xml:space="preserve">  In addition,</w:t>
      </w:r>
      <w:r w:rsidR="00206682">
        <w:t xml:space="preserve"> correct</w:t>
      </w:r>
      <w:r w:rsidR="007B00EE">
        <w:t>ed</w:t>
      </w:r>
      <w:r w:rsidR="00206682">
        <w:t xml:space="preserve"> filings must be accompanied by </w:t>
      </w:r>
      <w:r w:rsidR="00DB1CBB">
        <w:t>both corporate and engineering certification</w:t>
      </w:r>
      <w:r w:rsidR="00E64FA2">
        <w:t>s</w:t>
      </w:r>
      <w:r w:rsidR="00DB1CBB">
        <w:t>.</w:t>
      </w:r>
      <w:r>
        <w:rPr>
          <w:rStyle w:val="FootnoteReference"/>
        </w:rPr>
        <w:footnoteReference w:id="20"/>
      </w:r>
      <w:r w:rsidR="00DB1CBB">
        <w:t xml:space="preserve">  </w:t>
      </w:r>
      <w:r w:rsidR="00550AAF">
        <w:t xml:space="preserve">The </w:t>
      </w:r>
      <w:r w:rsidR="003B3F50">
        <w:t xml:space="preserve">requirement </w:t>
      </w:r>
      <w:r w:rsidR="00550AAF">
        <w:t>to file corrected data is</w:t>
      </w:r>
      <w:r w:rsidR="003B3F50">
        <w:t xml:space="preserve"> independent of the obligation to </w:t>
      </w:r>
      <w:r w:rsidR="000A09EC">
        <w:t xml:space="preserve">timely </w:t>
      </w:r>
      <w:r w:rsidR="003B3F50">
        <w:t>file accurate and complete</w:t>
      </w:r>
      <w:r w:rsidR="007C6E5F">
        <w:t xml:space="preserve"> </w:t>
      </w:r>
      <w:r w:rsidR="00550AAF">
        <w:t xml:space="preserve">data </w:t>
      </w:r>
      <w:r w:rsidR="00B1667F">
        <w:t>as part of th</w:t>
      </w:r>
      <w:r w:rsidR="00A96383">
        <w:t>e biannual</w:t>
      </w:r>
      <w:r w:rsidR="008F795E">
        <w:t xml:space="preserve"> BDC </w:t>
      </w:r>
      <w:r w:rsidR="00B257E8">
        <w:t>submission</w:t>
      </w:r>
      <w:r w:rsidR="008F795E">
        <w:t>.</w:t>
      </w:r>
    </w:p>
    <w:p w:rsidR="00876E4E" w:rsidP="001D3551" w14:paraId="312CFB37" w14:textId="77777777">
      <w:pPr>
        <w:widowControl/>
      </w:pPr>
    </w:p>
    <w:p w:rsidR="00876E4E" w:rsidRPr="00931F74" w:rsidP="001D3551" w14:paraId="04E7A713" w14:textId="77777777">
      <w:pPr>
        <w:widowControl/>
      </w:pPr>
      <w:r>
        <w:t xml:space="preserve">Finally, all covered entities must submit complete and accurate filings by the </w:t>
      </w:r>
      <w:r w:rsidRPr="002F5CA2">
        <w:rPr>
          <w:b/>
          <w:bCs/>
        </w:rPr>
        <w:t>September 1, 2022</w:t>
      </w:r>
      <w:r>
        <w:t xml:space="preserve"> deadline.  A late filing—even if complete and accurate—is still subject to enforcement action.</w:t>
      </w:r>
      <w:r>
        <w:rPr>
          <w:rStyle w:val="FootnoteReference"/>
        </w:rPr>
        <w:footnoteReference w:id="21"/>
      </w:r>
      <w:r>
        <w:t xml:space="preserve"> </w:t>
      </w:r>
    </w:p>
    <w:p w:rsidR="00206725" w:rsidP="001D3551" w14:paraId="2E17829B" w14:textId="56FA3A37">
      <w:pPr>
        <w:widowControl/>
        <w:rPr>
          <w:b/>
          <w:bCs/>
        </w:rPr>
      </w:pPr>
    </w:p>
    <w:p w:rsidR="00206725" w:rsidRPr="00B54495" w:rsidP="001D3551" w14:paraId="58983BE0" w14:textId="45CC16B5">
      <w:pPr>
        <w:widowControl/>
      </w:pPr>
      <w:r>
        <w:rPr>
          <w:b/>
          <w:bCs/>
        </w:rPr>
        <w:t xml:space="preserve">Continuing Form 477 Obligation. </w:t>
      </w:r>
      <w:r w:rsidR="00B54495">
        <w:rPr>
          <w:b/>
          <w:bCs/>
        </w:rPr>
        <w:t xml:space="preserve"> </w:t>
      </w:r>
      <w:r w:rsidRPr="00950149" w:rsidR="00EE0F76">
        <w:t>Form 477 filers that submit fixed broadband deployment and subscription data, mobile broadband deployment and subscription data, and mobile voice deployment and subscription data in Form 477 must submit data as of June 30, 2022 in two systems: the Form 477 filing interface and the BDC system</w:t>
      </w:r>
      <w:r w:rsidRPr="005F64FA" w:rsidR="005F64FA">
        <w:t>.</w:t>
      </w:r>
      <w:r>
        <w:rPr>
          <w:rStyle w:val="FootnoteReference"/>
        </w:rPr>
        <w:footnoteReference w:id="22"/>
      </w:r>
      <w:r w:rsidR="008B3C38">
        <w:rPr>
          <w:b/>
          <w:bCs/>
        </w:rPr>
        <w:t xml:space="preserve"> </w:t>
      </w:r>
      <w:r w:rsidR="005F64FA">
        <w:rPr>
          <w:b/>
          <w:bCs/>
        </w:rPr>
        <w:t xml:space="preserve"> </w:t>
      </w:r>
      <w:r w:rsidR="00235C06">
        <w:t xml:space="preserve">As the Broadband Data Task Force </w:t>
      </w:r>
      <w:r w:rsidR="009258A6">
        <w:t>stated</w:t>
      </w:r>
      <w:r w:rsidR="00235C06">
        <w:t xml:space="preserve"> in the </w:t>
      </w:r>
      <w:r w:rsidR="00235C06">
        <w:rPr>
          <w:i/>
          <w:iCs/>
        </w:rPr>
        <w:t xml:space="preserve">BDC Filing Window </w:t>
      </w:r>
      <w:r w:rsidRPr="00235C06" w:rsidR="00235C06">
        <w:rPr>
          <w:i/>
          <w:iCs/>
        </w:rPr>
        <w:t>P</w:t>
      </w:r>
      <w:r w:rsidR="00235C06">
        <w:rPr>
          <w:i/>
          <w:iCs/>
        </w:rPr>
        <w:t xml:space="preserve">ublic </w:t>
      </w:r>
      <w:r w:rsidRPr="00235C06" w:rsidR="00235C06">
        <w:rPr>
          <w:i/>
          <w:iCs/>
        </w:rPr>
        <w:t>N</w:t>
      </w:r>
      <w:r w:rsidR="00235C06">
        <w:rPr>
          <w:i/>
          <w:iCs/>
        </w:rPr>
        <w:t>otice</w:t>
      </w:r>
      <w:r w:rsidR="00235C06">
        <w:t>, “[u]</w:t>
      </w:r>
      <w:r w:rsidRPr="00235C06" w:rsidR="00B54495">
        <w:t>ntil</w:t>
      </w:r>
      <w:r w:rsidR="00B54495">
        <w:t xml:space="preserve"> the Commission announces a sunset date for the submission of Form 477 broadband deployment data, all service providers required to submit these data under Form 477 must continue to do so.</w:t>
      </w:r>
      <w:r w:rsidR="00235C06">
        <w:t>”</w:t>
      </w:r>
      <w:r>
        <w:rPr>
          <w:rStyle w:val="FootnoteReference"/>
        </w:rPr>
        <w:footnoteReference w:id="23"/>
      </w:r>
      <w:r w:rsidR="00B54495">
        <w:t xml:space="preserve">  </w:t>
      </w:r>
      <w:bookmarkStart w:id="3" w:name="_Hlk105495216"/>
      <w:r w:rsidR="00EE2B51">
        <w:t>T</w:t>
      </w:r>
      <w:bookmarkStart w:id="4" w:name="_Hlk105493676"/>
      <w:r w:rsidR="00EE2B51">
        <w:t>he Enforcement Bureau has previously advised providers of voice and broadband internet services of their continuing duty to timely file complete and accurate FCC Form 477 reports.</w:t>
      </w:r>
      <w:r>
        <w:rPr>
          <w:rStyle w:val="FootnoteReference"/>
        </w:rPr>
        <w:footnoteReference w:id="24"/>
      </w:r>
      <w:r w:rsidR="00EE2B51">
        <w:t xml:space="preserve">  </w:t>
      </w:r>
      <w:bookmarkEnd w:id="3"/>
      <w:bookmarkEnd w:id="4"/>
    </w:p>
    <w:p w:rsidR="00B866F7" w:rsidRPr="00B866F7" w:rsidP="001D3551" w14:paraId="2150DDEE" w14:textId="77777777">
      <w:pPr>
        <w:widowControl/>
      </w:pPr>
    </w:p>
    <w:p w:rsidR="000E206F" w:rsidRPr="0039576E" w:rsidP="001D3551" w14:paraId="0CF70EB4" w14:textId="455CB699">
      <w:pPr>
        <w:widowControl/>
        <w:rPr>
          <w:b/>
          <w:bCs/>
        </w:rPr>
      </w:pPr>
      <w:r w:rsidRPr="006F1EE1">
        <w:rPr>
          <w:b/>
          <w:bCs/>
        </w:rPr>
        <w:t xml:space="preserve">Need more information?  </w:t>
      </w:r>
      <w:r w:rsidR="00247744">
        <w:t xml:space="preserve">Filers can find additional information, including </w:t>
      </w:r>
      <w:r w:rsidR="00BB260A">
        <w:t>links to the BDC Help Center</w:t>
      </w:r>
      <w:r w:rsidR="00933D31">
        <w:t>,</w:t>
      </w:r>
      <w:r w:rsidR="00BB260A">
        <w:t xml:space="preserve"> which contains </w:t>
      </w:r>
      <w:r w:rsidR="00247744">
        <w:t xml:space="preserve">resources </w:t>
      </w:r>
      <w:r w:rsidR="0027610A">
        <w:t xml:space="preserve">such as video tutorials </w:t>
      </w:r>
      <w:r w:rsidR="00247744">
        <w:t>and FAQs</w:t>
      </w:r>
      <w:r w:rsidR="0027610A">
        <w:t>, as well as a portal to request additional support services</w:t>
      </w:r>
      <w:r w:rsidR="00BB260A">
        <w:t>,</w:t>
      </w:r>
      <w:r w:rsidR="0027610A">
        <w:t xml:space="preserve"> at </w:t>
      </w:r>
      <w:hyperlink r:id="rId7" w:history="1">
        <w:r w:rsidRPr="00E7727A" w:rsidR="00D159E7">
          <w:rPr>
            <w:rStyle w:val="Hyperlink"/>
          </w:rPr>
          <w:t>https://www.fcc.gov/BroadbandData</w:t>
        </w:r>
      </w:hyperlink>
      <w:r w:rsidR="00D159E7">
        <w:t>.</w:t>
      </w:r>
      <w:r w:rsidR="00D52F05">
        <w:t xml:space="preserve"> </w:t>
      </w:r>
      <w:r w:rsidR="008D424E">
        <w:t xml:space="preserve"> For further information, contact Raphael Sznajder,</w:t>
      </w:r>
      <w:r w:rsidR="00051AB4">
        <w:t xml:space="preserve"> Enforcement Bureau,</w:t>
      </w:r>
      <w:r w:rsidR="008D424E">
        <w:t xml:space="preserve"> </w:t>
      </w:r>
      <w:hyperlink r:id="rId8" w:history="1">
        <w:r w:rsidRPr="003643F9" w:rsidR="00051AB4">
          <w:rPr>
            <w:rStyle w:val="Hyperlink"/>
          </w:rPr>
          <w:t>Raphael.Sznajder@fcc.gov</w:t>
        </w:r>
      </w:hyperlink>
      <w:r w:rsidR="00051AB4">
        <w:t xml:space="preserve">, or Will Holloway, Broadband Data Task Force, </w:t>
      </w:r>
      <w:hyperlink r:id="rId9" w:history="1">
        <w:r w:rsidRPr="003643F9" w:rsidR="00051AB4">
          <w:rPr>
            <w:rStyle w:val="Hyperlink"/>
          </w:rPr>
          <w:t>William.Holloway@fcc.gov</w:t>
        </w:r>
      </w:hyperlink>
      <w:r w:rsidR="00051AB4">
        <w:t xml:space="preserve">. </w:t>
      </w:r>
    </w:p>
    <w:p w:rsidR="000E206F" w:rsidP="001D3551" w14:paraId="59018F1C" w14:textId="2BDC15F1">
      <w:pPr>
        <w:widowControl/>
      </w:pPr>
    </w:p>
    <w:p w:rsidR="000E206F" w:rsidP="001D3551" w14:paraId="35428030" w14:textId="6A075245">
      <w:pPr>
        <w:widowControl/>
      </w:pPr>
      <w:r>
        <w:t>Media inquiries should be directed to Anne Veigle, Office of Media Relations,</w:t>
      </w:r>
      <w:r w:rsidR="00B54495">
        <w:t xml:space="preserve"> at </w:t>
      </w:r>
      <w:hyperlink r:id="rId10" w:history="1">
        <w:r w:rsidRPr="6956106E" w:rsidR="00D14E94">
          <w:rPr>
            <w:rStyle w:val="Hyperlink"/>
          </w:rPr>
          <w:t>anne.veigle@fcc.gov</w:t>
        </w:r>
      </w:hyperlink>
      <w:r>
        <w:t xml:space="preserve">. </w:t>
      </w:r>
    </w:p>
    <w:p w:rsidR="0013554C" w:rsidP="001D3551" w14:paraId="755AD07C" w14:textId="37FD0DCC">
      <w:pPr>
        <w:widowControl/>
      </w:pPr>
    </w:p>
    <w:p w:rsidR="0013554C" w:rsidP="001D3551" w14:paraId="0207228E" w14:textId="2FFFA9E0">
      <w:pPr>
        <w:widowControl/>
      </w:pPr>
      <w:r>
        <w:t>To request materials in accessible formats for people with disabilities (</w:t>
      </w:r>
      <w:r w:rsidR="00222275">
        <w:t>braille</w:t>
      </w:r>
      <w:r>
        <w:t xml:space="preserve">, large print, electronic files, audio format), send an e-mail to </w:t>
      </w:r>
      <w:hyperlink r:id="rId11" w:history="1">
        <w:r w:rsidRPr="00BB6931" w:rsidR="004058F5">
          <w:rPr>
            <w:rStyle w:val="Hyperlink"/>
          </w:rPr>
          <w:t>fcc504@fcc.gov</w:t>
        </w:r>
      </w:hyperlink>
      <w:r>
        <w:t xml:space="preserve"> or call the Consumer &amp; Governmental Affairs Bureau at (202) 418-0530 (voice), (202) 418-0432 (TTY).</w:t>
      </w:r>
    </w:p>
    <w:p w:rsidR="00906EA2" w:rsidP="001D3551" w14:paraId="434FAEC6" w14:textId="77777777">
      <w:pPr>
        <w:widowControl/>
      </w:pPr>
    </w:p>
    <w:p w:rsidR="00906EA2" w:rsidP="001D3551" w14:paraId="487A2513" w14:textId="77777777">
      <w:pPr>
        <w:widowControl/>
      </w:pPr>
    </w:p>
    <w:p w:rsidR="006628E7" w:rsidP="001D3551" w14:paraId="1CA721B9" w14:textId="77777777">
      <w:pPr>
        <w:widowControl/>
      </w:pPr>
    </w:p>
    <w:p w:rsidR="006628E7" w:rsidP="001D3551" w14:paraId="0ADEC183" w14:textId="77777777">
      <w:pPr>
        <w:widowControl/>
        <w:ind w:left="4320" w:firstLine="720"/>
      </w:pPr>
      <w:r>
        <w:t>Issued by:  Acting Chief, Enforcement Bureau</w:t>
      </w:r>
    </w:p>
    <w:p w:rsidR="006628E7" w:rsidP="006628E7" w14:paraId="7BB901A1" w14:textId="77777777">
      <w:pPr>
        <w:jc w:val="right"/>
      </w:pPr>
    </w:p>
    <w:p w:rsidR="000E206F" w14:paraId="18F99FBE" w14:textId="3B720754"/>
    <w:p w:rsidR="00AE1806" w14:paraId="094DBF88" w14:textId="77777777"/>
    <w:bookmarkEnd w:id="1"/>
    <w:p w:rsidR="003A7F04" w14:paraId="06B96920" w14:textId="77777777"/>
    <w:sectPr>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806" w14:paraId="0A6E0DC6" w14:textId="77777777">
    <w:pPr>
      <w:pStyle w:val="Footer"/>
      <w:framePr w:wrap="around" w:vAnchor="text" w:hAnchor="margin" w:xAlign="center" w:y="1"/>
    </w:pPr>
    <w:r>
      <w:rPr>
        <w:color w:val="2B579A"/>
        <w:shd w:val="clear" w:color="auto" w:fill="E6E6E6"/>
      </w:rPr>
      <w:fldChar w:fldCharType="begin"/>
    </w:r>
    <w:r>
      <w:instrText xml:space="preserve">PAGE  </w:instrText>
    </w:r>
    <w:r>
      <w:rPr>
        <w:color w:val="2B579A"/>
        <w:shd w:val="clear" w:color="auto" w:fill="E6E6E6"/>
      </w:rPr>
      <w:fldChar w:fldCharType="separate"/>
    </w:r>
    <w:r>
      <w:rPr>
        <w:color w:val="2B579A"/>
        <w:shd w:val="clear" w:color="auto" w:fill="E6E6E6"/>
      </w:rPr>
      <w:fldChar w:fldCharType="end"/>
    </w:r>
  </w:p>
  <w:p w:rsidR="00AE1806" w14:paraId="3B1312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806" w14:paraId="5F54BFB6" w14:textId="6259D6C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806" w14:paraId="1FBDDD6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54C9" w14:paraId="0E93D3CD" w14:textId="77777777">
      <w:r>
        <w:separator/>
      </w:r>
    </w:p>
  </w:footnote>
  <w:footnote w:type="continuationSeparator" w:id="1">
    <w:p w:rsidR="00F354C9" w14:paraId="6D186CCD" w14:textId="77777777">
      <w:pPr>
        <w:rPr>
          <w:sz w:val="20"/>
        </w:rPr>
      </w:pPr>
      <w:r>
        <w:rPr>
          <w:sz w:val="20"/>
        </w:rPr>
        <w:t xml:space="preserve">(Continued from previous page)  </w:t>
      </w:r>
      <w:r>
        <w:rPr>
          <w:sz w:val="20"/>
        </w:rPr>
        <w:separator/>
      </w:r>
    </w:p>
  </w:footnote>
  <w:footnote w:type="continuationNotice" w:id="2">
    <w:p w:rsidR="00F354C9" w14:paraId="396CD79A" w14:textId="77777777">
      <w:pPr>
        <w:jc w:val="right"/>
        <w:rPr>
          <w:sz w:val="20"/>
        </w:rPr>
      </w:pPr>
      <w:r>
        <w:rPr>
          <w:sz w:val="20"/>
        </w:rPr>
        <w:t>(continued….)</w:t>
      </w:r>
    </w:p>
  </w:footnote>
  <w:footnote w:id="3">
    <w:p w:rsidR="00AD6290" w14:paraId="69B95099" w14:textId="40E062B0">
      <w:pPr>
        <w:pStyle w:val="FootnoteText"/>
      </w:pPr>
      <w:r>
        <w:rPr>
          <w:rStyle w:val="FootnoteReference"/>
        </w:rPr>
        <w:footnoteRef/>
      </w:r>
      <w:r>
        <w:t xml:space="preserve"> 47 C</w:t>
      </w:r>
      <w:r w:rsidR="001616C9">
        <w:t>FR</w:t>
      </w:r>
      <w:r>
        <w:t xml:space="preserve"> </w:t>
      </w:r>
      <w:r w:rsidR="001F18A8">
        <w:t>§</w:t>
      </w:r>
      <w:r>
        <w:t>§ 1.7001(a), 1.7004.</w:t>
      </w:r>
      <w:r w:rsidR="00C0613D">
        <w:t xml:space="preserve">  The BDC was formerly known as the Digital Opportunity Data Collection, or DODC.</w:t>
      </w:r>
    </w:p>
  </w:footnote>
  <w:footnote w:id="4">
    <w:p w:rsidR="00F31254" w14:paraId="16F90707" w14:textId="7B36DB91">
      <w:pPr>
        <w:pStyle w:val="FootnoteText"/>
      </w:pPr>
      <w:r>
        <w:rPr>
          <w:rStyle w:val="FootnoteReference"/>
        </w:rPr>
        <w:footnoteRef/>
      </w:r>
      <w:r>
        <w:t xml:space="preserve"> </w:t>
      </w:r>
      <w:r w:rsidRPr="00483389" w:rsidR="001E5E70">
        <w:rPr>
          <w:i/>
          <w:iCs/>
        </w:rPr>
        <w:t>See</w:t>
      </w:r>
      <w:r w:rsidRPr="00483389" w:rsidR="001E5E70">
        <w:t xml:space="preserve"> </w:t>
      </w:r>
      <w:r w:rsidR="001E5E70">
        <w:rPr>
          <w:i/>
          <w:iCs/>
        </w:rPr>
        <w:t>Broadband Data Task Force and Office of Economics and Analytics Announce Inaugural Broadband</w:t>
      </w:r>
      <w:r w:rsidRPr="00483389" w:rsidR="001E5E70">
        <w:rPr>
          <w:i/>
          <w:iCs/>
        </w:rPr>
        <w:t xml:space="preserve"> Data Collection</w:t>
      </w:r>
      <w:r w:rsidR="001E5E70">
        <w:rPr>
          <w:i/>
          <w:iCs/>
        </w:rPr>
        <w:t xml:space="preserve"> Filing Dates</w:t>
      </w:r>
      <w:r w:rsidRPr="00483389" w:rsidR="001E5E70">
        <w:t xml:space="preserve">, WC Docket Nos. 19-195, 11-10, </w:t>
      </w:r>
      <w:r w:rsidR="001E5E70">
        <w:t>Public Notice, DA 22-182, at 9</w:t>
      </w:r>
      <w:r w:rsidR="00B7050C">
        <w:t>, para. 22</w:t>
      </w:r>
      <w:r w:rsidR="001E5E70">
        <w:t xml:space="preserve"> (OEA Feb. 22, 2022) (</w:t>
      </w:r>
      <w:r w:rsidRPr="00021958" w:rsidR="001E5E70">
        <w:rPr>
          <w:i/>
        </w:rPr>
        <w:t>BDC Filing Window P</w:t>
      </w:r>
      <w:r w:rsidR="00235C06">
        <w:rPr>
          <w:i/>
        </w:rPr>
        <w:t xml:space="preserve">ublic </w:t>
      </w:r>
      <w:r w:rsidRPr="00021958" w:rsidR="001E5E70">
        <w:rPr>
          <w:i/>
        </w:rPr>
        <w:t>N</w:t>
      </w:r>
      <w:r w:rsidR="00235C06">
        <w:rPr>
          <w:i/>
        </w:rPr>
        <w:t>otice</w:t>
      </w:r>
      <w:r w:rsidR="001E5E70">
        <w:t xml:space="preserve">).  </w:t>
      </w:r>
      <w:r w:rsidR="00A713ED">
        <w:t xml:space="preserve">Pursuant to Commission rules, </w:t>
      </w:r>
      <w:r w:rsidR="00447F22">
        <w:t>provide</w:t>
      </w:r>
      <w:r w:rsidR="00CC6808">
        <w:t>r</w:t>
      </w:r>
      <w:r w:rsidR="00447F22">
        <w:t xml:space="preserve">s </w:t>
      </w:r>
      <w:r w:rsidR="00DE54AE">
        <w:t>have a continuing duty to</w:t>
      </w:r>
      <w:r w:rsidR="00BC5C99">
        <w:t xml:space="preserve"> submit BDC filings</w:t>
      </w:r>
      <w:r w:rsidR="00DE54AE">
        <w:t xml:space="preserve"> “each year on or before March 1 (reporting data as of December 31 of the prior year) and September 1 (reporting data as of June 30 of the current year).”</w:t>
      </w:r>
      <w:r w:rsidR="000B10AB">
        <w:t xml:space="preserve">  47 CFR § 1.7</w:t>
      </w:r>
      <w:r w:rsidR="00A5514B">
        <w:t>004(b).</w:t>
      </w:r>
    </w:p>
  </w:footnote>
  <w:footnote w:id="5">
    <w:p w:rsidR="00A854C4" w14:paraId="14EAA648" w14:textId="5FA4B5FB">
      <w:pPr>
        <w:pStyle w:val="FootnoteText"/>
      </w:pPr>
      <w:r>
        <w:rPr>
          <w:rStyle w:val="FootnoteReference"/>
        </w:rPr>
        <w:footnoteRef/>
      </w:r>
      <w:r>
        <w:t xml:space="preserve"> </w:t>
      </w:r>
      <w:r w:rsidRPr="00483389" w:rsidR="00B7050C">
        <w:rPr>
          <w:i/>
          <w:iCs/>
        </w:rPr>
        <w:t>See</w:t>
      </w:r>
      <w:r w:rsidR="00B7050C">
        <w:t xml:space="preserve"> </w:t>
      </w:r>
      <w:r>
        <w:t>47 CFR § 1.7009(b)</w:t>
      </w:r>
      <w:r w:rsidR="00595609">
        <w:t xml:space="preserve">; </w:t>
      </w:r>
      <w:r w:rsidRPr="00021958" w:rsidR="00595609">
        <w:rPr>
          <w:i/>
        </w:rPr>
        <w:t>BDC Filing Window P</w:t>
      </w:r>
      <w:r w:rsidR="00595609">
        <w:rPr>
          <w:i/>
        </w:rPr>
        <w:t xml:space="preserve">ublic </w:t>
      </w:r>
      <w:r w:rsidRPr="00021958" w:rsidR="00595609">
        <w:rPr>
          <w:i/>
        </w:rPr>
        <w:t>N</w:t>
      </w:r>
      <w:r w:rsidR="00595609">
        <w:rPr>
          <w:i/>
        </w:rPr>
        <w:t>otice</w:t>
      </w:r>
      <w:r w:rsidR="00595609">
        <w:t xml:space="preserve"> at 10, para. 25</w:t>
      </w:r>
      <w:r>
        <w:t>.</w:t>
      </w:r>
    </w:p>
  </w:footnote>
  <w:footnote w:id="6">
    <w:p w:rsidR="00EA18A2" w:rsidRPr="00EA18A2" w14:paraId="36EC4A98" w14:textId="4BBE2B51">
      <w:pPr>
        <w:pStyle w:val="FootnoteText"/>
      </w:pPr>
      <w:r>
        <w:rPr>
          <w:rStyle w:val="FootnoteReference"/>
        </w:rPr>
        <w:footnoteRef/>
      </w:r>
      <w:r>
        <w:t xml:space="preserve"> </w:t>
      </w:r>
      <w:r w:rsidRPr="00483389" w:rsidR="00595609">
        <w:rPr>
          <w:i/>
          <w:iCs/>
        </w:rPr>
        <w:t>See</w:t>
      </w:r>
      <w:r w:rsidR="00595609">
        <w:t xml:space="preserve"> </w:t>
      </w:r>
      <w:r w:rsidRPr="00021958" w:rsidR="00595609">
        <w:rPr>
          <w:i/>
        </w:rPr>
        <w:t>BDC Filing Window P</w:t>
      </w:r>
      <w:r w:rsidR="00595609">
        <w:rPr>
          <w:i/>
        </w:rPr>
        <w:t xml:space="preserve">ublic </w:t>
      </w:r>
      <w:r w:rsidRPr="00021958" w:rsidR="00595609">
        <w:rPr>
          <w:i/>
        </w:rPr>
        <w:t>N</w:t>
      </w:r>
      <w:r w:rsidR="00595609">
        <w:rPr>
          <w:i/>
        </w:rPr>
        <w:t>otice</w:t>
      </w:r>
      <w:r w:rsidR="00595609">
        <w:t xml:space="preserve"> at 1, para. 2</w:t>
      </w:r>
      <w:r w:rsidR="00E24E5C">
        <w:t xml:space="preserve">. </w:t>
      </w:r>
      <w:r>
        <w:t xml:space="preserve"> </w:t>
      </w:r>
      <w:r>
        <w:rPr>
          <w:i/>
          <w:iCs/>
        </w:rPr>
        <w:t>See generally</w:t>
      </w:r>
      <w:r w:rsidRPr="001E5E70" w:rsidR="001E5E70">
        <w:t xml:space="preserve"> </w:t>
      </w:r>
      <w:r w:rsidRPr="003D6E0D" w:rsidR="001E5E70">
        <w:t xml:space="preserve">Broadband Deployment Accuracy and </w:t>
      </w:r>
      <w:r w:rsidR="00C4149E">
        <w:t>Technological</w:t>
      </w:r>
      <w:r w:rsidRPr="003D6E0D" w:rsidR="00C4149E">
        <w:t xml:space="preserve"> </w:t>
      </w:r>
      <w:r w:rsidRPr="003D6E0D" w:rsidR="001E5E70">
        <w:t>Availability Act, Pub. L. No. 116-130, 134 Stat. 228 (2020) (codified at 47 U.S.C. §§ 641-646) (Broadband DATA Act)</w:t>
      </w:r>
      <w:r w:rsidR="001E5E70">
        <w:t xml:space="preserve">; </w:t>
      </w:r>
      <w:r w:rsidRPr="003D6E0D" w:rsidR="001E5E70">
        <w:rPr>
          <w:i/>
          <w:iCs/>
        </w:rPr>
        <w:t>Establishing the</w:t>
      </w:r>
      <w:r w:rsidRPr="003D6E0D" w:rsidR="001E5E70">
        <w:rPr>
          <w:i/>
        </w:rPr>
        <w:t xml:space="preserve"> </w:t>
      </w:r>
      <w:r w:rsidRPr="003D6E0D" w:rsidR="001E5E70">
        <w:rPr>
          <w:i/>
          <w:iCs/>
        </w:rPr>
        <w:t>Digital Opportunity Data Collection; Modernizing the FCC Form 477 Data Program</w:t>
      </w:r>
      <w:r w:rsidRPr="003D6E0D" w:rsidR="001E5E70">
        <w:t>, WC Docket Nos. 19-195, 11-10, Second Report and Order and Third Further Notice of Proposed Rulemaking, 35 FCC Rcd 7460 (2020)</w:t>
      </w:r>
      <w:r w:rsidRPr="003D6E0D" w:rsidR="001E5E70">
        <w:rPr>
          <w:i/>
          <w:iCs/>
        </w:rPr>
        <w:t xml:space="preserve"> </w:t>
      </w:r>
      <w:r w:rsidRPr="003D6E0D" w:rsidR="001E5E70">
        <w:t>(</w:t>
      </w:r>
      <w:r w:rsidRPr="003D6E0D" w:rsidR="001E5E70">
        <w:rPr>
          <w:i/>
          <w:iCs/>
        </w:rPr>
        <w:t>Second Order and Third Further Notice</w:t>
      </w:r>
      <w:r w:rsidRPr="003D6E0D" w:rsidR="001E5E70">
        <w:t>)</w:t>
      </w:r>
      <w:r w:rsidR="001E5E70">
        <w:t xml:space="preserve">; </w:t>
      </w:r>
      <w:r w:rsidRPr="00D51265" w:rsidR="001E5E70">
        <w:rPr>
          <w:i/>
          <w:iCs/>
        </w:rPr>
        <w:t>Establishing the</w:t>
      </w:r>
      <w:r w:rsidRPr="00D51265" w:rsidR="001E5E70">
        <w:rPr>
          <w:i/>
        </w:rPr>
        <w:t xml:space="preserve"> </w:t>
      </w:r>
      <w:r w:rsidRPr="00D51265" w:rsidR="001E5E70">
        <w:rPr>
          <w:i/>
          <w:iCs/>
        </w:rPr>
        <w:t>Digital Opportunity Data Collection; Modernizing the FCC Form 477 Data Program</w:t>
      </w:r>
      <w:r w:rsidRPr="00D51265" w:rsidR="001E5E70">
        <w:t>, WC Docket Nos. 19-195, 11-10, Third Report and Order, 36 FCC Rcd 1126</w:t>
      </w:r>
      <w:r w:rsidR="007B00EE">
        <w:t xml:space="preserve"> </w:t>
      </w:r>
      <w:r w:rsidRPr="00D51265" w:rsidR="001E5E70">
        <w:t>(2021) (</w:t>
      </w:r>
      <w:r w:rsidRPr="00D51265" w:rsidR="001E5E70">
        <w:rPr>
          <w:i/>
          <w:iCs/>
        </w:rPr>
        <w:t>Third Report and Order</w:t>
      </w:r>
      <w:r w:rsidRPr="00D51265" w:rsidR="001E5E70">
        <w:t>)</w:t>
      </w:r>
      <w:r w:rsidR="001E5E70">
        <w:t>.</w:t>
      </w:r>
    </w:p>
  </w:footnote>
  <w:footnote w:id="7">
    <w:p w:rsidR="00F31254" w:rsidP="00F31254" w14:paraId="097C913B" w14:textId="573508A3">
      <w:pPr>
        <w:pStyle w:val="FootnoteText"/>
      </w:pPr>
      <w:r>
        <w:rPr>
          <w:rStyle w:val="FootnoteReference"/>
        </w:rPr>
        <w:footnoteRef/>
      </w:r>
      <w:r>
        <w:t xml:space="preserve"> </w:t>
      </w:r>
      <w:r w:rsidRPr="00021958" w:rsidR="00F36D50">
        <w:rPr>
          <w:i/>
        </w:rPr>
        <w:t>BDC Filing Window P</w:t>
      </w:r>
      <w:r w:rsidR="00F36D50">
        <w:rPr>
          <w:i/>
        </w:rPr>
        <w:t xml:space="preserve">ublic </w:t>
      </w:r>
      <w:r w:rsidRPr="00021958" w:rsidR="00F36D50">
        <w:rPr>
          <w:i/>
        </w:rPr>
        <w:t>N</w:t>
      </w:r>
      <w:r w:rsidR="00F36D50">
        <w:rPr>
          <w:i/>
        </w:rPr>
        <w:t>otice</w:t>
      </w:r>
      <w:r w:rsidR="00F36D50">
        <w:t xml:space="preserve"> at 10, para. 25</w:t>
      </w:r>
      <w:r w:rsidR="00A92524">
        <w:t xml:space="preserve">; </w:t>
      </w:r>
      <w:r w:rsidRPr="00A92524" w:rsidR="00A92524">
        <w:rPr>
          <w:i/>
          <w:iCs/>
        </w:rPr>
        <w:t>see</w:t>
      </w:r>
      <w:r>
        <w:t xml:space="preserve"> </w:t>
      </w:r>
      <w:r w:rsidRPr="009127E6">
        <w:t>Infrastructure Investment and Jobs Act, Pub. L. No. 117-58</w:t>
      </w:r>
      <w:r>
        <w:t xml:space="preserve">, div. F, tit. I, § 60102(c)(1), (c)(3) </w:t>
      </w:r>
      <w:r w:rsidRPr="009127E6">
        <w:t xml:space="preserve">(2021),  </w:t>
      </w:r>
      <w:hyperlink r:id="rId1" w:history="1">
        <w:r w:rsidRPr="009127E6">
          <w:rPr>
            <w:rStyle w:val="Hyperlink"/>
          </w:rPr>
          <w:t>https://www.govinfo.gov/content/pkg/BILLS-117hr3684enr/pdf/BILLS-117hr3684enr.pdf</w:t>
        </w:r>
      </w:hyperlink>
      <w:r>
        <w:t xml:space="preserve">. </w:t>
      </w:r>
    </w:p>
  </w:footnote>
  <w:footnote w:id="8">
    <w:p w:rsidR="00247744" w14:paraId="2884F6FF" w14:textId="26F8E9CC">
      <w:pPr>
        <w:pStyle w:val="FootnoteText"/>
      </w:pPr>
      <w:r>
        <w:rPr>
          <w:rStyle w:val="FootnoteReference"/>
        </w:rPr>
        <w:footnoteRef/>
      </w:r>
      <w:r>
        <w:t xml:space="preserve"> </w:t>
      </w:r>
      <w:r w:rsidR="00A92524">
        <w:t>NTIA,</w:t>
      </w:r>
      <w:r>
        <w:t xml:space="preserve"> </w:t>
      </w:r>
      <w:r w:rsidR="006C3FA1">
        <w:t xml:space="preserve">Broadband Equity, Access, and Deployment Program, Notice of Funding Opportunity, </w:t>
      </w:r>
      <w:r w:rsidR="006B7EE4">
        <w:t xml:space="preserve">at 74 (May 13, 2022), </w:t>
      </w:r>
      <w:hyperlink r:id="rId2" w:history="1">
        <w:r w:rsidRPr="009351D4" w:rsidR="006B7EE4">
          <w:rPr>
            <w:rStyle w:val="Hyperlink"/>
          </w:rPr>
          <w:t>https://broadbandusa.ntia.doc.gov/sites/default/files/2022-05/BEAD%20NOFO.pdf</w:t>
        </w:r>
      </w:hyperlink>
      <w:r w:rsidR="006B7EE4">
        <w:t xml:space="preserve">. </w:t>
      </w:r>
    </w:p>
  </w:footnote>
  <w:footnote w:id="9">
    <w:p w:rsidR="0073336F" w14:paraId="140ABDB1" w14:textId="16F84B44">
      <w:pPr>
        <w:pStyle w:val="FootnoteText"/>
      </w:pPr>
      <w:r>
        <w:rPr>
          <w:rStyle w:val="FootnoteReference"/>
        </w:rPr>
        <w:footnoteRef/>
      </w:r>
      <w:r>
        <w:t xml:space="preserve"> </w:t>
      </w:r>
      <w:r w:rsidR="00F84EFF">
        <w:rPr>
          <w:i/>
          <w:iCs/>
        </w:rPr>
        <w:t>S</w:t>
      </w:r>
      <w:r w:rsidRPr="00A92524" w:rsidR="00F84EFF">
        <w:rPr>
          <w:i/>
          <w:iCs/>
        </w:rPr>
        <w:t>ee</w:t>
      </w:r>
      <w:r>
        <w:t xml:space="preserve"> 47 C</w:t>
      </w:r>
      <w:r w:rsidR="001616C9">
        <w:t>FR</w:t>
      </w:r>
      <w:r>
        <w:t xml:space="preserve"> </w:t>
      </w:r>
      <w:r w:rsidR="001F18A8">
        <w:t>§</w:t>
      </w:r>
      <w:r>
        <w:t xml:space="preserve">§ </w:t>
      </w:r>
      <w:r w:rsidR="00D72427">
        <w:t xml:space="preserve">1.7001(a), </w:t>
      </w:r>
      <w:r>
        <w:t>1</w:t>
      </w:r>
      <w:r w:rsidR="00D72427">
        <w:t>.7004(a).</w:t>
      </w:r>
    </w:p>
  </w:footnote>
  <w:footnote w:id="10">
    <w:p w:rsidR="00A566E7" w:rsidRPr="001616C9" w:rsidP="00A566E7" w14:paraId="2F1CAA56" w14:textId="7492043F">
      <w:pPr>
        <w:pStyle w:val="FootnoteText"/>
      </w:pPr>
      <w:r>
        <w:rPr>
          <w:rStyle w:val="FootnoteReference"/>
        </w:rPr>
        <w:footnoteRef/>
      </w:r>
      <w:r>
        <w:t xml:space="preserve"> </w:t>
      </w:r>
      <w:r w:rsidR="006F7786">
        <w:rPr>
          <w:i/>
          <w:iCs/>
        </w:rPr>
        <w:t>See</w:t>
      </w:r>
      <w:r w:rsidR="006F7786">
        <w:rPr>
          <w:i/>
        </w:rPr>
        <w:t xml:space="preserve"> </w:t>
      </w:r>
      <w:r w:rsidRPr="00021958" w:rsidR="00C55ECE">
        <w:rPr>
          <w:i/>
        </w:rPr>
        <w:t>BDC Filing Window P</w:t>
      </w:r>
      <w:r w:rsidR="00C55ECE">
        <w:rPr>
          <w:i/>
        </w:rPr>
        <w:t xml:space="preserve">ublic </w:t>
      </w:r>
      <w:r w:rsidRPr="00021958" w:rsidR="00C55ECE">
        <w:rPr>
          <w:i/>
        </w:rPr>
        <w:t>N</w:t>
      </w:r>
      <w:r w:rsidR="00C55ECE">
        <w:rPr>
          <w:i/>
        </w:rPr>
        <w:t>otice</w:t>
      </w:r>
      <w:r w:rsidR="00C55ECE">
        <w:t xml:space="preserve"> at 9, para. 22</w:t>
      </w:r>
      <w:r>
        <w:t>.</w:t>
      </w:r>
    </w:p>
  </w:footnote>
  <w:footnote w:id="11">
    <w:p w:rsidR="001C188B" w:rsidRPr="001616C9" w14:paraId="4DEEECEC" w14:textId="68394EE3">
      <w:pPr>
        <w:pStyle w:val="FootnoteText"/>
      </w:pPr>
      <w:r>
        <w:rPr>
          <w:rStyle w:val="FootnoteReference"/>
        </w:rPr>
        <w:footnoteRef/>
      </w:r>
      <w:r>
        <w:t xml:space="preserve"> </w:t>
      </w:r>
      <w:r w:rsidRPr="00EB61B5" w:rsidR="001616C9">
        <w:rPr>
          <w:i/>
          <w:iCs/>
        </w:rPr>
        <w:t>Third Report and Order</w:t>
      </w:r>
      <w:r w:rsidR="001616C9">
        <w:t xml:space="preserve">, 36 FCC Rcd at 1130-31, para. 10.  </w:t>
      </w:r>
      <w:r>
        <w:t xml:space="preserve">Specifically, an entity is facilities-based if it provides services using “(1) physical facilities that the entity owns and that terminate at the end-user premises; (2) facilities that the entity has obtained the right to use from other entities, such as dark fiber or satellite transponder capacity as part of its own network, or has obtained from other entities; (3) unbundled network element (UNE) loops, special access lines, or other leased facilities that the entity uses to complete terminations to the end-user premises; (4) wireless spectrum for which the entity holds a license or that the entity manages or had obtained the right to use via a spectrum leasing arrangement or comparable arrangement pursuant to subpart X of Part 1 of </w:t>
      </w:r>
      <w:r w:rsidR="004328F9">
        <w:t>[</w:t>
      </w:r>
      <w:r>
        <w:t>the Commission’s</w:t>
      </w:r>
      <w:r w:rsidR="004328F9">
        <w:t>]</w:t>
      </w:r>
      <w:r>
        <w:t xml:space="preserve"> Rules (47 CFR §§ 1.9001-1.9080); or (5) unlicensed spectrum.”  </w:t>
      </w:r>
      <w:r w:rsidR="001616C9">
        <w:rPr>
          <w:i/>
          <w:iCs/>
        </w:rPr>
        <w:t>Id.</w:t>
      </w:r>
      <w:r w:rsidR="001616C9">
        <w:t xml:space="preserve">; </w:t>
      </w:r>
      <w:r w:rsidR="001616C9">
        <w:rPr>
          <w:i/>
          <w:iCs/>
        </w:rPr>
        <w:t xml:space="preserve">see also </w:t>
      </w:r>
      <w:r w:rsidR="001616C9">
        <w:t>47 CFR § 1.7001(</w:t>
      </w:r>
      <w:r w:rsidR="00A57D94">
        <w:t>a)</w:t>
      </w:r>
      <w:r w:rsidR="001616C9">
        <w:t xml:space="preserve">(2). </w:t>
      </w:r>
    </w:p>
  </w:footnote>
  <w:footnote w:id="12">
    <w:p w:rsidR="00A83428" w:rsidP="00A83428" w14:paraId="528247DB" w14:textId="6879F2DF">
      <w:pPr>
        <w:pStyle w:val="FootnoteText"/>
      </w:pPr>
      <w:r>
        <w:rPr>
          <w:rStyle w:val="FootnoteReference"/>
        </w:rPr>
        <w:footnoteRef/>
      </w:r>
      <w:r>
        <w:t xml:space="preserve"> </w:t>
      </w:r>
      <w:r w:rsidRPr="00ED0CF7">
        <w:rPr>
          <w:i/>
          <w:iCs/>
        </w:rPr>
        <w:t>Second Report and Order and Third Further Notice</w:t>
      </w:r>
      <w:r>
        <w:t xml:space="preserve">, 35 FCC Rcd at 7465, para. 12 &amp; n.26; </w:t>
      </w:r>
      <w:r w:rsidRPr="00ED0CF7">
        <w:rPr>
          <w:i/>
          <w:iCs/>
        </w:rPr>
        <w:t>see</w:t>
      </w:r>
      <w:r>
        <w:t xml:space="preserve"> 47 CFR §</w:t>
      </w:r>
      <w:r w:rsidR="00D17EB0">
        <w:t> </w:t>
      </w:r>
      <w:r>
        <w:t>1.7001(a)(6).</w:t>
      </w:r>
    </w:p>
  </w:footnote>
  <w:footnote w:id="13">
    <w:p w:rsidR="004A5B5E" w:rsidRPr="004A5B5E" w14:paraId="2959516A" w14:textId="4E555C67">
      <w:pPr>
        <w:pStyle w:val="FootnoteText"/>
      </w:pPr>
      <w:r>
        <w:rPr>
          <w:rStyle w:val="FootnoteReference"/>
        </w:rPr>
        <w:footnoteRef/>
      </w:r>
      <w:r>
        <w:t xml:space="preserve"> </w:t>
      </w:r>
      <w:r>
        <w:rPr>
          <w:i/>
          <w:iCs/>
        </w:rPr>
        <w:t xml:space="preserve">See </w:t>
      </w:r>
      <w:r>
        <w:t>47 U.S.C. § 641(1); 47 CFR §</w:t>
      </w:r>
      <w:r w:rsidR="004C354E">
        <w:t xml:space="preserve"> 8.1(b)</w:t>
      </w:r>
      <w:r w:rsidR="005E06CA">
        <w:t xml:space="preserve">; </w:t>
      </w:r>
      <w:r w:rsidR="00144985">
        <w:rPr>
          <w:i/>
          <w:iCs/>
        </w:rPr>
        <w:t>Third Report and Order</w:t>
      </w:r>
      <w:r w:rsidR="00144985">
        <w:t xml:space="preserve">, </w:t>
      </w:r>
      <w:r w:rsidR="00DE3C58">
        <w:t xml:space="preserve">36 FCC Rcd at 1134-35, para. 19 (declining to collect non-mass market broadband service data in addition to mass-market service data). </w:t>
      </w:r>
    </w:p>
  </w:footnote>
  <w:footnote w:id="14">
    <w:p w:rsidR="00FC2738" w14:paraId="1B872B4B" w14:textId="3C465863">
      <w:pPr>
        <w:pStyle w:val="FootnoteText"/>
      </w:pPr>
      <w:r>
        <w:rPr>
          <w:rStyle w:val="FootnoteReference"/>
        </w:rPr>
        <w:footnoteRef/>
      </w:r>
      <w:r>
        <w:t xml:space="preserve"> </w:t>
      </w:r>
      <w:r w:rsidR="000F1E88">
        <w:t xml:space="preserve">47 U.S.C. § 644(d). </w:t>
      </w:r>
    </w:p>
  </w:footnote>
  <w:footnote w:id="15">
    <w:p w:rsidR="005C1037" w:rsidRPr="00BD37EA" w:rsidP="005C1037" w14:paraId="0076C970" w14:textId="19B7465A">
      <w:pPr>
        <w:pStyle w:val="FootnoteText"/>
      </w:pPr>
      <w:r>
        <w:rPr>
          <w:rStyle w:val="FootnoteReference"/>
        </w:rPr>
        <w:footnoteRef/>
      </w:r>
      <w:r>
        <w:t xml:space="preserve"> </w:t>
      </w:r>
      <w:r w:rsidRPr="004F0F2B" w:rsidR="004F0F2B">
        <w:rPr>
          <w:i/>
          <w:iCs/>
        </w:rPr>
        <w:t>See</w:t>
      </w:r>
      <w:r w:rsidR="004F0F2B">
        <w:t xml:space="preserve"> </w:t>
      </w:r>
      <w:r w:rsidR="004F0F2B">
        <w:rPr>
          <w:i/>
          <w:iCs/>
        </w:rPr>
        <w:t>Third Report and Order</w:t>
      </w:r>
      <w:r w:rsidR="004F0F2B">
        <w:t>, 36 FCC Rcd at 1182, para. 144</w:t>
      </w:r>
      <w:r>
        <w:t>.</w:t>
      </w:r>
    </w:p>
  </w:footnote>
  <w:footnote w:id="16">
    <w:p w:rsidR="005C1037" w:rsidRPr="00BD37EA" w:rsidP="005C1037" w14:paraId="681A86C8" w14:textId="77777777">
      <w:pPr>
        <w:pStyle w:val="FootnoteText"/>
      </w:pPr>
      <w:r>
        <w:rPr>
          <w:rStyle w:val="FootnoteReference"/>
        </w:rPr>
        <w:footnoteRef/>
      </w:r>
      <w:r>
        <w:t xml:space="preserve"> 47 U.S.C. § 643; </w:t>
      </w:r>
      <w:r w:rsidRPr="00B211FE">
        <w:rPr>
          <w:i/>
          <w:iCs/>
        </w:rPr>
        <w:t>see</w:t>
      </w:r>
      <w:r>
        <w:t xml:space="preserve"> </w:t>
      </w:r>
      <w:r>
        <w:rPr>
          <w:i/>
          <w:iCs/>
        </w:rPr>
        <w:t>Third Report and Order</w:t>
      </w:r>
      <w:r>
        <w:t>, 36 FCC Rcd at 1181-82, para. 143.</w:t>
      </w:r>
    </w:p>
  </w:footnote>
  <w:footnote w:id="17">
    <w:p w:rsidR="001E1BCD" w:rsidRPr="001E1BCD" w14:paraId="4F5ECD9C" w14:textId="63DA5803">
      <w:pPr>
        <w:pStyle w:val="FootnoteText"/>
      </w:pPr>
      <w:r>
        <w:rPr>
          <w:rStyle w:val="FootnoteReference"/>
        </w:rPr>
        <w:footnoteRef/>
      </w:r>
      <w:r>
        <w:t xml:space="preserve"> 47 CFR § 1.7009(c).  The Commission also noted in the </w:t>
      </w:r>
      <w:r>
        <w:rPr>
          <w:i/>
          <w:iCs/>
        </w:rPr>
        <w:t>Third Report and Order</w:t>
      </w:r>
      <w:r>
        <w:t xml:space="preserve"> that it would determine whether conduct is “willful and knowing or reckless” on a case-by-case basis, consistent with Commission precedent.  </w:t>
      </w:r>
      <w:r>
        <w:rPr>
          <w:i/>
          <w:iCs/>
        </w:rPr>
        <w:t>Third Report and Order</w:t>
      </w:r>
      <w:r>
        <w:t xml:space="preserve">, 36 FCC Rcd at 1178-79, para. 136.  </w:t>
      </w:r>
    </w:p>
  </w:footnote>
  <w:footnote w:id="18">
    <w:p w:rsidR="0061514B" w14:paraId="5661065C" w14:textId="1F000F73">
      <w:pPr>
        <w:pStyle w:val="FootnoteText"/>
      </w:pPr>
      <w:r>
        <w:rPr>
          <w:rStyle w:val="FootnoteReference"/>
        </w:rPr>
        <w:footnoteRef/>
      </w:r>
      <w:r>
        <w:t xml:space="preserve"> 47 CFR § 1.80(b)(10</w:t>
      </w:r>
      <w:r w:rsidR="00C22082">
        <w:t xml:space="preserve">), </w:t>
      </w:r>
      <w:r w:rsidR="00C22082">
        <w:t>tbl</w:t>
      </w:r>
      <w:r w:rsidR="00C22082">
        <w:t xml:space="preserve">. </w:t>
      </w:r>
      <w:r w:rsidR="0089747C">
        <w:t>1</w:t>
      </w:r>
      <w:r>
        <w:t xml:space="preserve">; </w:t>
      </w:r>
      <w:r>
        <w:rPr>
          <w:i/>
          <w:iCs/>
        </w:rPr>
        <w:t>Third Report and Order</w:t>
      </w:r>
      <w:r>
        <w:t>, 36 FCC Rcd at 1180, para. 140.</w:t>
      </w:r>
    </w:p>
  </w:footnote>
  <w:footnote w:id="19">
    <w:p w:rsidR="00AB501F" w:rsidRPr="004D5CDF" w:rsidP="00AB501F" w14:paraId="1C611A6B" w14:textId="43400187">
      <w:pPr>
        <w:pStyle w:val="FootnoteText"/>
      </w:pPr>
      <w:r>
        <w:rPr>
          <w:rStyle w:val="FootnoteReference"/>
        </w:rPr>
        <w:footnoteRef/>
      </w:r>
      <w:r>
        <w:t xml:space="preserve"> 47 CFR § 1.7009(d)(1); </w:t>
      </w:r>
      <w:r>
        <w:rPr>
          <w:i/>
          <w:iCs/>
        </w:rPr>
        <w:t>Third Report and Order</w:t>
      </w:r>
      <w:r>
        <w:t xml:space="preserve">, 36 FCC Rcd at 1182-83, 1183-84, paras. 145, 147; </w:t>
      </w:r>
      <w:r w:rsidRPr="007B3B9C">
        <w:rPr>
          <w:i/>
          <w:iCs/>
        </w:rPr>
        <w:t>see also</w:t>
      </w:r>
      <w:r>
        <w:t xml:space="preserve"> 47 CFR §</w:t>
      </w:r>
      <w:r w:rsidR="00E53570">
        <w:t>§</w:t>
      </w:r>
      <w:r>
        <w:t xml:space="preserve"> 1.7006(d)(3)(</w:t>
      </w:r>
      <w:r>
        <w:t>i</w:t>
      </w:r>
      <w:r>
        <w:t xml:space="preserve">), (d)(4), (e)(6)(iii), (f)(7).  “We will not excuse providers from updating their data for non-significant reporting errors.”  </w:t>
      </w:r>
      <w:r w:rsidRPr="00F52452">
        <w:rPr>
          <w:i/>
          <w:iCs/>
        </w:rPr>
        <w:t>Third Report and Order</w:t>
      </w:r>
      <w:r>
        <w:t>, 36 FCC Rcd at 1183, para. 145.</w:t>
      </w:r>
    </w:p>
  </w:footnote>
  <w:footnote w:id="20">
    <w:p w:rsidR="00DB1CBB" w:rsidRPr="004D5CDF" w14:paraId="18B1C0FE" w14:textId="0323177A">
      <w:pPr>
        <w:pStyle w:val="FootnoteText"/>
      </w:pPr>
      <w:r>
        <w:rPr>
          <w:rStyle w:val="FootnoteReference"/>
        </w:rPr>
        <w:footnoteRef/>
      </w:r>
      <w:r>
        <w:t xml:space="preserve"> 47 CFR § 1.7009(d)</w:t>
      </w:r>
      <w:r w:rsidR="00AB501F">
        <w:t>(2)</w:t>
      </w:r>
      <w:r>
        <w:t xml:space="preserve">; </w:t>
      </w:r>
      <w:r>
        <w:rPr>
          <w:i/>
          <w:iCs/>
        </w:rPr>
        <w:t>Third Report and Order</w:t>
      </w:r>
      <w:r>
        <w:t xml:space="preserve">, 36 FCC Rcd at </w:t>
      </w:r>
      <w:r w:rsidR="00874A09">
        <w:t>1183</w:t>
      </w:r>
      <w:r>
        <w:t>, para. 147</w:t>
      </w:r>
      <w:r w:rsidR="00F52452">
        <w:t>.</w:t>
      </w:r>
      <w:r w:rsidR="00B565AA">
        <w:t xml:space="preserve"> </w:t>
      </w:r>
      <w:r w:rsidR="00637567">
        <w:t xml:space="preserve"> </w:t>
      </w:r>
      <w:r w:rsidR="00665463">
        <w:t>The contents of the corporate and engineering c</w:t>
      </w:r>
      <w:r w:rsidR="00AC4E11">
        <w:t xml:space="preserve">ertifications </w:t>
      </w:r>
      <w:r w:rsidR="00C32FB1">
        <w:t>shall</w:t>
      </w:r>
      <w:r w:rsidR="00AC4E11">
        <w:t xml:space="preserve"> be consistent with the </w:t>
      </w:r>
      <w:r w:rsidR="00DF75D9">
        <w:t>Commission’s r</w:t>
      </w:r>
      <w:r w:rsidR="00AC4E11">
        <w:t xml:space="preserve">ules </w:t>
      </w:r>
      <w:r w:rsidR="00EE032B">
        <w:t>and any clarification</w:t>
      </w:r>
      <w:r w:rsidR="00D6189E">
        <w:t xml:space="preserve"> </w:t>
      </w:r>
      <w:r w:rsidR="009C1AB1">
        <w:t>of</w:t>
      </w:r>
      <w:r w:rsidR="00D6189E">
        <w:t xml:space="preserve"> the</w:t>
      </w:r>
      <w:r w:rsidR="00CF24B0">
        <w:t xml:space="preserve"> </w:t>
      </w:r>
      <w:r w:rsidR="00E8631D">
        <w:t>rules</w:t>
      </w:r>
      <w:r w:rsidR="00DF75D9">
        <w:t xml:space="preserve"> </w:t>
      </w:r>
      <w:r w:rsidR="00650AB9">
        <w:t>that</w:t>
      </w:r>
      <w:r w:rsidR="00D6189E">
        <w:t xml:space="preserve"> </w:t>
      </w:r>
      <w:r w:rsidR="00DF75D9">
        <w:t>the</w:t>
      </w:r>
      <w:r w:rsidR="00D6189E">
        <w:t xml:space="preserve"> </w:t>
      </w:r>
      <w:r w:rsidR="00424ADF">
        <w:t>Burea</w:t>
      </w:r>
      <w:r w:rsidR="006C029D">
        <w:t xml:space="preserve">us and Offices may deem necessary in response to </w:t>
      </w:r>
      <w:r w:rsidR="00272FA1">
        <w:t>a</w:t>
      </w:r>
      <w:r w:rsidR="00B92907">
        <w:t>ny</w:t>
      </w:r>
      <w:r w:rsidR="00272FA1">
        <w:t xml:space="preserve"> request</w:t>
      </w:r>
      <w:r w:rsidR="00B92907">
        <w:t>s</w:t>
      </w:r>
      <w:r w:rsidR="00272FA1">
        <w:t xml:space="preserve"> for clarification and/or waiver of the Commission’s rules.  </w:t>
      </w:r>
      <w:r w:rsidR="00272FA1">
        <w:rPr>
          <w:i/>
          <w:iCs/>
        </w:rPr>
        <w:t xml:space="preserve">See, e.g., </w:t>
      </w:r>
      <w:r w:rsidRPr="000C3750" w:rsidR="00BE1B65">
        <w:t>Petition of Competitive Carriers Association (CCA) for Declaratory Ruling or Limited Waiver, WC Docket No. 19-195 (filed May 13, 2022)</w:t>
      </w:r>
      <w:r w:rsidR="00BE1B65">
        <w:t>.</w:t>
      </w:r>
    </w:p>
  </w:footnote>
  <w:footnote w:id="21">
    <w:p w:rsidR="00876E4E" w:rsidRPr="0027715C" w:rsidP="00876E4E" w14:paraId="46013043" w14:textId="136CCB94">
      <w:pPr>
        <w:pStyle w:val="FootnoteText"/>
      </w:pPr>
      <w:r>
        <w:rPr>
          <w:rStyle w:val="FootnoteReference"/>
        </w:rPr>
        <w:footnoteRef/>
      </w:r>
      <w:r>
        <w:t xml:space="preserve"> </w:t>
      </w:r>
      <w:r>
        <w:rPr>
          <w:i/>
          <w:iCs/>
        </w:rPr>
        <w:t>See generally Third Report and Order</w:t>
      </w:r>
      <w:r>
        <w:t>, 36 FCC Rcd at 1182, para. 144 (“[F]</w:t>
      </w:r>
      <w:r w:rsidRPr="002930DD">
        <w:t>ailure</w:t>
      </w:r>
      <w:r w:rsidRPr="002930DD">
        <w:t xml:space="preserve"> to </w:t>
      </w:r>
      <w:r w:rsidRPr="00CE0F25">
        <w:rPr>
          <w:i/>
          <w:iCs/>
        </w:rPr>
        <w:t>timely</w:t>
      </w:r>
      <w:r w:rsidRPr="002930DD">
        <w:t xml:space="preserve"> file required data in the new Digital Opportunity Data Collection may lead to enforcement action and/or penalties as set forth in the Communications Act and other applicable laws</w:t>
      </w:r>
      <w:r>
        <w:t>.</w:t>
      </w:r>
      <w:r w:rsidR="004F0F2B">
        <w:t>”</w:t>
      </w:r>
      <w:r>
        <w:t xml:space="preserve"> (emphasis added)</w:t>
      </w:r>
      <w:r w:rsidR="00C13D74">
        <w:t>)</w:t>
      </w:r>
      <w:r>
        <w:t>.</w:t>
      </w:r>
    </w:p>
  </w:footnote>
  <w:footnote w:id="22">
    <w:p w:rsidR="008B3C38" w:rsidRPr="00C71576" w:rsidP="008B3C38" w14:paraId="34548008" w14:textId="77777777">
      <w:pPr>
        <w:pStyle w:val="FootnoteText"/>
      </w:pPr>
      <w:r>
        <w:rPr>
          <w:rStyle w:val="FootnoteReference"/>
        </w:rPr>
        <w:footnoteRef/>
      </w:r>
      <w:r>
        <w:t xml:space="preserve"> </w:t>
      </w:r>
      <w:r>
        <w:rPr>
          <w:i/>
          <w:iCs/>
        </w:rPr>
        <w:t xml:space="preserve">See </w:t>
      </w:r>
      <w:r>
        <w:rPr>
          <w:snapToGrid w:val="0"/>
        </w:rPr>
        <w:t>FCC, Broadband Data Collection—Data Specifications for Biannual Submission of Subscription, Availability, and Supporting Data</w:t>
      </w:r>
      <w:r>
        <w:rPr>
          <w:i/>
          <w:iCs/>
          <w:snapToGrid w:val="0"/>
        </w:rPr>
        <w:t xml:space="preserve"> </w:t>
      </w:r>
      <w:r>
        <w:rPr>
          <w:snapToGrid w:val="0"/>
        </w:rPr>
        <w:t xml:space="preserve">at 3 (2022), </w:t>
      </w:r>
      <w:hyperlink r:id="rId3" w:history="1">
        <w:r>
          <w:rPr>
            <w:rStyle w:val="Hyperlink"/>
            <w:snapToGrid w:val="0"/>
          </w:rPr>
          <w:t>https://us-fcc.app.box.com/v/bdc-availability-spec</w:t>
        </w:r>
      </w:hyperlink>
      <w:r>
        <w:rPr>
          <w:snapToGrid w:val="0"/>
        </w:rPr>
        <w:t xml:space="preserve">.  </w:t>
      </w:r>
      <w:r>
        <w:t>P</w:t>
      </w:r>
      <w:r w:rsidRPr="00644FCC">
        <w:t>roviders of fixed voice service that do not also offer broadband internet access service may file their Form 477 fixed voice subscription data as of June 30, 2022</w:t>
      </w:r>
      <w:r>
        <w:t>,</w:t>
      </w:r>
      <w:r w:rsidRPr="00644FCC">
        <w:t xml:space="preserve"> in the BDC system but are not required to do so.  </w:t>
      </w:r>
      <w:r>
        <w:rPr>
          <w:i/>
          <w:iCs/>
        </w:rPr>
        <w:t xml:space="preserve">Id. </w:t>
      </w:r>
    </w:p>
  </w:footnote>
  <w:footnote w:id="23">
    <w:p w:rsidR="000F5BAC" w:rsidRPr="007B00EE" w14:paraId="57637E18" w14:textId="3A4603AC">
      <w:pPr>
        <w:pStyle w:val="FootnoteText"/>
        <w:rPr>
          <w:iCs/>
        </w:rPr>
      </w:pPr>
      <w:r>
        <w:rPr>
          <w:rStyle w:val="FootnoteReference"/>
        </w:rPr>
        <w:footnoteRef/>
      </w:r>
      <w:r>
        <w:t xml:space="preserve"> </w:t>
      </w:r>
      <w:r w:rsidRPr="00021958" w:rsidR="007B00EE">
        <w:rPr>
          <w:i/>
        </w:rPr>
        <w:t>BDC Filing Window P</w:t>
      </w:r>
      <w:r w:rsidR="00235C06">
        <w:rPr>
          <w:i/>
        </w:rPr>
        <w:t xml:space="preserve">ublic </w:t>
      </w:r>
      <w:r w:rsidRPr="00021958" w:rsidR="007B00EE">
        <w:rPr>
          <w:i/>
        </w:rPr>
        <w:t>N</w:t>
      </w:r>
      <w:r w:rsidR="00235C06">
        <w:rPr>
          <w:i/>
        </w:rPr>
        <w:t>otice</w:t>
      </w:r>
      <w:r w:rsidR="007B00EE">
        <w:rPr>
          <w:i/>
        </w:rPr>
        <w:t xml:space="preserve"> </w:t>
      </w:r>
      <w:r w:rsidR="007B00EE">
        <w:rPr>
          <w:iCs/>
        </w:rPr>
        <w:t xml:space="preserve">at </w:t>
      </w:r>
      <w:r w:rsidR="00235C06">
        <w:rPr>
          <w:iCs/>
        </w:rPr>
        <w:t xml:space="preserve">11, paras. 29-30. </w:t>
      </w:r>
    </w:p>
  </w:footnote>
  <w:footnote w:id="24">
    <w:p w:rsidR="00EE2B51" w:rsidRPr="00E016C7" w:rsidP="00EE2B51" w14:paraId="2E665430" w14:textId="77777777">
      <w:pPr>
        <w:pStyle w:val="FootnoteText"/>
      </w:pPr>
      <w:r>
        <w:rPr>
          <w:rStyle w:val="FootnoteReference"/>
        </w:rPr>
        <w:footnoteRef/>
      </w:r>
      <w:r>
        <w:t xml:space="preserve"> </w:t>
      </w:r>
      <w:r>
        <w:rPr>
          <w:i/>
          <w:iCs/>
        </w:rPr>
        <w:t xml:space="preserve">See </w:t>
      </w:r>
      <w:r w:rsidRPr="00E016C7">
        <w:rPr>
          <w:i/>
          <w:iCs/>
        </w:rPr>
        <w:t>FCC Enforcement Advisory: Form 477 Rules: Providers Must File a Complete and Accurate Form 477 Report Every Six Months</w:t>
      </w:r>
      <w:r>
        <w:t xml:space="preserve">, 30 FCC </w:t>
      </w:r>
      <w:r>
        <w:t>Rcd</w:t>
      </w:r>
      <w:r>
        <w:t xml:space="preserve"> 10853, DA 15-1140 (EB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806" w:rsidRPr="001F7ED4" w14:paraId="394A68A5" w14:textId="6091A0DB">
    <w:pPr>
      <w:tabs>
        <w:tab w:val="center" w:pos="4680"/>
        <w:tab w:val="right" w:pos="9360"/>
      </w:tabs>
      <w:rPr>
        <w:b/>
      </w:rPr>
    </w:pPr>
    <w:r>
      <w:rPr>
        <w:b/>
      </w:rPr>
      <w:tab/>
      <w:t>Federal Communications Commission</w:t>
    </w:r>
    <w:r>
      <w:rPr>
        <w:b/>
      </w:rPr>
      <w:tab/>
    </w:r>
    <w:r w:rsidRPr="001F7ED4" w:rsidR="001F7ED4">
      <w:rPr>
        <w:b/>
      </w:rPr>
      <w:t>DA 22-639</w:t>
    </w:r>
  </w:p>
  <w:p w:rsidR="00AE1806" w14:paraId="769D52A3" w14:textId="238EFB87">
    <w:pPr>
      <w:tabs>
        <w:tab w:val="left" w:pos="-720"/>
      </w:tabs>
      <w:suppressAutoHyphens/>
      <w:spacing w:line="19" w:lineRule="exact"/>
      <w:rPr>
        <w:spacing w:val="-2"/>
      </w:rPr>
    </w:pPr>
    <w:r>
      <w:rPr>
        <w:noProof/>
        <w:color w:val="2B579A"/>
        <w:shd w:val="clear" w:color="auto" w:fill="E6E6E6"/>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E1806" w14:paraId="0C78291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806" w14:paraId="5DF6689B" w14:textId="58B286B8">
    <w:pPr>
      <w:pStyle w:val="Header"/>
    </w:pPr>
    <w:r>
      <w:rPr>
        <w:noProof/>
        <w:snapToGrid/>
        <w:color w:val="2B579A"/>
        <w:shd w:val="clear" w:color="auto" w:fill="E6E6E6"/>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BA6617C"/>
    <w:multiLevelType w:val="hybridMultilevel"/>
    <w:tmpl w:val="C5E44CD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71C1001"/>
    <w:multiLevelType w:val="hybridMultilevel"/>
    <w:tmpl w:val="40DA461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99E1D42"/>
    <w:multiLevelType w:val="hybridMultilevel"/>
    <w:tmpl w:val="56461DC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
    <w:nsid w:val="6CAA1403"/>
    <w:multiLevelType w:val="hybridMultilevel"/>
    <w:tmpl w:val="0590A96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04"/>
    <w:rsid w:val="00011F4E"/>
    <w:rsid w:val="00014B1C"/>
    <w:rsid w:val="00017F1C"/>
    <w:rsid w:val="00021958"/>
    <w:rsid w:val="00021DBC"/>
    <w:rsid w:val="00025D08"/>
    <w:rsid w:val="0003277C"/>
    <w:rsid w:val="00032C71"/>
    <w:rsid w:val="00044EF3"/>
    <w:rsid w:val="0004609B"/>
    <w:rsid w:val="0005078A"/>
    <w:rsid w:val="000516EB"/>
    <w:rsid w:val="00051AB4"/>
    <w:rsid w:val="00054EF3"/>
    <w:rsid w:val="00056D44"/>
    <w:rsid w:val="00057F1E"/>
    <w:rsid w:val="00060467"/>
    <w:rsid w:val="00064771"/>
    <w:rsid w:val="00064856"/>
    <w:rsid w:val="000652A3"/>
    <w:rsid w:val="00065B54"/>
    <w:rsid w:val="000664AC"/>
    <w:rsid w:val="0007063A"/>
    <w:rsid w:val="000727F5"/>
    <w:rsid w:val="00076BA7"/>
    <w:rsid w:val="00076FDC"/>
    <w:rsid w:val="00083976"/>
    <w:rsid w:val="00086C5F"/>
    <w:rsid w:val="000908ED"/>
    <w:rsid w:val="0009206E"/>
    <w:rsid w:val="00093664"/>
    <w:rsid w:val="000A0913"/>
    <w:rsid w:val="000A09EC"/>
    <w:rsid w:val="000A1BE1"/>
    <w:rsid w:val="000A7060"/>
    <w:rsid w:val="000B10AB"/>
    <w:rsid w:val="000B4581"/>
    <w:rsid w:val="000C1A44"/>
    <w:rsid w:val="000C22AC"/>
    <w:rsid w:val="000C2379"/>
    <w:rsid w:val="000C3750"/>
    <w:rsid w:val="000C5E1C"/>
    <w:rsid w:val="000D1B05"/>
    <w:rsid w:val="000D24B5"/>
    <w:rsid w:val="000D4A71"/>
    <w:rsid w:val="000D5348"/>
    <w:rsid w:val="000D59B6"/>
    <w:rsid w:val="000D70AA"/>
    <w:rsid w:val="000E206F"/>
    <w:rsid w:val="000E22D7"/>
    <w:rsid w:val="000E2B6E"/>
    <w:rsid w:val="000F1E88"/>
    <w:rsid w:val="000F5BAC"/>
    <w:rsid w:val="0010038F"/>
    <w:rsid w:val="00123BAC"/>
    <w:rsid w:val="001250F0"/>
    <w:rsid w:val="0012548B"/>
    <w:rsid w:val="00130305"/>
    <w:rsid w:val="0013554C"/>
    <w:rsid w:val="00144985"/>
    <w:rsid w:val="00154354"/>
    <w:rsid w:val="001616C9"/>
    <w:rsid w:val="00163F56"/>
    <w:rsid w:val="00165F27"/>
    <w:rsid w:val="0016656C"/>
    <w:rsid w:val="00177F5F"/>
    <w:rsid w:val="00182912"/>
    <w:rsid w:val="001932E4"/>
    <w:rsid w:val="001A1964"/>
    <w:rsid w:val="001A2657"/>
    <w:rsid w:val="001B0DCF"/>
    <w:rsid w:val="001B1CC0"/>
    <w:rsid w:val="001B2090"/>
    <w:rsid w:val="001B61CF"/>
    <w:rsid w:val="001B7621"/>
    <w:rsid w:val="001C16D5"/>
    <w:rsid w:val="001C188B"/>
    <w:rsid w:val="001D3551"/>
    <w:rsid w:val="001D55DC"/>
    <w:rsid w:val="001D5CEC"/>
    <w:rsid w:val="001E1BCD"/>
    <w:rsid w:val="001E3318"/>
    <w:rsid w:val="001E3F90"/>
    <w:rsid w:val="001E5E70"/>
    <w:rsid w:val="001F18A8"/>
    <w:rsid w:val="001F36DB"/>
    <w:rsid w:val="001F669C"/>
    <w:rsid w:val="001F7ED4"/>
    <w:rsid w:val="002050DE"/>
    <w:rsid w:val="00205F96"/>
    <w:rsid w:val="00206682"/>
    <w:rsid w:val="00206725"/>
    <w:rsid w:val="00207DBB"/>
    <w:rsid w:val="00216C77"/>
    <w:rsid w:val="00217328"/>
    <w:rsid w:val="00217370"/>
    <w:rsid w:val="00217DE0"/>
    <w:rsid w:val="00222275"/>
    <w:rsid w:val="00223432"/>
    <w:rsid w:val="00224C66"/>
    <w:rsid w:val="00235C06"/>
    <w:rsid w:val="00247744"/>
    <w:rsid w:val="00253738"/>
    <w:rsid w:val="00255CA0"/>
    <w:rsid w:val="00260052"/>
    <w:rsid w:val="0026529A"/>
    <w:rsid w:val="00265AAD"/>
    <w:rsid w:val="00272D4B"/>
    <w:rsid w:val="00272FA1"/>
    <w:rsid w:val="0027610A"/>
    <w:rsid w:val="0027715C"/>
    <w:rsid w:val="00282B4E"/>
    <w:rsid w:val="002852CD"/>
    <w:rsid w:val="002930DD"/>
    <w:rsid w:val="00294916"/>
    <w:rsid w:val="002957FD"/>
    <w:rsid w:val="0029620B"/>
    <w:rsid w:val="002975FA"/>
    <w:rsid w:val="002A59EF"/>
    <w:rsid w:val="002C588C"/>
    <w:rsid w:val="002D38F4"/>
    <w:rsid w:val="002E0E9B"/>
    <w:rsid w:val="002F0790"/>
    <w:rsid w:val="002F5CA2"/>
    <w:rsid w:val="003008A6"/>
    <w:rsid w:val="00302F62"/>
    <w:rsid w:val="00303BBE"/>
    <w:rsid w:val="003116C7"/>
    <w:rsid w:val="0031400E"/>
    <w:rsid w:val="003270B9"/>
    <w:rsid w:val="003303C2"/>
    <w:rsid w:val="00336C2F"/>
    <w:rsid w:val="0034192A"/>
    <w:rsid w:val="00343DE2"/>
    <w:rsid w:val="00345ADA"/>
    <w:rsid w:val="00345DAD"/>
    <w:rsid w:val="00346B3C"/>
    <w:rsid w:val="00347E98"/>
    <w:rsid w:val="003503B4"/>
    <w:rsid w:val="003556BC"/>
    <w:rsid w:val="00360AEB"/>
    <w:rsid w:val="00360B59"/>
    <w:rsid w:val="003643F9"/>
    <w:rsid w:val="00365161"/>
    <w:rsid w:val="003737B8"/>
    <w:rsid w:val="00374B85"/>
    <w:rsid w:val="00374E27"/>
    <w:rsid w:val="00376445"/>
    <w:rsid w:val="00376A58"/>
    <w:rsid w:val="0039084F"/>
    <w:rsid w:val="00392473"/>
    <w:rsid w:val="00393B89"/>
    <w:rsid w:val="0039576E"/>
    <w:rsid w:val="003A40CC"/>
    <w:rsid w:val="003A6ED5"/>
    <w:rsid w:val="003A7F04"/>
    <w:rsid w:val="003B3F50"/>
    <w:rsid w:val="003B4D22"/>
    <w:rsid w:val="003C50DA"/>
    <w:rsid w:val="003D1120"/>
    <w:rsid w:val="003D2441"/>
    <w:rsid w:val="003D6E0D"/>
    <w:rsid w:val="003E11FE"/>
    <w:rsid w:val="003E1B22"/>
    <w:rsid w:val="003E40BD"/>
    <w:rsid w:val="003F1EF0"/>
    <w:rsid w:val="0040125E"/>
    <w:rsid w:val="004017A3"/>
    <w:rsid w:val="00403C21"/>
    <w:rsid w:val="00404110"/>
    <w:rsid w:val="0040423E"/>
    <w:rsid w:val="0040504D"/>
    <w:rsid w:val="004058F5"/>
    <w:rsid w:val="0041002C"/>
    <w:rsid w:val="004145CB"/>
    <w:rsid w:val="00416FD7"/>
    <w:rsid w:val="004218B7"/>
    <w:rsid w:val="00421E91"/>
    <w:rsid w:val="00423B03"/>
    <w:rsid w:val="00424ADF"/>
    <w:rsid w:val="00427C9C"/>
    <w:rsid w:val="00430776"/>
    <w:rsid w:val="004328F9"/>
    <w:rsid w:val="0043738D"/>
    <w:rsid w:val="00447F22"/>
    <w:rsid w:val="004609DB"/>
    <w:rsid w:val="004654F3"/>
    <w:rsid w:val="00465506"/>
    <w:rsid w:val="00470F7F"/>
    <w:rsid w:val="00471365"/>
    <w:rsid w:val="004714BE"/>
    <w:rsid w:val="004717F6"/>
    <w:rsid w:val="00472958"/>
    <w:rsid w:val="00472F2B"/>
    <w:rsid w:val="0047349C"/>
    <w:rsid w:val="00475CE4"/>
    <w:rsid w:val="00476394"/>
    <w:rsid w:val="00482A52"/>
    <w:rsid w:val="00482BAD"/>
    <w:rsid w:val="00483389"/>
    <w:rsid w:val="00483818"/>
    <w:rsid w:val="0048569E"/>
    <w:rsid w:val="0048785F"/>
    <w:rsid w:val="0049021C"/>
    <w:rsid w:val="004A1F60"/>
    <w:rsid w:val="004A5B5E"/>
    <w:rsid w:val="004C187B"/>
    <w:rsid w:val="004C29B0"/>
    <w:rsid w:val="004C354E"/>
    <w:rsid w:val="004D07B2"/>
    <w:rsid w:val="004D554D"/>
    <w:rsid w:val="004D5CDF"/>
    <w:rsid w:val="004E4A69"/>
    <w:rsid w:val="004E5357"/>
    <w:rsid w:val="004E6117"/>
    <w:rsid w:val="004E7548"/>
    <w:rsid w:val="004F00CA"/>
    <w:rsid w:val="004F0F2B"/>
    <w:rsid w:val="004F6D21"/>
    <w:rsid w:val="00505C58"/>
    <w:rsid w:val="00507426"/>
    <w:rsid w:val="005079F4"/>
    <w:rsid w:val="00520023"/>
    <w:rsid w:val="00527EB1"/>
    <w:rsid w:val="00542F47"/>
    <w:rsid w:val="00550AAF"/>
    <w:rsid w:val="00551D71"/>
    <w:rsid w:val="0055463C"/>
    <w:rsid w:val="00560D05"/>
    <w:rsid w:val="0056428D"/>
    <w:rsid w:val="00567D01"/>
    <w:rsid w:val="00583950"/>
    <w:rsid w:val="00583BEE"/>
    <w:rsid w:val="00584CDD"/>
    <w:rsid w:val="005855C3"/>
    <w:rsid w:val="00586C86"/>
    <w:rsid w:val="0059208B"/>
    <w:rsid w:val="00592D18"/>
    <w:rsid w:val="00595609"/>
    <w:rsid w:val="005B7596"/>
    <w:rsid w:val="005C1037"/>
    <w:rsid w:val="005C4078"/>
    <w:rsid w:val="005D1A86"/>
    <w:rsid w:val="005D2E09"/>
    <w:rsid w:val="005D446B"/>
    <w:rsid w:val="005E06CA"/>
    <w:rsid w:val="005F45DF"/>
    <w:rsid w:val="005F4A5F"/>
    <w:rsid w:val="005F64FA"/>
    <w:rsid w:val="005F660B"/>
    <w:rsid w:val="006018C6"/>
    <w:rsid w:val="00606922"/>
    <w:rsid w:val="0061004F"/>
    <w:rsid w:val="00611549"/>
    <w:rsid w:val="0061337F"/>
    <w:rsid w:val="0061514B"/>
    <w:rsid w:val="00616AF5"/>
    <w:rsid w:val="00625766"/>
    <w:rsid w:val="00632DD3"/>
    <w:rsid w:val="00634E3B"/>
    <w:rsid w:val="00637567"/>
    <w:rsid w:val="006426AF"/>
    <w:rsid w:val="0064489C"/>
    <w:rsid w:val="00644FCC"/>
    <w:rsid w:val="00650AB9"/>
    <w:rsid w:val="00650C52"/>
    <w:rsid w:val="00654837"/>
    <w:rsid w:val="00655607"/>
    <w:rsid w:val="006628E7"/>
    <w:rsid w:val="00664352"/>
    <w:rsid w:val="00664628"/>
    <w:rsid w:val="00665463"/>
    <w:rsid w:val="00665F9E"/>
    <w:rsid w:val="006669C9"/>
    <w:rsid w:val="006757F8"/>
    <w:rsid w:val="0068628A"/>
    <w:rsid w:val="006869CA"/>
    <w:rsid w:val="00692684"/>
    <w:rsid w:val="00693EFC"/>
    <w:rsid w:val="006967FD"/>
    <w:rsid w:val="006A0017"/>
    <w:rsid w:val="006A0936"/>
    <w:rsid w:val="006A2B1C"/>
    <w:rsid w:val="006A40AE"/>
    <w:rsid w:val="006B7AAD"/>
    <w:rsid w:val="006B7EE4"/>
    <w:rsid w:val="006B7FC4"/>
    <w:rsid w:val="006C029D"/>
    <w:rsid w:val="006C3FA1"/>
    <w:rsid w:val="006C6187"/>
    <w:rsid w:val="006C6676"/>
    <w:rsid w:val="006C6DAA"/>
    <w:rsid w:val="006D02A1"/>
    <w:rsid w:val="006D1EDD"/>
    <w:rsid w:val="006D6252"/>
    <w:rsid w:val="006E1AD8"/>
    <w:rsid w:val="006E426C"/>
    <w:rsid w:val="006E4BF2"/>
    <w:rsid w:val="006F1EE1"/>
    <w:rsid w:val="006F2507"/>
    <w:rsid w:val="006F6624"/>
    <w:rsid w:val="006F7786"/>
    <w:rsid w:val="007057A4"/>
    <w:rsid w:val="00707A2E"/>
    <w:rsid w:val="00711E20"/>
    <w:rsid w:val="00722E38"/>
    <w:rsid w:val="0073336F"/>
    <w:rsid w:val="007334A3"/>
    <w:rsid w:val="007525E3"/>
    <w:rsid w:val="007533FE"/>
    <w:rsid w:val="00756F0F"/>
    <w:rsid w:val="0075740D"/>
    <w:rsid w:val="00762552"/>
    <w:rsid w:val="0077594E"/>
    <w:rsid w:val="00791680"/>
    <w:rsid w:val="00797CAD"/>
    <w:rsid w:val="007A5CEC"/>
    <w:rsid w:val="007B00EE"/>
    <w:rsid w:val="007B3B9C"/>
    <w:rsid w:val="007B5EAF"/>
    <w:rsid w:val="007C1172"/>
    <w:rsid w:val="007C356A"/>
    <w:rsid w:val="007C5D71"/>
    <w:rsid w:val="007C6E5F"/>
    <w:rsid w:val="007D025B"/>
    <w:rsid w:val="007D6F83"/>
    <w:rsid w:val="007D7A0E"/>
    <w:rsid w:val="007F0D47"/>
    <w:rsid w:val="007F4BB4"/>
    <w:rsid w:val="007F6CF7"/>
    <w:rsid w:val="00823C6A"/>
    <w:rsid w:val="008264B6"/>
    <w:rsid w:val="00832399"/>
    <w:rsid w:val="008410C8"/>
    <w:rsid w:val="0084251D"/>
    <w:rsid w:val="0084689C"/>
    <w:rsid w:val="008578D4"/>
    <w:rsid w:val="00857C1C"/>
    <w:rsid w:val="008606E6"/>
    <w:rsid w:val="00864721"/>
    <w:rsid w:val="0086644E"/>
    <w:rsid w:val="00866F20"/>
    <w:rsid w:val="00870234"/>
    <w:rsid w:val="00871596"/>
    <w:rsid w:val="008730F5"/>
    <w:rsid w:val="00874A09"/>
    <w:rsid w:val="00876A98"/>
    <w:rsid w:val="00876E4E"/>
    <w:rsid w:val="00884152"/>
    <w:rsid w:val="00884B95"/>
    <w:rsid w:val="0089544F"/>
    <w:rsid w:val="00897265"/>
    <w:rsid w:val="0089747C"/>
    <w:rsid w:val="008A6E9E"/>
    <w:rsid w:val="008B3C38"/>
    <w:rsid w:val="008B405D"/>
    <w:rsid w:val="008B46A9"/>
    <w:rsid w:val="008C6F0E"/>
    <w:rsid w:val="008D424E"/>
    <w:rsid w:val="008E20A2"/>
    <w:rsid w:val="008F016E"/>
    <w:rsid w:val="008F5D68"/>
    <w:rsid w:val="008F795E"/>
    <w:rsid w:val="00901685"/>
    <w:rsid w:val="009027B7"/>
    <w:rsid w:val="00906EA2"/>
    <w:rsid w:val="00910895"/>
    <w:rsid w:val="009111FC"/>
    <w:rsid w:val="009127E6"/>
    <w:rsid w:val="00913460"/>
    <w:rsid w:val="00917732"/>
    <w:rsid w:val="00921C9D"/>
    <w:rsid w:val="00922ECA"/>
    <w:rsid w:val="00923283"/>
    <w:rsid w:val="009258A6"/>
    <w:rsid w:val="00931F74"/>
    <w:rsid w:val="009328FF"/>
    <w:rsid w:val="00933D31"/>
    <w:rsid w:val="009351D4"/>
    <w:rsid w:val="00937AEB"/>
    <w:rsid w:val="009404A6"/>
    <w:rsid w:val="00940824"/>
    <w:rsid w:val="00941005"/>
    <w:rsid w:val="00943D75"/>
    <w:rsid w:val="00945ECA"/>
    <w:rsid w:val="00946338"/>
    <w:rsid w:val="00950149"/>
    <w:rsid w:val="00950914"/>
    <w:rsid w:val="0096305F"/>
    <w:rsid w:val="0097034B"/>
    <w:rsid w:val="009711E9"/>
    <w:rsid w:val="009762CD"/>
    <w:rsid w:val="009767E0"/>
    <w:rsid w:val="0098049A"/>
    <w:rsid w:val="00980E6A"/>
    <w:rsid w:val="0098417B"/>
    <w:rsid w:val="009869A1"/>
    <w:rsid w:val="00992CBF"/>
    <w:rsid w:val="009943D2"/>
    <w:rsid w:val="00995E1D"/>
    <w:rsid w:val="009A2BC4"/>
    <w:rsid w:val="009A6997"/>
    <w:rsid w:val="009B3E20"/>
    <w:rsid w:val="009C1AB1"/>
    <w:rsid w:val="009C35A6"/>
    <w:rsid w:val="009C51F3"/>
    <w:rsid w:val="009C73B7"/>
    <w:rsid w:val="009E0040"/>
    <w:rsid w:val="009E3BFE"/>
    <w:rsid w:val="009E6E94"/>
    <w:rsid w:val="009E73FB"/>
    <w:rsid w:val="009F1052"/>
    <w:rsid w:val="00A12118"/>
    <w:rsid w:val="00A150C3"/>
    <w:rsid w:val="00A20D7F"/>
    <w:rsid w:val="00A255CD"/>
    <w:rsid w:val="00A30477"/>
    <w:rsid w:val="00A3369B"/>
    <w:rsid w:val="00A3611B"/>
    <w:rsid w:val="00A3660D"/>
    <w:rsid w:val="00A37715"/>
    <w:rsid w:val="00A40248"/>
    <w:rsid w:val="00A41398"/>
    <w:rsid w:val="00A435E0"/>
    <w:rsid w:val="00A46F42"/>
    <w:rsid w:val="00A50776"/>
    <w:rsid w:val="00A522B6"/>
    <w:rsid w:val="00A525D2"/>
    <w:rsid w:val="00A5514B"/>
    <w:rsid w:val="00A566E7"/>
    <w:rsid w:val="00A579DC"/>
    <w:rsid w:val="00A57D94"/>
    <w:rsid w:val="00A61FA8"/>
    <w:rsid w:val="00A713ED"/>
    <w:rsid w:val="00A7206A"/>
    <w:rsid w:val="00A72215"/>
    <w:rsid w:val="00A828F2"/>
    <w:rsid w:val="00A82F8D"/>
    <w:rsid w:val="00A83428"/>
    <w:rsid w:val="00A854C4"/>
    <w:rsid w:val="00A90645"/>
    <w:rsid w:val="00A92524"/>
    <w:rsid w:val="00A92DC2"/>
    <w:rsid w:val="00A94018"/>
    <w:rsid w:val="00A94A77"/>
    <w:rsid w:val="00A96383"/>
    <w:rsid w:val="00AA2DAE"/>
    <w:rsid w:val="00AA4450"/>
    <w:rsid w:val="00AA46DC"/>
    <w:rsid w:val="00AA6F97"/>
    <w:rsid w:val="00AB143D"/>
    <w:rsid w:val="00AB2D14"/>
    <w:rsid w:val="00AB30F1"/>
    <w:rsid w:val="00AB501F"/>
    <w:rsid w:val="00AB6CAA"/>
    <w:rsid w:val="00AC04A4"/>
    <w:rsid w:val="00AC093B"/>
    <w:rsid w:val="00AC125D"/>
    <w:rsid w:val="00AC4E11"/>
    <w:rsid w:val="00AD0D6D"/>
    <w:rsid w:val="00AD6290"/>
    <w:rsid w:val="00AD7AC5"/>
    <w:rsid w:val="00AE1806"/>
    <w:rsid w:val="00AE2B65"/>
    <w:rsid w:val="00AE3DEF"/>
    <w:rsid w:val="00AF0A9B"/>
    <w:rsid w:val="00B000FD"/>
    <w:rsid w:val="00B0194F"/>
    <w:rsid w:val="00B031F9"/>
    <w:rsid w:val="00B035A0"/>
    <w:rsid w:val="00B0691F"/>
    <w:rsid w:val="00B07047"/>
    <w:rsid w:val="00B12A6B"/>
    <w:rsid w:val="00B13353"/>
    <w:rsid w:val="00B15BC2"/>
    <w:rsid w:val="00B1667F"/>
    <w:rsid w:val="00B211FE"/>
    <w:rsid w:val="00B247F2"/>
    <w:rsid w:val="00B24ECF"/>
    <w:rsid w:val="00B257E8"/>
    <w:rsid w:val="00B36373"/>
    <w:rsid w:val="00B40E4B"/>
    <w:rsid w:val="00B42AED"/>
    <w:rsid w:val="00B44E6E"/>
    <w:rsid w:val="00B53505"/>
    <w:rsid w:val="00B54495"/>
    <w:rsid w:val="00B565AA"/>
    <w:rsid w:val="00B670B5"/>
    <w:rsid w:val="00B7050C"/>
    <w:rsid w:val="00B7105F"/>
    <w:rsid w:val="00B71E7E"/>
    <w:rsid w:val="00B721FD"/>
    <w:rsid w:val="00B83003"/>
    <w:rsid w:val="00B866F7"/>
    <w:rsid w:val="00B91BD5"/>
    <w:rsid w:val="00B92721"/>
    <w:rsid w:val="00B92907"/>
    <w:rsid w:val="00B94106"/>
    <w:rsid w:val="00B95069"/>
    <w:rsid w:val="00BA045F"/>
    <w:rsid w:val="00BA0D15"/>
    <w:rsid w:val="00BB260A"/>
    <w:rsid w:val="00BB4611"/>
    <w:rsid w:val="00BB6931"/>
    <w:rsid w:val="00BB7209"/>
    <w:rsid w:val="00BC1FBF"/>
    <w:rsid w:val="00BC5C99"/>
    <w:rsid w:val="00BD37EA"/>
    <w:rsid w:val="00BD4986"/>
    <w:rsid w:val="00BE1B65"/>
    <w:rsid w:val="00BE604E"/>
    <w:rsid w:val="00BF3D28"/>
    <w:rsid w:val="00BF6739"/>
    <w:rsid w:val="00C02180"/>
    <w:rsid w:val="00C046CA"/>
    <w:rsid w:val="00C0482C"/>
    <w:rsid w:val="00C0613D"/>
    <w:rsid w:val="00C13D74"/>
    <w:rsid w:val="00C1482A"/>
    <w:rsid w:val="00C204FA"/>
    <w:rsid w:val="00C22082"/>
    <w:rsid w:val="00C27332"/>
    <w:rsid w:val="00C274B1"/>
    <w:rsid w:val="00C32FB1"/>
    <w:rsid w:val="00C341D0"/>
    <w:rsid w:val="00C35225"/>
    <w:rsid w:val="00C4149E"/>
    <w:rsid w:val="00C41F7A"/>
    <w:rsid w:val="00C55ECE"/>
    <w:rsid w:val="00C627FB"/>
    <w:rsid w:val="00C65BC4"/>
    <w:rsid w:val="00C664D5"/>
    <w:rsid w:val="00C66852"/>
    <w:rsid w:val="00C71576"/>
    <w:rsid w:val="00C72B1F"/>
    <w:rsid w:val="00C76584"/>
    <w:rsid w:val="00C776B6"/>
    <w:rsid w:val="00C83CD2"/>
    <w:rsid w:val="00C83E82"/>
    <w:rsid w:val="00C840D2"/>
    <w:rsid w:val="00C8794A"/>
    <w:rsid w:val="00C92BE2"/>
    <w:rsid w:val="00C94DF2"/>
    <w:rsid w:val="00C979E0"/>
    <w:rsid w:val="00CA3710"/>
    <w:rsid w:val="00CB5554"/>
    <w:rsid w:val="00CB7B4B"/>
    <w:rsid w:val="00CB7E56"/>
    <w:rsid w:val="00CC6808"/>
    <w:rsid w:val="00CC7A92"/>
    <w:rsid w:val="00CD0A0F"/>
    <w:rsid w:val="00CD3417"/>
    <w:rsid w:val="00CE0F25"/>
    <w:rsid w:val="00CE201A"/>
    <w:rsid w:val="00CE65E4"/>
    <w:rsid w:val="00CF24B0"/>
    <w:rsid w:val="00CF3727"/>
    <w:rsid w:val="00D00A0B"/>
    <w:rsid w:val="00D05E72"/>
    <w:rsid w:val="00D14E94"/>
    <w:rsid w:val="00D159E7"/>
    <w:rsid w:val="00D17EB0"/>
    <w:rsid w:val="00D206AD"/>
    <w:rsid w:val="00D231B8"/>
    <w:rsid w:val="00D2637C"/>
    <w:rsid w:val="00D2695E"/>
    <w:rsid w:val="00D3096E"/>
    <w:rsid w:val="00D407A5"/>
    <w:rsid w:val="00D462AF"/>
    <w:rsid w:val="00D51265"/>
    <w:rsid w:val="00D52F05"/>
    <w:rsid w:val="00D543B8"/>
    <w:rsid w:val="00D5669A"/>
    <w:rsid w:val="00D60C8F"/>
    <w:rsid w:val="00D60DDD"/>
    <w:rsid w:val="00D610FB"/>
    <w:rsid w:val="00D6189E"/>
    <w:rsid w:val="00D65306"/>
    <w:rsid w:val="00D72427"/>
    <w:rsid w:val="00D85F5D"/>
    <w:rsid w:val="00D930F8"/>
    <w:rsid w:val="00D977C5"/>
    <w:rsid w:val="00DA5D23"/>
    <w:rsid w:val="00DA6666"/>
    <w:rsid w:val="00DA7D58"/>
    <w:rsid w:val="00DA7F72"/>
    <w:rsid w:val="00DB1CBB"/>
    <w:rsid w:val="00DB4731"/>
    <w:rsid w:val="00DC074B"/>
    <w:rsid w:val="00DC095E"/>
    <w:rsid w:val="00DC3396"/>
    <w:rsid w:val="00DC752F"/>
    <w:rsid w:val="00DD0382"/>
    <w:rsid w:val="00DE3C58"/>
    <w:rsid w:val="00DE5021"/>
    <w:rsid w:val="00DE54AE"/>
    <w:rsid w:val="00DE719A"/>
    <w:rsid w:val="00DF0286"/>
    <w:rsid w:val="00DF60A3"/>
    <w:rsid w:val="00DF75D9"/>
    <w:rsid w:val="00E016C7"/>
    <w:rsid w:val="00E03E73"/>
    <w:rsid w:val="00E0488B"/>
    <w:rsid w:val="00E07074"/>
    <w:rsid w:val="00E070A0"/>
    <w:rsid w:val="00E141BB"/>
    <w:rsid w:val="00E1443E"/>
    <w:rsid w:val="00E16147"/>
    <w:rsid w:val="00E16BE5"/>
    <w:rsid w:val="00E21DEA"/>
    <w:rsid w:val="00E24E5C"/>
    <w:rsid w:val="00E258EC"/>
    <w:rsid w:val="00E3221C"/>
    <w:rsid w:val="00E3270C"/>
    <w:rsid w:val="00E35746"/>
    <w:rsid w:val="00E36475"/>
    <w:rsid w:val="00E4068B"/>
    <w:rsid w:val="00E447E0"/>
    <w:rsid w:val="00E461CF"/>
    <w:rsid w:val="00E47363"/>
    <w:rsid w:val="00E52550"/>
    <w:rsid w:val="00E53570"/>
    <w:rsid w:val="00E613DF"/>
    <w:rsid w:val="00E64FA2"/>
    <w:rsid w:val="00E70F9C"/>
    <w:rsid w:val="00E7727A"/>
    <w:rsid w:val="00E83A01"/>
    <w:rsid w:val="00E83B91"/>
    <w:rsid w:val="00E8631D"/>
    <w:rsid w:val="00E946D7"/>
    <w:rsid w:val="00EA18A2"/>
    <w:rsid w:val="00EA3826"/>
    <w:rsid w:val="00EB0C37"/>
    <w:rsid w:val="00EB12FE"/>
    <w:rsid w:val="00EB1F6A"/>
    <w:rsid w:val="00EB24FE"/>
    <w:rsid w:val="00EB61B5"/>
    <w:rsid w:val="00EB75D3"/>
    <w:rsid w:val="00EC3CDC"/>
    <w:rsid w:val="00EC3E03"/>
    <w:rsid w:val="00EC631C"/>
    <w:rsid w:val="00ED0CF7"/>
    <w:rsid w:val="00ED3560"/>
    <w:rsid w:val="00ED6C31"/>
    <w:rsid w:val="00ED7DEA"/>
    <w:rsid w:val="00EE032B"/>
    <w:rsid w:val="00EE0F76"/>
    <w:rsid w:val="00EE1828"/>
    <w:rsid w:val="00EE1C7E"/>
    <w:rsid w:val="00EE2B51"/>
    <w:rsid w:val="00EE66BE"/>
    <w:rsid w:val="00EF29A0"/>
    <w:rsid w:val="00EF2D59"/>
    <w:rsid w:val="00EF481E"/>
    <w:rsid w:val="00F02A97"/>
    <w:rsid w:val="00F0324D"/>
    <w:rsid w:val="00F042D3"/>
    <w:rsid w:val="00F16603"/>
    <w:rsid w:val="00F234F3"/>
    <w:rsid w:val="00F238B5"/>
    <w:rsid w:val="00F261A4"/>
    <w:rsid w:val="00F262A5"/>
    <w:rsid w:val="00F26BB3"/>
    <w:rsid w:val="00F30CB3"/>
    <w:rsid w:val="00F31254"/>
    <w:rsid w:val="00F319DA"/>
    <w:rsid w:val="00F354C9"/>
    <w:rsid w:val="00F35A2A"/>
    <w:rsid w:val="00F36CE7"/>
    <w:rsid w:val="00F36D50"/>
    <w:rsid w:val="00F4490C"/>
    <w:rsid w:val="00F47C79"/>
    <w:rsid w:val="00F50DED"/>
    <w:rsid w:val="00F52452"/>
    <w:rsid w:val="00F60FB5"/>
    <w:rsid w:val="00F6498A"/>
    <w:rsid w:val="00F76C1B"/>
    <w:rsid w:val="00F80A1D"/>
    <w:rsid w:val="00F83B2D"/>
    <w:rsid w:val="00F84EFF"/>
    <w:rsid w:val="00F865A7"/>
    <w:rsid w:val="00F87483"/>
    <w:rsid w:val="00FA0125"/>
    <w:rsid w:val="00FA614E"/>
    <w:rsid w:val="00FA7E16"/>
    <w:rsid w:val="00FB0DF0"/>
    <w:rsid w:val="00FB29E7"/>
    <w:rsid w:val="00FB33C8"/>
    <w:rsid w:val="00FB7634"/>
    <w:rsid w:val="00FB784F"/>
    <w:rsid w:val="00FC1756"/>
    <w:rsid w:val="00FC1C08"/>
    <w:rsid w:val="00FC2738"/>
    <w:rsid w:val="00FC4AFF"/>
    <w:rsid w:val="00FD0CEB"/>
    <w:rsid w:val="00FD3BD9"/>
    <w:rsid w:val="00FD4F76"/>
    <w:rsid w:val="00FE2E30"/>
    <w:rsid w:val="00FE4276"/>
    <w:rsid w:val="00FF4186"/>
    <w:rsid w:val="00FF7B49"/>
    <w:rsid w:val="0139A53D"/>
    <w:rsid w:val="073FF422"/>
    <w:rsid w:val="0A32067D"/>
    <w:rsid w:val="0D5A40E6"/>
    <w:rsid w:val="0F4FFE35"/>
    <w:rsid w:val="10D49E77"/>
    <w:rsid w:val="19A20B7B"/>
    <w:rsid w:val="1AE5ED4A"/>
    <w:rsid w:val="1E082550"/>
    <w:rsid w:val="1F59B0FE"/>
    <w:rsid w:val="21C63978"/>
    <w:rsid w:val="27D61FDC"/>
    <w:rsid w:val="28B80074"/>
    <w:rsid w:val="2E2FF330"/>
    <w:rsid w:val="317242CB"/>
    <w:rsid w:val="3A3091B2"/>
    <w:rsid w:val="3A95792E"/>
    <w:rsid w:val="3ABEE320"/>
    <w:rsid w:val="3E52B3F8"/>
    <w:rsid w:val="4001AA00"/>
    <w:rsid w:val="4582DDF5"/>
    <w:rsid w:val="469D75DC"/>
    <w:rsid w:val="4C91C11D"/>
    <w:rsid w:val="4EB764B8"/>
    <w:rsid w:val="517808A6"/>
    <w:rsid w:val="51D99CBE"/>
    <w:rsid w:val="57E2D26B"/>
    <w:rsid w:val="590DAA7A"/>
    <w:rsid w:val="5F66EBCA"/>
    <w:rsid w:val="62140736"/>
    <w:rsid w:val="6499B4C6"/>
    <w:rsid w:val="657F95E6"/>
    <w:rsid w:val="669AF986"/>
    <w:rsid w:val="67085C3E"/>
    <w:rsid w:val="694814F2"/>
    <w:rsid w:val="6956106E"/>
    <w:rsid w:val="6BC9B465"/>
    <w:rsid w:val="7099ABC1"/>
    <w:rsid w:val="72C1183B"/>
    <w:rsid w:val="74D41F3E"/>
    <w:rsid w:val="76236962"/>
    <w:rsid w:val="78E2792B"/>
    <w:rsid w:val="7D9668F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F875FC3"/>
  <w15:docId w15:val="{623B75BE-E2A7-4E84-BECF-F1DEA279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pPr>
      <w:spacing w:after="120"/>
    </w:pPr>
  </w:style>
  <w:style w:type="character" w:styleId="FootnoteReference">
    <w:name w:val="footnote reference"/>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fn Char2"/>
    <w:basedOn w:val="DefaultParagraphFont"/>
    <w:link w:val="FootnoteText"/>
    <w:uiPriority w:val="99"/>
    <w:semiHidden/>
    <w:rsid w:val="00F31254"/>
  </w:style>
  <w:style w:type="paragraph" w:styleId="ListParagraph">
    <w:name w:val="List Paragraph"/>
    <w:basedOn w:val="Normal"/>
    <w:uiPriority w:val="34"/>
    <w:qFormat/>
    <w:rsid w:val="0089544F"/>
    <w:pPr>
      <w:ind w:left="720"/>
    </w:pPr>
  </w:style>
  <w:style w:type="paragraph" w:styleId="Revision">
    <w:name w:val="Revision"/>
    <w:hidden/>
    <w:uiPriority w:val="99"/>
    <w:semiHidden/>
    <w:rsid w:val="00A854C4"/>
    <w:rPr>
      <w:snapToGrid w:val="0"/>
      <w:kern w:val="28"/>
      <w:sz w:val="22"/>
    </w:rPr>
  </w:style>
  <w:style w:type="character" w:styleId="CommentReference">
    <w:name w:val="annotation reference"/>
    <w:basedOn w:val="DefaultParagraphFont"/>
    <w:uiPriority w:val="99"/>
    <w:semiHidden/>
    <w:unhideWhenUsed/>
    <w:rsid w:val="00C83E82"/>
    <w:rPr>
      <w:sz w:val="16"/>
      <w:szCs w:val="16"/>
    </w:rPr>
  </w:style>
  <w:style w:type="paragraph" w:styleId="CommentText">
    <w:name w:val="annotation text"/>
    <w:basedOn w:val="Normal"/>
    <w:link w:val="CommentTextChar"/>
    <w:uiPriority w:val="99"/>
    <w:unhideWhenUsed/>
    <w:rsid w:val="00C83E82"/>
    <w:rPr>
      <w:sz w:val="20"/>
    </w:rPr>
  </w:style>
  <w:style w:type="character" w:customStyle="1" w:styleId="CommentTextChar">
    <w:name w:val="Comment Text Char"/>
    <w:basedOn w:val="DefaultParagraphFont"/>
    <w:link w:val="CommentText"/>
    <w:uiPriority w:val="99"/>
    <w:rsid w:val="00C83E82"/>
    <w:rPr>
      <w:snapToGrid w:val="0"/>
      <w:kern w:val="28"/>
    </w:rPr>
  </w:style>
  <w:style w:type="paragraph" w:styleId="CommentSubject">
    <w:name w:val="annotation subject"/>
    <w:basedOn w:val="CommentText"/>
    <w:next w:val="CommentText"/>
    <w:link w:val="CommentSubjectChar"/>
    <w:uiPriority w:val="99"/>
    <w:semiHidden/>
    <w:unhideWhenUsed/>
    <w:rsid w:val="00C83E82"/>
    <w:rPr>
      <w:b/>
      <w:bCs/>
    </w:rPr>
  </w:style>
  <w:style w:type="character" w:customStyle="1" w:styleId="CommentSubjectChar">
    <w:name w:val="Comment Subject Char"/>
    <w:basedOn w:val="CommentTextChar"/>
    <w:link w:val="CommentSubject"/>
    <w:uiPriority w:val="99"/>
    <w:semiHidden/>
    <w:rsid w:val="00C83E82"/>
    <w:rPr>
      <w:b/>
      <w:bCs/>
      <w:snapToGrid w:val="0"/>
      <w:kern w:val="28"/>
    </w:rPr>
  </w:style>
  <w:style w:type="character" w:styleId="FollowedHyperlink">
    <w:name w:val="FollowedHyperlink"/>
    <w:basedOn w:val="DefaultParagraphFont"/>
    <w:uiPriority w:val="99"/>
    <w:semiHidden/>
    <w:unhideWhenUsed/>
    <w:rsid w:val="000D4A71"/>
    <w:rPr>
      <w:color w:val="954F72" w:themeColor="followedHyperlink"/>
      <w:u w:val="single"/>
    </w:rPr>
  </w:style>
  <w:style w:type="character" w:customStyle="1" w:styleId="Mention">
    <w:name w:val="Mention"/>
    <w:basedOn w:val="DefaultParagraphFont"/>
    <w:uiPriority w:val="99"/>
    <w:unhideWhenUsed/>
    <w:rsid w:val="009A699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nne.veigle@fcc.gov" TargetMode="External" /><Relationship Id="rId11" Type="http://schemas.openxmlformats.org/officeDocument/2006/relationships/hyperlink" Target="mailto:fcc504@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s://www.fcc.gov/BroadbandData/resources" TargetMode="External" /><Relationship Id="rId7" Type="http://schemas.openxmlformats.org/officeDocument/2006/relationships/hyperlink" Target="https://www.fcc.gov/BroadbandData" TargetMode="External" /><Relationship Id="rId8" Type="http://schemas.openxmlformats.org/officeDocument/2006/relationships/hyperlink" Target="mailto:Raphael.Sznajder@fcc.gov" TargetMode="External" /><Relationship Id="rId9" Type="http://schemas.openxmlformats.org/officeDocument/2006/relationships/hyperlink" Target="mailto:William.Holloway@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govinfo.gov/content/pkg/BILLS-117hr3684enr/pdf/BILLS-117hr3684enr.pdf%20" TargetMode="External" /><Relationship Id="rId2" Type="http://schemas.openxmlformats.org/officeDocument/2006/relationships/hyperlink" Target="https://broadbandusa.ntia.doc.gov/sites/default/files/2022-05/BEAD%20NOFO.pdf" TargetMode="External" /><Relationship Id="rId3" Type="http://schemas.openxmlformats.org/officeDocument/2006/relationships/hyperlink" Target="https://us-fcc.app.box.com/v/bdc-availability-spec"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