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B547A" w:rsidP="00BB547A" w14:paraId="74444FF5" w14:textId="22ACBA7C">
      <w:pPr>
        <w:jc w:val="right"/>
        <w:rPr>
          <w:b/>
          <w:szCs w:val="22"/>
        </w:rPr>
      </w:pPr>
      <w:r>
        <w:rPr>
          <w:b/>
          <w:szCs w:val="22"/>
        </w:rPr>
        <w:t>DA 2</w:t>
      </w:r>
      <w:r w:rsidR="00014F0F">
        <w:rPr>
          <w:b/>
          <w:szCs w:val="22"/>
        </w:rPr>
        <w:t>2</w:t>
      </w:r>
      <w:r>
        <w:rPr>
          <w:b/>
          <w:szCs w:val="22"/>
        </w:rPr>
        <w:t>-</w:t>
      </w:r>
      <w:r w:rsidR="009F6279">
        <w:rPr>
          <w:b/>
          <w:szCs w:val="22"/>
        </w:rPr>
        <w:t>644</w:t>
      </w:r>
    </w:p>
    <w:p w:rsidR="00BB547A" w:rsidP="00BB547A" w14:paraId="7BBC62C9" w14:textId="3F307202">
      <w:pPr>
        <w:jc w:val="right"/>
        <w:rPr>
          <w:b/>
          <w:szCs w:val="22"/>
        </w:rPr>
      </w:pPr>
      <w:r>
        <w:rPr>
          <w:b/>
          <w:szCs w:val="22"/>
        </w:rPr>
        <w:t xml:space="preserve">Released: </w:t>
      </w:r>
      <w:r w:rsidR="00014F0F">
        <w:rPr>
          <w:b/>
          <w:szCs w:val="22"/>
        </w:rPr>
        <w:t>June 16, 2022</w:t>
      </w:r>
    </w:p>
    <w:p w:rsidR="00BB547A" w:rsidP="00BB547A" w14:paraId="0526BD46" w14:textId="77777777">
      <w:pPr>
        <w:jc w:val="right"/>
        <w:rPr>
          <w:szCs w:val="22"/>
        </w:rPr>
      </w:pPr>
    </w:p>
    <w:p w:rsidR="00BB547A" w:rsidP="008779BD" w14:paraId="3A37CA79" w14:textId="2676660F">
      <w:pPr>
        <w:jc w:val="center"/>
        <w:rPr>
          <w:b/>
          <w:szCs w:val="22"/>
        </w:rPr>
      </w:pPr>
      <w:r w:rsidRPr="00EB6FED">
        <w:rPr>
          <w:b/>
          <w:szCs w:val="22"/>
        </w:rPr>
        <w:t xml:space="preserve">PUBLIC SAFETY AND HOMELAND SECURITY BUREAU </w:t>
      </w:r>
      <w:r w:rsidR="00BC168A">
        <w:rPr>
          <w:b/>
          <w:szCs w:val="22"/>
        </w:rPr>
        <w:t xml:space="preserve">SEEKS COMMENT ON </w:t>
      </w:r>
      <w:r w:rsidRPr="00EB6FED">
        <w:rPr>
          <w:b/>
          <w:szCs w:val="22"/>
        </w:rPr>
        <w:t>REGION</w:t>
      </w:r>
      <w:r w:rsidR="00EF0046">
        <w:rPr>
          <w:b/>
          <w:szCs w:val="22"/>
        </w:rPr>
        <w:t> </w:t>
      </w:r>
      <w:r w:rsidRPr="00EB6FED">
        <w:rPr>
          <w:b/>
          <w:szCs w:val="22"/>
        </w:rPr>
        <w:t>3</w:t>
      </w:r>
      <w:r w:rsidR="00F52804">
        <w:rPr>
          <w:b/>
          <w:szCs w:val="22"/>
        </w:rPr>
        <w:t>9</w:t>
      </w:r>
      <w:r w:rsidRPr="00EB6FED">
        <w:rPr>
          <w:b/>
          <w:szCs w:val="22"/>
        </w:rPr>
        <w:t xml:space="preserve"> (</w:t>
      </w:r>
      <w:r w:rsidR="00F52804">
        <w:rPr>
          <w:b/>
          <w:szCs w:val="22"/>
        </w:rPr>
        <w:t>TENNESSEE</w:t>
      </w:r>
      <w:r w:rsidRPr="00EB6FED">
        <w:rPr>
          <w:b/>
          <w:szCs w:val="22"/>
        </w:rPr>
        <w:t xml:space="preserve">) 800 MHZ NPSPAC REGIONAL PLAN AMENDMENT </w:t>
      </w:r>
    </w:p>
    <w:p w:rsidR="008779BD" w:rsidP="008779BD" w14:paraId="4B6E064C" w14:textId="77777777">
      <w:pPr>
        <w:jc w:val="center"/>
        <w:rPr>
          <w:b/>
          <w:szCs w:val="22"/>
        </w:rPr>
      </w:pPr>
    </w:p>
    <w:p w:rsidR="00FB0537" w:rsidP="008779BD" w14:paraId="12160E37" w14:textId="56BA7D84">
      <w:pPr>
        <w:jc w:val="center"/>
        <w:rPr>
          <w:b/>
          <w:szCs w:val="22"/>
        </w:rPr>
      </w:pPr>
      <w:r w:rsidRPr="00FB0537">
        <w:rPr>
          <w:b/>
          <w:szCs w:val="22"/>
        </w:rPr>
        <w:t>PR Docket No.</w:t>
      </w:r>
      <w:r>
        <w:rPr>
          <w:b/>
          <w:szCs w:val="22"/>
        </w:rPr>
        <w:t xml:space="preserve"> </w:t>
      </w:r>
      <w:r w:rsidRPr="00F24511" w:rsidR="00F24511">
        <w:rPr>
          <w:b/>
          <w:szCs w:val="22"/>
        </w:rPr>
        <w:t>93-58</w:t>
      </w:r>
    </w:p>
    <w:p w:rsidR="00702187" w:rsidP="008779BD" w14:paraId="002C04E5" w14:textId="374FEC85">
      <w:pPr>
        <w:widowControl/>
        <w:rPr>
          <w:b/>
          <w:bCs/>
          <w:szCs w:val="22"/>
        </w:rPr>
      </w:pPr>
      <w:r w:rsidRPr="00CB5EFF">
        <w:rPr>
          <w:b/>
          <w:bCs/>
          <w:szCs w:val="22"/>
        </w:rPr>
        <w:t>Comment</w:t>
      </w:r>
      <w:r w:rsidR="008779BD">
        <w:rPr>
          <w:b/>
          <w:bCs/>
          <w:szCs w:val="22"/>
        </w:rPr>
        <w:t>s</w:t>
      </w:r>
      <w:r w:rsidRPr="00CB5EFF">
        <w:rPr>
          <w:b/>
          <w:bCs/>
          <w:szCs w:val="22"/>
        </w:rPr>
        <w:t xml:space="preserve"> D</w:t>
      </w:r>
      <w:r w:rsidR="008779BD">
        <w:rPr>
          <w:b/>
          <w:bCs/>
          <w:szCs w:val="22"/>
        </w:rPr>
        <w:t>ue</w:t>
      </w:r>
      <w:r w:rsidRPr="00CB5EFF">
        <w:rPr>
          <w:b/>
          <w:bCs/>
          <w:szCs w:val="22"/>
        </w:rPr>
        <w:t xml:space="preserve">: </w:t>
      </w:r>
      <w:r w:rsidR="00766920">
        <w:rPr>
          <w:b/>
          <w:bCs/>
          <w:szCs w:val="22"/>
        </w:rPr>
        <w:t xml:space="preserve">July 18, </w:t>
      </w:r>
      <w:r w:rsidR="00AD2E5D">
        <w:rPr>
          <w:b/>
          <w:bCs/>
          <w:szCs w:val="22"/>
        </w:rPr>
        <w:t>202</w:t>
      </w:r>
      <w:r w:rsidR="00766920">
        <w:rPr>
          <w:b/>
          <w:bCs/>
          <w:szCs w:val="22"/>
        </w:rPr>
        <w:t>2</w:t>
      </w:r>
    </w:p>
    <w:p w:rsidR="008779BD" w:rsidRPr="001D5890" w:rsidP="008779BD" w14:paraId="792713D1" w14:textId="77777777">
      <w:pPr>
        <w:widowControl/>
        <w:rPr>
          <w:b/>
          <w:bCs/>
          <w:szCs w:val="22"/>
        </w:rPr>
      </w:pPr>
    </w:p>
    <w:p w:rsidR="00702187" w:rsidP="006F2C1A" w14:paraId="2F7619C8" w14:textId="2C4FE8C4">
      <w:pPr>
        <w:widowControl/>
        <w:ind w:firstLine="720"/>
        <w:rPr>
          <w:szCs w:val="22"/>
        </w:rPr>
      </w:pPr>
      <w:r w:rsidRPr="00702187">
        <w:rPr>
          <w:i/>
          <w:iCs/>
          <w:szCs w:val="22"/>
        </w:rPr>
        <w:t>Introduction</w:t>
      </w:r>
      <w:r w:rsidRPr="00702187">
        <w:rPr>
          <w:szCs w:val="22"/>
        </w:rPr>
        <w:t xml:space="preserve">.  By this Public Notice, the Public Safety and Homeland Security Bureau (Bureau) </w:t>
      </w:r>
      <w:r>
        <w:rPr>
          <w:szCs w:val="22"/>
        </w:rPr>
        <w:t xml:space="preserve">seeks comment </w:t>
      </w:r>
      <w:r w:rsidR="00B3735D">
        <w:rPr>
          <w:szCs w:val="22"/>
        </w:rPr>
        <w:t xml:space="preserve">on </w:t>
      </w:r>
      <w:r w:rsidRPr="00702187">
        <w:rPr>
          <w:szCs w:val="22"/>
        </w:rPr>
        <w:t>the Region 3</w:t>
      </w:r>
      <w:r w:rsidR="00B3735D">
        <w:rPr>
          <w:szCs w:val="22"/>
        </w:rPr>
        <w:t>9</w:t>
      </w:r>
      <w:r w:rsidRPr="00702187">
        <w:rPr>
          <w:szCs w:val="22"/>
        </w:rPr>
        <w:t xml:space="preserve"> (</w:t>
      </w:r>
      <w:r w:rsidR="00B3735D">
        <w:rPr>
          <w:szCs w:val="22"/>
        </w:rPr>
        <w:t>Tennessee</w:t>
      </w:r>
      <w:r w:rsidRPr="00702187">
        <w:rPr>
          <w:szCs w:val="22"/>
        </w:rPr>
        <w:t>)</w:t>
      </w:r>
      <w:r>
        <w:rPr>
          <w:rStyle w:val="FootnoteReference"/>
          <w:szCs w:val="22"/>
        </w:rPr>
        <w:footnoteReference w:id="3"/>
      </w:r>
      <w:r w:rsidRPr="00702187">
        <w:rPr>
          <w:szCs w:val="22"/>
        </w:rPr>
        <w:t xml:space="preserve"> </w:t>
      </w:r>
      <w:r w:rsidR="00C96357">
        <w:rPr>
          <w:szCs w:val="22"/>
        </w:rPr>
        <w:t xml:space="preserve">- </w:t>
      </w:r>
      <w:r w:rsidRPr="00702187">
        <w:rPr>
          <w:szCs w:val="22"/>
        </w:rPr>
        <w:t>Regional Planning Committee’s (RPC) proposed modifications to its 800 MHz National Public Safety Planning Advisory Committee (NPSPAC) Plan.</w:t>
      </w:r>
      <w:r>
        <w:rPr>
          <w:rStyle w:val="FootnoteReference"/>
          <w:szCs w:val="22"/>
        </w:rPr>
        <w:footnoteReference w:id="4"/>
      </w:r>
      <w:r w:rsidRPr="00702187">
        <w:rPr>
          <w:szCs w:val="22"/>
        </w:rPr>
        <w:t xml:space="preserve"> </w:t>
      </w:r>
    </w:p>
    <w:p w:rsidR="00D77B20" w:rsidP="006F2C1A" w14:paraId="10A15F67" w14:textId="19D5AEBD">
      <w:pPr>
        <w:widowControl/>
        <w:ind w:firstLine="720"/>
        <w:rPr>
          <w:szCs w:val="22"/>
        </w:rPr>
      </w:pPr>
    </w:p>
    <w:p w:rsidR="006F2C1A" w:rsidP="006F2C1A" w14:paraId="6925EDDA" w14:textId="07192533">
      <w:pPr>
        <w:ind w:firstLine="720"/>
        <w:rPr>
          <w:szCs w:val="22"/>
        </w:rPr>
      </w:pPr>
      <w:r w:rsidRPr="006D0820">
        <w:rPr>
          <w:i/>
          <w:szCs w:val="22"/>
        </w:rPr>
        <w:t>Background</w:t>
      </w:r>
      <w:r>
        <w:rPr>
          <w:szCs w:val="22"/>
        </w:rPr>
        <w:t xml:space="preserve">.  The Commission’s policies require </w:t>
      </w:r>
      <w:r w:rsidR="001D613D">
        <w:rPr>
          <w:szCs w:val="22"/>
        </w:rPr>
        <w:t xml:space="preserve">each </w:t>
      </w:r>
      <w:r>
        <w:rPr>
          <w:szCs w:val="22"/>
        </w:rPr>
        <w:t>RPC</w:t>
      </w:r>
      <w:r w:rsidR="001D613D">
        <w:rPr>
          <w:szCs w:val="22"/>
        </w:rPr>
        <w:t xml:space="preserve"> </w:t>
      </w:r>
      <w:r>
        <w:rPr>
          <w:szCs w:val="22"/>
        </w:rPr>
        <w:t xml:space="preserve">to prepare and submit </w:t>
      </w:r>
      <w:r w:rsidR="001D613D">
        <w:rPr>
          <w:szCs w:val="22"/>
        </w:rPr>
        <w:t xml:space="preserve">a </w:t>
      </w:r>
      <w:r>
        <w:rPr>
          <w:szCs w:val="22"/>
        </w:rPr>
        <w:t>regional plan for public safety use of the NPSPAC band in their respective Region.</w:t>
      </w:r>
      <w:r>
        <w:rPr>
          <w:rStyle w:val="FootnoteReference"/>
          <w:szCs w:val="22"/>
        </w:rPr>
        <w:footnoteReference w:id="5"/>
      </w:r>
      <w:r>
        <w:rPr>
          <w:szCs w:val="22"/>
        </w:rPr>
        <w:t xml:space="preserve">  The RPCs may update their regional plan as needed to reflect changes in the disposition of NPSPAC channels within the region, technical requirements, or procedures for assigning channels.</w:t>
      </w:r>
      <w:r>
        <w:rPr>
          <w:rStyle w:val="FootnoteReference"/>
          <w:sz w:val="20"/>
        </w:rPr>
        <w:footnoteReference w:id="6"/>
      </w:r>
      <w:r>
        <w:rPr>
          <w:sz w:val="20"/>
        </w:rPr>
        <w:t xml:space="preserve"> </w:t>
      </w:r>
      <w:r>
        <w:rPr>
          <w:szCs w:val="22"/>
        </w:rPr>
        <w:t xml:space="preserve"> </w:t>
      </w:r>
    </w:p>
    <w:p w:rsidR="00D77B20" w:rsidP="008779BD" w14:paraId="359D449B" w14:textId="20EC6E79">
      <w:pPr>
        <w:widowControl/>
        <w:ind w:firstLine="720"/>
        <w:rPr>
          <w:szCs w:val="22"/>
        </w:rPr>
      </w:pPr>
    </w:p>
    <w:p w:rsidR="00CA28A0" w:rsidP="008779BD" w14:paraId="5F6A0400" w14:textId="7E19F7DD">
      <w:pPr>
        <w:widowControl/>
        <w:ind w:firstLine="720"/>
        <w:rPr>
          <w:szCs w:val="22"/>
        </w:rPr>
      </w:pPr>
      <w:r w:rsidRPr="0021757A">
        <w:rPr>
          <w:i/>
          <w:iCs/>
          <w:szCs w:val="22"/>
        </w:rPr>
        <w:t>Region 39 Amendment</w:t>
      </w:r>
      <w:r w:rsidR="0021757A">
        <w:rPr>
          <w:szCs w:val="22"/>
        </w:rPr>
        <w:t xml:space="preserve">.  </w:t>
      </w:r>
      <w:r w:rsidRPr="005F074E" w:rsidR="005F074E">
        <w:rPr>
          <w:szCs w:val="22"/>
        </w:rPr>
        <w:t xml:space="preserve">On </w:t>
      </w:r>
      <w:r w:rsidR="005F074E">
        <w:rPr>
          <w:szCs w:val="22"/>
        </w:rPr>
        <w:t>January 2</w:t>
      </w:r>
      <w:r w:rsidRPr="005F074E" w:rsidR="005F074E">
        <w:rPr>
          <w:szCs w:val="22"/>
        </w:rPr>
        <w:t>1, 20</w:t>
      </w:r>
      <w:r w:rsidR="005F074E">
        <w:rPr>
          <w:szCs w:val="22"/>
        </w:rPr>
        <w:t>21</w:t>
      </w:r>
      <w:r w:rsidRPr="005F074E" w:rsidR="005F074E">
        <w:rPr>
          <w:szCs w:val="22"/>
        </w:rPr>
        <w:t xml:space="preserve">, the RPC submitted </w:t>
      </w:r>
      <w:r w:rsidR="002B1019">
        <w:rPr>
          <w:szCs w:val="22"/>
        </w:rPr>
        <w:t xml:space="preserve">an </w:t>
      </w:r>
      <w:r w:rsidR="00A81781">
        <w:rPr>
          <w:szCs w:val="22"/>
        </w:rPr>
        <w:t xml:space="preserve">amendment to the Region 39 - </w:t>
      </w:r>
      <w:r w:rsidRPr="005F074E" w:rsidR="005F074E">
        <w:rPr>
          <w:szCs w:val="22"/>
        </w:rPr>
        <w:t xml:space="preserve">800 MHz NPSPAC Plan.  </w:t>
      </w:r>
      <w:r w:rsidR="0056661E">
        <w:rPr>
          <w:szCs w:val="22"/>
        </w:rPr>
        <w:t>In its amendment, t</w:t>
      </w:r>
      <w:r w:rsidRPr="005F074E" w:rsidR="005F074E">
        <w:rPr>
          <w:szCs w:val="22"/>
        </w:rPr>
        <w:t xml:space="preserve">he </w:t>
      </w:r>
      <w:r w:rsidR="00A81781">
        <w:rPr>
          <w:szCs w:val="22"/>
        </w:rPr>
        <w:t xml:space="preserve">RPC </w:t>
      </w:r>
      <w:r w:rsidRPr="005F074E" w:rsidR="005F074E">
        <w:rPr>
          <w:szCs w:val="22"/>
        </w:rPr>
        <w:t xml:space="preserve">proposes to </w:t>
      </w:r>
      <w:r w:rsidR="005B7FCF">
        <w:rPr>
          <w:szCs w:val="22"/>
        </w:rPr>
        <w:t>assign</w:t>
      </w:r>
      <w:r w:rsidR="0056661E">
        <w:rPr>
          <w:szCs w:val="22"/>
        </w:rPr>
        <w:t xml:space="preserve"> </w:t>
      </w:r>
      <w:r w:rsidR="005B7FCF">
        <w:rPr>
          <w:szCs w:val="22"/>
        </w:rPr>
        <w:t xml:space="preserve">additional </w:t>
      </w:r>
      <w:r w:rsidR="0056661E">
        <w:rPr>
          <w:szCs w:val="22"/>
        </w:rPr>
        <w:t xml:space="preserve">NSPAC </w:t>
      </w:r>
      <w:r w:rsidR="005B7FCF">
        <w:rPr>
          <w:szCs w:val="22"/>
        </w:rPr>
        <w:t xml:space="preserve">channels </w:t>
      </w:r>
      <w:r w:rsidR="007D66A6">
        <w:rPr>
          <w:szCs w:val="22"/>
        </w:rPr>
        <w:t xml:space="preserve">to Davidson County (Appendix D) and </w:t>
      </w:r>
      <w:r w:rsidR="00D2618F">
        <w:rPr>
          <w:szCs w:val="22"/>
        </w:rPr>
        <w:t>modify the text of the plan to</w:t>
      </w:r>
      <w:r w:rsidR="00703123">
        <w:rPr>
          <w:szCs w:val="22"/>
        </w:rPr>
        <w:t>, among other things</w:t>
      </w:r>
      <w:r>
        <w:rPr>
          <w:szCs w:val="22"/>
        </w:rPr>
        <w:t xml:space="preserve">: </w:t>
      </w:r>
    </w:p>
    <w:p w:rsidR="00CA28A0" w:rsidP="008779BD" w14:paraId="069D3079" w14:textId="77777777">
      <w:pPr>
        <w:widowControl/>
        <w:ind w:firstLine="720"/>
        <w:rPr>
          <w:szCs w:val="22"/>
        </w:rPr>
      </w:pPr>
    </w:p>
    <w:p w:rsidR="007A434E" w:rsidP="00FA7C48" w14:paraId="6F27D0AC" w14:textId="7D16E777">
      <w:pPr>
        <w:pStyle w:val="ListParagraph"/>
        <w:widowControl/>
        <w:numPr>
          <w:ilvl w:val="0"/>
          <w:numId w:val="14"/>
        </w:numPr>
        <w:spacing w:after="120"/>
        <w:ind w:left="1498"/>
        <w:contextualSpacing w:val="0"/>
        <w:rPr>
          <w:szCs w:val="22"/>
        </w:rPr>
      </w:pPr>
      <w:r>
        <w:rPr>
          <w:szCs w:val="22"/>
        </w:rPr>
        <w:t xml:space="preserve">Update </w:t>
      </w:r>
      <w:r w:rsidR="009F04E5">
        <w:rPr>
          <w:szCs w:val="22"/>
        </w:rPr>
        <w:t xml:space="preserve">section 3.4.3 by adding “in-building” coverage </w:t>
      </w:r>
      <w:r w:rsidR="00E81A16">
        <w:rPr>
          <w:szCs w:val="22"/>
        </w:rPr>
        <w:t xml:space="preserve">as a variable </w:t>
      </w:r>
      <w:r w:rsidR="00F03B74">
        <w:rPr>
          <w:szCs w:val="22"/>
        </w:rPr>
        <w:t xml:space="preserve">for </w:t>
      </w:r>
      <w:r w:rsidR="00E81A16">
        <w:rPr>
          <w:szCs w:val="22"/>
        </w:rPr>
        <w:t>determin</w:t>
      </w:r>
      <w:r w:rsidR="00F03B74">
        <w:rPr>
          <w:szCs w:val="22"/>
        </w:rPr>
        <w:t xml:space="preserve">ing </w:t>
      </w:r>
      <w:r w:rsidR="00E81A16">
        <w:rPr>
          <w:szCs w:val="22"/>
        </w:rPr>
        <w:t xml:space="preserve">system </w:t>
      </w:r>
      <w:r>
        <w:rPr>
          <w:szCs w:val="22"/>
        </w:rPr>
        <w:t>coverage</w:t>
      </w:r>
      <w:r w:rsidR="005E79F9">
        <w:rPr>
          <w:szCs w:val="22"/>
        </w:rPr>
        <w:t>;</w:t>
      </w:r>
      <w:r>
        <w:rPr>
          <w:rStyle w:val="FootnoteReference"/>
          <w:szCs w:val="22"/>
        </w:rPr>
        <w:footnoteReference w:id="7"/>
      </w:r>
      <w:r>
        <w:rPr>
          <w:szCs w:val="22"/>
        </w:rPr>
        <w:t xml:space="preserve"> </w:t>
      </w:r>
    </w:p>
    <w:p w:rsidR="006C6FD4" w:rsidP="00FA7C48" w14:paraId="6158A99E" w14:textId="18ABF463">
      <w:pPr>
        <w:pStyle w:val="ListParagraph"/>
        <w:widowControl/>
        <w:numPr>
          <w:ilvl w:val="0"/>
          <w:numId w:val="14"/>
        </w:numPr>
        <w:spacing w:after="120"/>
        <w:ind w:left="1498"/>
        <w:contextualSpacing w:val="0"/>
        <w:rPr>
          <w:szCs w:val="22"/>
        </w:rPr>
      </w:pPr>
      <w:r>
        <w:rPr>
          <w:szCs w:val="22"/>
        </w:rPr>
        <w:t xml:space="preserve">Modify </w:t>
      </w:r>
      <w:r w:rsidR="006300CB">
        <w:rPr>
          <w:szCs w:val="22"/>
        </w:rPr>
        <w:t xml:space="preserve">the ways an entity can define its coverage area in section </w:t>
      </w:r>
      <w:r>
        <w:rPr>
          <w:szCs w:val="22"/>
        </w:rPr>
        <w:t>3.4.5</w:t>
      </w:r>
      <w:r w:rsidR="005E79F9">
        <w:rPr>
          <w:szCs w:val="22"/>
        </w:rPr>
        <w:t>;</w:t>
      </w:r>
      <w:r>
        <w:rPr>
          <w:rStyle w:val="FootnoteReference"/>
          <w:szCs w:val="22"/>
        </w:rPr>
        <w:footnoteReference w:id="8"/>
      </w:r>
    </w:p>
    <w:p w:rsidR="00701329" w:rsidP="00FA7C48" w14:paraId="41105778" w14:textId="2CE1BBCE">
      <w:pPr>
        <w:pStyle w:val="ListParagraph"/>
        <w:widowControl/>
        <w:numPr>
          <w:ilvl w:val="0"/>
          <w:numId w:val="14"/>
        </w:numPr>
        <w:spacing w:after="120"/>
        <w:ind w:left="1498"/>
        <w:contextualSpacing w:val="0"/>
        <w:rPr>
          <w:szCs w:val="22"/>
        </w:rPr>
      </w:pPr>
      <w:r>
        <w:rPr>
          <w:szCs w:val="22"/>
        </w:rPr>
        <w:t xml:space="preserve">Specify </w:t>
      </w:r>
      <w:r w:rsidR="00487385">
        <w:rPr>
          <w:szCs w:val="22"/>
        </w:rPr>
        <w:t xml:space="preserve">in section 3.4.8 </w:t>
      </w:r>
      <w:r>
        <w:rPr>
          <w:szCs w:val="22"/>
        </w:rPr>
        <w:t xml:space="preserve">that </w:t>
      </w:r>
      <w:r w:rsidR="00913435">
        <w:rPr>
          <w:szCs w:val="22"/>
        </w:rPr>
        <w:t xml:space="preserve">use of the five nationwide interoperability channel pairs will </w:t>
      </w:r>
      <w:r w:rsidR="00487385">
        <w:rPr>
          <w:szCs w:val="22"/>
        </w:rPr>
        <w:t xml:space="preserve">be coordinated with adjacent </w:t>
      </w:r>
      <w:r w:rsidR="00487385">
        <w:rPr>
          <w:szCs w:val="22"/>
        </w:rPr>
        <w:t>regions</w:t>
      </w:r>
      <w:r w:rsidR="005E79F9">
        <w:rPr>
          <w:szCs w:val="22"/>
        </w:rPr>
        <w:t>;</w:t>
      </w:r>
      <w:r>
        <w:rPr>
          <w:rStyle w:val="FootnoteReference"/>
          <w:szCs w:val="22"/>
        </w:rPr>
        <w:footnoteReference w:id="9"/>
      </w:r>
      <w:r w:rsidR="00487385">
        <w:rPr>
          <w:szCs w:val="22"/>
        </w:rPr>
        <w:t xml:space="preserve"> </w:t>
      </w:r>
    </w:p>
    <w:p w:rsidR="005A6172" w:rsidP="00FA7C48" w14:paraId="2956D4F3" w14:textId="32080E96">
      <w:pPr>
        <w:pStyle w:val="ListParagraph"/>
        <w:widowControl/>
        <w:numPr>
          <w:ilvl w:val="0"/>
          <w:numId w:val="14"/>
        </w:numPr>
        <w:spacing w:after="120"/>
        <w:ind w:left="1498"/>
        <w:contextualSpacing w:val="0"/>
        <w:rPr>
          <w:szCs w:val="22"/>
        </w:rPr>
      </w:pPr>
      <w:r>
        <w:rPr>
          <w:szCs w:val="22"/>
        </w:rPr>
        <w:t xml:space="preserve">Give special consideration </w:t>
      </w:r>
      <w:r w:rsidR="00BD0F73">
        <w:rPr>
          <w:szCs w:val="22"/>
        </w:rPr>
        <w:t xml:space="preserve">to </w:t>
      </w:r>
      <w:r w:rsidR="00B60610">
        <w:rPr>
          <w:szCs w:val="22"/>
        </w:rPr>
        <w:t xml:space="preserve">licensees seeking </w:t>
      </w:r>
      <w:r w:rsidR="00386ACE">
        <w:rPr>
          <w:szCs w:val="22"/>
        </w:rPr>
        <w:t>mobile repeater (</w:t>
      </w:r>
      <w:r w:rsidR="00B60610">
        <w:rPr>
          <w:szCs w:val="22"/>
        </w:rPr>
        <w:t>MO3</w:t>
      </w:r>
      <w:r w:rsidR="00386ACE">
        <w:rPr>
          <w:szCs w:val="22"/>
        </w:rPr>
        <w:t>)</w:t>
      </w:r>
      <w:r w:rsidR="00B60610">
        <w:rPr>
          <w:szCs w:val="22"/>
        </w:rPr>
        <w:t xml:space="preserve"> operation on NPSPAC channels</w:t>
      </w:r>
      <w:r w:rsidR="00BD0F73">
        <w:rPr>
          <w:szCs w:val="22"/>
        </w:rPr>
        <w:t xml:space="preserve"> </w:t>
      </w:r>
      <w:r w:rsidR="00BD0F73">
        <w:rPr>
          <w:szCs w:val="22"/>
        </w:rPr>
        <w:t>in order</w:t>
      </w:r>
      <w:r w:rsidR="00B60610">
        <w:rPr>
          <w:szCs w:val="22"/>
        </w:rPr>
        <w:t xml:space="preserve"> </w:t>
      </w:r>
      <w:r w:rsidR="00206E2F">
        <w:rPr>
          <w:szCs w:val="22"/>
        </w:rPr>
        <w:t>to</w:t>
      </w:r>
      <w:r w:rsidR="00206E2F">
        <w:rPr>
          <w:szCs w:val="22"/>
        </w:rPr>
        <w:t xml:space="preserve"> ensure proper frequency separation</w:t>
      </w:r>
      <w:r w:rsidR="005E79F9">
        <w:rPr>
          <w:szCs w:val="22"/>
        </w:rPr>
        <w:t>;</w:t>
      </w:r>
      <w:r>
        <w:rPr>
          <w:rStyle w:val="FootnoteReference"/>
          <w:szCs w:val="22"/>
        </w:rPr>
        <w:footnoteReference w:id="10"/>
      </w:r>
      <w:r w:rsidR="00206E2F">
        <w:rPr>
          <w:szCs w:val="22"/>
        </w:rPr>
        <w:t xml:space="preserve"> </w:t>
      </w:r>
    </w:p>
    <w:p w:rsidR="00A65220" w:rsidP="00FA7C48" w14:paraId="0F2D434F" w14:textId="28D5692D">
      <w:pPr>
        <w:pStyle w:val="ListParagraph"/>
        <w:widowControl/>
        <w:numPr>
          <w:ilvl w:val="0"/>
          <w:numId w:val="14"/>
        </w:numPr>
        <w:spacing w:after="120"/>
        <w:ind w:left="1498"/>
        <w:contextualSpacing w:val="0"/>
        <w:rPr>
          <w:szCs w:val="22"/>
        </w:rPr>
      </w:pPr>
      <w:r>
        <w:rPr>
          <w:szCs w:val="22"/>
        </w:rPr>
        <w:t xml:space="preserve">Clarify </w:t>
      </w:r>
      <w:r w:rsidR="00AE0CA2">
        <w:rPr>
          <w:szCs w:val="22"/>
        </w:rPr>
        <w:t>criteria for determining co-channel or adjacent-channel interference</w:t>
      </w:r>
      <w:r w:rsidR="005E79F9">
        <w:rPr>
          <w:szCs w:val="22"/>
        </w:rPr>
        <w:t>;</w:t>
      </w:r>
      <w:r>
        <w:rPr>
          <w:rStyle w:val="FootnoteReference"/>
          <w:szCs w:val="22"/>
        </w:rPr>
        <w:footnoteReference w:id="11"/>
      </w:r>
    </w:p>
    <w:p w:rsidR="005611A1" w:rsidP="00FA7C48" w14:paraId="1F545DCF" w14:textId="18E6163D">
      <w:pPr>
        <w:pStyle w:val="ListParagraph"/>
        <w:widowControl/>
        <w:numPr>
          <w:ilvl w:val="0"/>
          <w:numId w:val="14"/>
        </w:numPr>
        <w:spacing w:after="120"/>
        <w:ind w:left="1498"/>
        <w:contextualSpacing w:val="0"/>
        <w:rPr>
          <w:szCs w:val="22"/>
        </w:rPr>
      </w:pPr>
      <w:r>
        <w:rPr>
          <w:szCs w:val="22"/>
        </w:rPr>
        <w:t>Re</w:t>
      </w:r>
      <w:r w:rsidR="009745F1">
        <w:rPr>
          <w:szCs w:val="22"/>
        </w:rPr>
        <w:t xml:space="preserve">vise </w:t>
      </w:r>
      <w:r w:rsidR="00D13042">
        <w:rPr>
          <w:szCs w:val="22"/>
        </w:rPr>
        <w:t xml:space="preserve">section 4.1.5 to </w:t>
      </w:r>
      <w:r w:rsidR="009745F1">
        <w:rPr>
          <w:szCs w:val="22"/>
        </w:rPr>
        <w:t xml:space="preserve">prohibit </w:t>
      </w:r>
      <w:r w:rsidR="003A32D7">
        <w:rPr>
          <w:szCs w:val="22"/>
        </w:rPr>
        <w:t xml:space="preserve">use of </w:t>
      </w:r>
      <w:r w:rsidR="00D13042">
        <w:rPr>
          <w:szCs w:val="22"/>
        </w:rPr>
        <w:t xml:space="preserve">encryption on the </w:t>
      </w:r>
      <w:r w:rsidR="009745F1">
        <w:rPr>
          <w:szCs w:val="22"/>
        </w:rPr>
        <w:t>nationwide interoperability tactical channels</w:t>
      </w:r>
      <w:r w:rsidR="003B018E">
        <w:rPr>
          <w:szCs w:val="22"/>
        </w:rPr>
        <w:t xml:space="preserve"> per </w:t>
      </w:r>
      <w:r w:rsidR="00A97326">
        <w:rPr>
          <w:szCs w:val="22"/>
        </w:rPr>
        <w:t>the Commission’s rules</w:t>
      </w:r>
      <w:r w:rsidR="005E79F9">
        <w:rPr>
          <w:szCs w:val="22"/>
        </w:rPr>
        <w:t>;</w:t>
      </w:r>
      <w:r>
        <w:rPr>
          <w:rStyle w:val="FootnoteReference"/>
          <w:szCs w:val="22"/>
        </w:rPr>
        <w:footnoteReference w:id="12"/>
      </w:r>
    </w:p>
    <w:p w:rsidR="009745F1" w:rsidP="00FA7C48" w14:paraId="35A5D9B4" w14:textId="4A17CEB2">
      <w:pPr>
        <w:pStyle w:val="ListParagraph"/>
        <w:widowControl/>
        <w:numPr>
          <w:ilvl w:val="0"/>
          <w:numId w:val="14"/>
        </w:numPr>
        <w:spacing w:after="120"/>
        <w:ind w:left="1498"/>
        <w:contextualSpacing w:val="0"/>
        <w:rPr>
          <w:szCs w:val="22"/>
        </w:rPr>
      </w:pPr>
      <w:r>
        <w:rPr>
          <w:szCs w:val="22"/>
        </w:rPr>
        <w:t xml:space="preserve">Clarify in section </w:t>
      </w:r>
      <w:r w:rsidR="002A0C49">
        <w:rPr>
          <w:szCs w:val="22"/>
        </w:rPr>
        <w:t xml:space="preserve">4.3 that </w:t>
      </w:r>
      <w:r w:rsidR="00EF10D7">
        <w:rPr>
          <w:szCs w:val="22"/>
        </w:rPr>
        <w:t xml:space="preserve">the nationwide </w:t>
      </w:r>
      <w:r w:rsidR="002A0C49">
        <w:rPr>
          <w:szCs w:val="22"/>
        </w:rPr>
        <w:t xml:space="preserve">interoperability channels may not be </w:t>
      </w:r>
      <w:r w:rsidR="00EF10D7">
        <w:rPr>
          <w:szCs w:val="22"/>
        </w:rPr>
        <w:t>used as trunked channels in a trunked radio network</w:t>
      </w:r>
      <w:r w:rsidR="005E79F9">
        <w:rPr>
          <w:szCs w:val="22"/>
        </w:rPr>
        <w:t>;</w:t>
      </w:r>
      <w:r>
        <w:rPr>
          <w:rStyle w:val="FootnoteReference"/>
          <w:szCs w:val="22"/>
        </w:rPr>
        <w:footnoteReference w:id="13"/>
      </w:r>
    </w:p>
    <w:p w:rsidR="00714133" w:rsidP="00FA7C48" w14:paraId="517F2E27" w14:textId="0E6157F0">
      <w:pPr>
        <w:pStyle w:val="ListParagraph"/>
        <w:widowControl/>
        <w:numPr>
          <w:ilvl w:val="0"/>
          <w:numId w:val="14"/>
        </w:numPr>
        <w:spacing w:after="120"/>
        <w:ind w:left="1498"/>
        <w:contextualSpacing w:val="0"/>
        <w:rPr>
          <w:szCs w:val="22"/>
        </w:rPr>
      </w:pPr>
      <w:r>
        <w:rPr>
          <w:szCs w:val="22"/>
        </w:rPr>
        <w:t xml:space="preserve">Add a new section 4.7 to </w:t>
      </w:r>
      <w:r w:rsidR="00050DB0">
        <w:rPr>
          <w:szCs w:val="22"/>
        </w:rPr>
        <w:t>clarify acceptable emissions for analog and digital radio systems</w:t>
      </w:r>
      <w:r w:rsidR="005E79F9">
        <w:rPr>
          <w:szCs w:val="22"/>
        </w:rPr>
        <w:t>;</w:t>
      </w:r>
      <w:r w:rsidR="008F50DB">
        <w:rPr>
          <w:szCs w:val="22"/>
        </w:rPr>
        <w:t xml:space="preserve"> and</w:t>
      </w:r>
      <w:r>
        <w:rPr>
          <w:rStyle w:val="FootnoteReference"/>
          <w:szCs w:val="22"/>
        </w:rPr>
        <w:footnoteReference w:id="14"/>
      </w:r>
    </w:p>
    <w:p w:rsidR="008F50DB" w:rsidRPr="00CA28A0" w:rsidP="00FA7C48" w14:paraId="2709D977" w14:textId="4F079E5D">
      <w:pPr>
        <w:pStyle w:val="ListParagraph"/>
        <w:widowControl/>
        <w:numPr>
          <w:ilvl w:val="0"/>
          <w:numId w:val="14"/>
        </w:numPr>
        <w:spacing w:after="120"/>
        <w:ind w:left="1498"/>
        <w:contextualSpacing w:val="0"/>
        <w:rPr>
          <w:szCs w:val="22"/>
        </w:rPr>
      </w:pPr>
      <w:r>
        <w:rPr>
          <w:szCs w:val="22"/>
        </w:rPr>
        <w:t xml:space="preserve">Add additional </w:t>
      </w:r>
      <w:r w:rsidR="00013E86">
        <w:rPr>
          <w:szCs w:val="22"/>
        </w:rPr>
        <w:t xml:space="preserve">language </w:t>
      </w:r>
      <w:r>
        <w:rPr>
          <w:szCs w:val="22"/>
        </w:rPr>
        <w:t>to section 5.</w:t>
      </w:r>
      <w:r w:rsidR="00615045">
        <w:rPr>
          <w:szCs w:val="22"/>
        </w:rPr>
        <w:t xml:space="preserve">2 </w:t>
      </w:r>
      <w:r w:rsidR="00013E86">
        <w:rPr>
          <w:szCs w:val="22"/>
        </w:rPr>
        <w:t xml:space="preserve">detailing the region’s </w:t>
      </w:r>
      <w:r w:rsidR="00615045">
        <w:rPr>
          <w:szCs w:val="22"/>
        </w:rPr>
        <w:t>frequency allocation process.</w:t>
      </w:r>
      <w:r>
        <w:rPr>
          <w:rStyle w:val="FootnoteReference"/>
          <w:szCs w:val="22"/>
        </w:rPr>
        <w:footnoteReference w:id="15"/>
      </w:r>
      <w:r w:rsidR="00615045">
        <w:rPr>
          <w:szCs w:val="22"/>
        </w:rPr>
        <w:t xml:space="preserve">  </w:t>
      </w:r>
    </w:p>
    <w:p w:rsidR="00205C11" w:rsidP="00871B1E" w14:paraId="649C0902" w14:textId="77777777">
      <w:pPr>
        <w:widowControl/>
        <w:ind w:firstLine="720"/>
        <w:rPr>
          <w:szCs w:val="22"/>
        </w:rPr>
      </w:pPr>
      <w:r>
        <w:rPr>
          <w:szCs w:val="22"/>
        </w:rPr>
        <w:t xml:space="preserve">Region 39’s RPC </w:t>
      </w:r>
      <w:r w:rsidR="00BB5F06">
        <w:rPr>
          <w:szCs w:val="22"/>
        </w:rPr>
        <w:t xml:space="preserve">received concurrence letters for the proposed </w:t>
      </w:r>
      <w:r w:rsidR="00FE309C">
        <w:rPr>
          <w:szCs w:val="22"/>
        </w:rPr>
        <w:t>P</w:t>
      </w:r>
      <w:r w:rsidR="00BB5F06">
        <w:rPr>
          <w:szCs w:val="22"/>
        </w:rPr>
        <w:t xml:space="preserve">lan </w:t>
      </w:r>
      <w:r w:rsidR="00FE309C">
        <w:rPr>
          <w:szCs w:val="22"/>
        </w:rPr>
        <w:t>A</w:t>
      </w:r>
      <w:r w:rsidR="00BB5F06">
        <w:rPr>
          <w:szCs w:val="22"/>
        </w:rPr>
        <w:t xml:space="preserve">mendment from </w:t>
      </w:r>
      <w:r w:rsidR="00F6147F">
        <w:rPr>
          <w:szCs w:val="22"/>
        </w:rPr>
        <w:t xml:space="preserve">its </w:t>
      </w:r>
      <w:r w:rsidR="00BB5F06">
        <w:rPr>
          <w:szCs w:val="22"/>
        </w:rPr>
        <w:t xml:space="preserve">eight </w:t>
      </w:r>
      <w:r w:rsidRPr="00F17700" w:rsidR="00F17700">
        <w:rPr>
          <w:szCs w:val="22"/>
        </w:rPr>
        <w:t xml:space="preserve">adjacent </w:t>
      </w:r>
      <w:r w:rsidR="00E90F0D">
        <w:rPr>
          <w:szCs w:val="22"/>
        </w:rPr>
        <w:t>regions</w:t>
      </w:r>
      <w:r w:rsidR="00F6147F">
        <w:rPr>
          <w:szCs w:val="22"/>
        </w:rPr>
        <w:t>:</w:t>
      </w:r>
      <w:r w:rsidRPr="00F17700" w:rsidR="00F17700">
        <w:rPr>
          <w:szCs w:val="22"/>
        </w:rPr>
        <w:t xml:space="preserve"> Region 1 (</w:t>
      </w:r>
      <w:r w:rsidR="003945F8">
        <w:rPr>
          <w:szCs w:val="22"/>
        </w:rPr>
        <w:t>Alabama</w:t>
      </w:r>
      <w:r w:rsidRPr="00F17700" w:rsidR="00F17700">
        <w:rPr>
          <w:szCs w:val="22"/>
        </w:rPr>
        <w:t xml:space="preserve">), Region </w:t>
      </w:r>
      <w:r w:rsidR="005F7D5D">
        <w:rPr>
          <w:szCs w:val="22"/>
        </w:rPr>
        <w:t>4</w:t>
      </w:r>
      <w:r w:rsidRPr="00F17700" w:rsidR="00F17700">
        <w:rPr>
          <w:szCs w:val="22"/>
        </w:rPr>
        <w:t xml:space="preserve"> (</w:t>
      </w:r>
      <w:r w:rsidR="00E02DA9">
        <w:rPr>
          <w:szCs w:val="22"/>
        </w:rPr>
        <w:t>Arkansas</w:t>
      </w:r>
      <w:r w:rsidRPr="00F17700" w:rsidR="00F17700">
        <w:rPr>
          <w:szCs w:val="22"/>
        </w:rPr>
        <w:t xml:space="preserve">); </w:t>
      </w:r>
      <w:r w:rsidR="00A53364">
        <w:rPr>
          <w:szCs w:val="22"/>
        </w:rPr>
        <w:t>Region 10 (</w:t>
      </w:r>
      <w:r w:rsidR="00E02DA9">
        <w:rPr>
          <w:szCs w:val="22"/>
        </w:rPr>
        <w:t>Georgia</w:t>
      </w:r>
      <w:r w:rsidR="00A53364">
        <w:rPr>
          <w:szCs w:val="22"/>
        </w:rPr>
        <w:t xml:space="preserve">); </w:t>
      </w:r>
      <w:r w:rsidRPr="00F17700" w:rsidR="00F17700">
        <w:rPr>
          <w:szCs w:val="22"/>
        </w:rPr>
        <w:t xml:space="preserve">Region </w:t>
      </w:r>
      <w:r w:rsidR="005F7D5D">
        <w:rPr>
          <w:szCs w:val="22"/>
        </w:rPr>
        <w:t>17</w:t>
      </w:r>
      <w:r w:rsidRPr="00F17700" w:rsidR="00F17700">
        <w:rPr>
          <w:szCs w:val="22"/>
        </w:rPr>
        <w:t xml:space="preserve"> (</w:t>
      </w:r>
      <w:r w:rsidR="00127720">
        <w:rPr>
          <w:szCs w:val="22"/>
        </w:rPr>
        <w:t>Kentucky</w:t>
      </w:r>
      <w:r w:rsidRPr="00F17700" w:rsidR="00F17700">
        <w:rPr>
          <w:szCs w:val="22"/>
        </w:rPr>
        <w:t xml:space="preserve">); Region </w:t>
      </w:r>
      <w:r w:rsidR="005F7D5D">
        <w:rPr>
          <w:szCs w:val="22"/>
        </w:rPr>
        <w:t>23</w:t>
      </w:r>
      <w:r w:rsidRPr="00F17700" w:rsidR="00F17700">
        <w:rPr>
          <w:szCs w:val="22"/>
        </w:rPr>
        <w:t xml:space="preserve"> (</w:t>
      </w:r>
      <w:r w:rsidR="00127720">
        <w:rPr>
          <w:szCs w:val="22"/>
        </w:rPr>
        <w:t>Mississippi</w:t>
      </w:r>
      <w:r w:rsidR="005F7D5D">
        <w:rPr>
          <w:szCs w:val="22"/>
        </w:rPr>
        <w:t>)</w:t>
      </w:r>
      <w:r w:rsidR="003042BD">
        <w:rPr>
          <w:szCs w:val="22"/>
        </w:rPr>
        <w:t>; Region 24</w:t>
      </w:r>
      <w:r w:rsidR="00127720">
        <w:rPr>
          <w:szCs w:val="22"/>
        </w:rPr>
        <w:t xml:space="preserve"> </w:t>
      </w:r>
      <w:r w:rsidR="003042BD">
        <w:rPr>
          <w:szCs w:val="22"/>
        </w:rPr>
        <w:t>(</w:t>
      </w:r>
      <w:r w:rsidR="00127720">
        <w:rPr>
          <w:szCs w:val="22"/>
        </w:rPr>
        <w:t>Missouri</w:t>
      </w:r>
      <w:r w:rsidR="003042BD">
        <w:rPr>
          <w:szCs w:val="22"/>
        </w:rPr>
        <w:t>); Region 31</w:t>
      </w:r>
      <w:r w:rsidR="00127720">
        <w:rPr>
          <w:szCs w:val="22"/>
        </w:rPr>
        <w:t xml:space="preserve"> </w:t>
      </w:r>
      <w:r w:rsidR="003042BD">
        <w:rPr>
          <w:szCs w:val="22"/>
        </w:rPr>
        <w:t>(</w:t>
      </w:r>
      <w:r w:rsidR="00127720">
        <w:rPr>
          <w:szCs w:val="22"/>
        </w:rPr>
        <w:t>North Carolina</w:t>
      </w:r>
      <w:r w:rsidR="003042BD">
        <w:rPr>
          <w:szCs w:val="22"/>
        </w:rPr>
        <w:t>);</w:t>
      </w:r>
      <w:r w:rsidR="00E967C6">
        <w:rPr>
          <w:szCs w:val="22"/>
        </w:rPr>
        <w:t xml:space="preserve"> and Region 42</w:t>
      </w:r>
      <w:r w:rsidR="00127720">
        <w:rPr>
          <w:szCs w:val="22"/>
        </w:rPr>
        <w:t xml:space="preserve"> </w:t>
      </w:r>
      <w:r w:rsidR="00E967C6">
        <w:rPr>
          <w:szCs w:val="22"/>
        </w:rPr>
        <w:t>(</w:t>
      </w:r>
      <w:r w:rsidR="00A55C95">
        <w:rPr>
          <w:szCs w:val="22"/>
        </w:rPr>
        <w:t xml:space="preserve">Virginia – except </w:t>
      </w:r>
      <w:r w:rsidR="00866EB6">
        <w:rPr>
          <w:szCs w:val="22"/>
        </w:rPr>
        <w:t>counties</w:t>
      </w:r>
      <w:r w:rsidR="00A55C95">
        <w:rPr>
          <w:szCs w:val="22"/>
        </w:rPr>
        <w:t xml:space="preserve"> in </w:t>
      </w:r>
      <w:r w:rsidR="00A55C95">
        <w:rPr>
          <w:szCs w:val="22"/>
        </w:rPr>
        <w:t>Region</w:t>
      </w:r>
      <w:r w:rsidR="00A55C95">
        <w:rPr>
          <w:szCs w:val="22"/>
        </w:rPr>
        <w:t xml:space="preserve"> 20</w:t>
      </w:r>
      <w:r w:rsidR="00E967C6">
        <w:rPr>
          <w:szCs w:val="22"/>
        </w:rPr>
        <w:t xml:space="preserve">) as well as </w:t>
      </w:r>
      <w:r w:rsidR="00B32CE0">
        <w:rPr>
          <w:szCs w:val="22"/>
        </w:rPr>
        <w:t xml:space="preserve">from </w:t>
      </w:r>
      <w:r w:rsidR="00E967C6">
        <w:rPr>
          <w:szCs w:val="22"/>
        </w:rPr>
        <w:t>two n</w:t>
      </w:r>
      <w:r w:rsidR="00B83955">
        <w:rPr>
          <w:szCs w:val="22"/>
        </w:rPr>
        <w:t>on-border regions: Region 37</w:t>
      </w:r>
      <w:r w:rsidR="000701FC">
        <w:rPr>
          <w:szCs w:val="22"/>
        </w:rPr>
        <w:t xml:space="preserve"> </w:t>
      </w:r>
      <w:r w:rsidR="00B83955">
        <w:rPr>
          <w:szCs w:val="22"/>
        </w:rPr>
        <w:t>(</w:t>
      </w:r>
      <w:r w:rsidR="00866EB6">
        <w:rPr>
          <w:szCs w:val="22"/>
        </w:rPr>
        <w:t>South Carolina</w:t>
      </w:r>
      <w:r w:rsidR="00B83955">
        <w:rPr>
          <w:szCs w:val="22"/>
        </w:rPr>
        <w:t>) and Region 44</w:t>
      </w:r>
      <w:r w:rsidR="000701FC">
        <w:rPr>
          <w:szCs w:val="22"/>
        </w:rPr>
        <w:t xml:space="preserve"> </w:t>
      </w:r>
      <w:r w:rsidR="00B83955">
        <w:rPr>
          <w:szCs w:val="22"/>
        </w:rPr>
        <w:t>(</w:t>
      </w:r>
      <w:r w:rsidR="00866EB6">
        <w:rPr>
          <w:szCs w:val="22"/>
        </w:rPr>
        <w:t>West Virginia</w:t>
      </w:r>
      <w:r w:rsidR="00B83955">
        <w:rPr>
          <w:szCs w:val="22"/>
        </w:rPr>
        <w:t>).</w:t>
      </w:r>
      <w:r>
        <w:rPr>
          <w:rStyle w:val="FootnoteReference"/>
          <w:szCs w:val="22"/>
        </w:rPr>
        <w:footnoteReference w:id="16"/>
      </w:r>
      <w:r w:rsidRPr="00F17700" w:rsidR="00F17700">
        <w:rPr>
          <w:szCs w:val="22"/>
        </w:rPr>
        <w:t xml:space="preserve">  </w:t>
      </w:r>
    </w:p>
    <w:p w:rsidR="00205C11" w:rsidP="00871B1E" w14:paraId="1597B0CE" w14:textId="77777777">
      <w:pPr>
        <w:widowControl/>
        <w:ind w:firstLine="720"/>
        <w:rPr>
          <w:szCs w:val="22"/>
        </w:rPr>
      </w:pPr>
    </w:p>
    <w:p w:rsidR="00871B1E" w:rsidP="00871B1E" w14:paraId="6CCDFE92" w14:textId="0DBD6324">
      <w:pPr>
        <w:widowControl/>
        <w:ind w:firstLine="720"/>
        <w:rPr>
          <w:szCs w:val="22"/>
        </w:rPr>
      </w:pPr>
      <w:r>
        <w:rPr>
          <w:szCs w:val="22"/>
        </w:rPr>
        <w:t>The</w:t>
      </w:r>
      <w:r w:rsidR="00866EB6">
        <w:rPr>
          <w:szCs w:val="22"/>
        </w:rPr>
        <w:t xml:space="preserve"> Bureau </w:t>
      </w:r>
      <w:r>
        <w:rPr>
          <w:szCs w:val="22"/>
        </w:rPr>
        <w:t>has</w:t>
      </w:r>
      <w:r w:rsidR="00866EB6">
        <w:rPr>
          <w:szCs w:val="22"/>
        </w:rPr>
        <w:t xml:space="preserve"> </w:t>
      </w:r>
      <w:r w:rsidRPr="00F17700" w:rsidR="00F17700">
        <w:rPr>
          <w:szCs w:val="22"/>
        </w:rPr>
        <w:t xml:space="preserve">reviewed </w:t>
      </w:r>
      <w:r>
        <w:rPr>
          <w:szCs w:val="22"/>
        </w:rPr>
        <w:t xml:space="preserve">the </w:t>
      </w:r>
      <w:r w:rsidRPr="00F17700" w:rsidR="00F17700">
        <w:rPr>
          <w:szCs w:val="22"/>
        </w:rPr>
        <w:t xml:space="preserve">Region </w:t>
      </w:r>
      <w:r w:rsidR="00866EB6">
        <w:rPr>
          <w:szCs w:val="22"/>
        </w:rPr>
        <w:t>39</w:t>
      </w:r>
      <w:r w:rsidRPr="00F17700" w:rsidR="00F17700">
        <w:rPr>
          <w:szCs w:val="22"/>
        </w:rPr>
        <w:t xml:space="preserve"> Plan Amendment and </w:t>
      </w:r>
      <w:r>
        <w:rPr>
          <w:szCs w:val="22"/>
        </w:rPr>
        <w:t xml:space="preserve">finds that it complies with the applicable Commission rules and policies, and </w:t>
      </w:r>
      <w:r w:rsidRPr="00F17700" w:rsidR="00F17700">
        <w:rPr>
          <w:szCs w:val="22"/>
        </w:rPr>
        <w:t>tentatively accept</w:t>
      </w:r>
      <w:r w:rsidR="00436405">
        <w:rPr>
          <w:szCs w:val="22"/>
        </w:rPr>
        <w:t>s</w:t>
      </w:r>
      <w:r w:rsidRPr="00F17700" w:rsidR="00F17700">
        <w:rPr>
          <w:szCs w:val="22"/>
        </w:rPr>
        <w:t xml:space="preserve"> </w:t>
      </w:r>
      <w:r w:rsidR="00866EB6">
        <w:rPr>
          <w:szCs w:val="22"/>
        </w:rPr>
        <w:t>it</w:t>
      </w:r>
      <w:r w:rsidRPr="00F17700" w:rsidR="00F17700">
        <w:rPr>
          <w:szCs w:val="22"/>
        </w:rPr>
        <w:t>.</w:t>
      </w:r>
    </w:p>
    <w:p w:rsidR="00871B1E" w:rsidP="00871B1E" w14:paraId="58261D43" w14:textId="493D78CB">
      <w:pPr>
        <w:widowControl/>
        <w:ind w:firstLine="720"/>
        <w:rPr>
          <w:szCs w:val="22"/>
        </w:rPr>
      </w:pPr>
    </w:p>
    <w:p w:rsidR="00052A75" w:rsidP="00052A75" w14:paraId="277ABC8C" w14:textId="24CB36B4">
      <w:pPr>
        <w:ind w:firstLine="720"/>
        <w:rPr>
          <w:color w:val="000000"/>
          <w:szCs w:val="22"/>
        </w:rPr>
      </w:pPr>
      <w:r>
        <w:rPr>
          <w:i/>
          <w:color w:val="000000"/>
          <w:szCs w:val="22"/>
        </w:rPr>
        <w:t xml:space="preserve">Request for Comments on the Region </w:t>
      </w:r>
      <w:r w:rsidR="00AC1802">
        <w:rPr>
          <w:i/>
          <w:color w:val="000000"/>
          <w:szCs w:val="22"/>
        </w:rPr>
        <w:t>39</w:t>
      </w:r>
      <w:r>
        <w:rPr>
          <w:i/>
          <w:color w:val="000000"/>
          <w:szCs w:val="22"/>
        </w:rPr>
        <w:t xml:space="preserve"> Plan Amendment.</w:t>
      </w:r>
      <w:r>
        <w:rPr>
          <w:b/>
          <w:i/>
          <w:color w:val="000000"/>
          <w:szCs w:val="22"/>
        </w:rPr>
        <w:t xml:space="preserve"> </w:t>
      </w:r>
      <w:r>
        <w:rPr>
          <w:i/>
          <w:color w:val="000000"/>
          <w:szCs w:val="22"/>
        </w:rPr>
        <w:t xml:space="preserve"> </w:t>
      </w:r>
      <w:r>
        <w:rPr>
          <w:color w:val="000000"/>
          <w:szCs w:val="22"/>
        </w:rPr>
        <w:t>Prior to taking further action</w:t>
      </w:r>
      <w:r w:rsidR="00801C15">
        <w:rPr>
          <w:color w:val="000000"/>
          <w:szCs w:val="22"/>
        </w:rPr>
        <w:t xml:space="preserve"> on </w:t>
      </w:r>
      <w:r w:rsidR="007E491C">
        <w:rPr>
          <w:color w:val="000000"/>
          <w:szCs w:val="22"/>
        </w:rPr>
        <w:t xml:space="preserve">the RPC’s </w:t>
      </w:r>
      <w:r w:rsidR="00801C15">
        <w:rPr>
          <w:color w:val="000000"/>
          <w:szCs w:val="22"/>
        </w:rPr>
        <w:t>propos</w:t>
      </w:r>
      <w:r w:rsidR="00D05805">
        <w:rPr>
          <w:color w:val="000000"/>
          <w:szCs w:val="22"/>
        </w:rPr>
        <w:t>al to amend its 800 MHz NPSPAC plan</w:t>
      </w:r>
      <w:r w:rsidR="00AC1802">
        <w:rPr>
          <w:color w:val="000000"/>
          <w:szCs w:val="22"/>
        </w:rPr>
        <w:t xml:space="preserve">, </w:t>
      </w:r>
      <w:r>
        <w:rPr>
          <w:color w:val="000000"/>
          <w:szCs w:val="22"/>
        </w:rPr>
        <w:t xml:space="preserve">by this </w:t>
      </w:r>
      <w:r>
        <w:rPr>
          <w:i/>
          <w:color w:val="000000"/>
          <w:szCs w:val="22"/>
        </w:rPr>
        <w:t>Public Notice</w:t>
      </w:r>
      <w:r w:rsidR="003B697A">
        <w:rPr>
          <w:color w:val="000000"/>
          <w:szCs w:val="22"/>
        </w:rPr>
        <w:t xml:space="preserve">, </w:t>
      </w:r>
      <w:r>
        <w:rPr>
          <w:color w:val="000000"/>
          <w:szCs w:val="22"/>
        </w:rPr>
        <w:t xml:space="preserve">we solicit comment on the Region </w:t>
      </w:r>
      <w:r w:rsidR="00AC1802">
        <w:rPr>
          <w:color w:val="000000"/>
          <w:szCs w:val="22"/>
        </w:rPr>
        <w:t>39</w:t>
      </w:r>
      <w:r>
        <w:rPr>
          <w:color w:val="000000"/>
          <w:szCs w:val="22"/>
        </w:rPr>
        <w:t xml:space="preserve"> Plan Amendment.</w:t>
      </w:r>
      <w:r w:rsidR="00763874">
        <w:rPr>
          <w:color w:val="000000"/>
          <w:szCs w:val="22"/>
        </w:rPr>
        <w:t xml:space="preserve">  </w:t>
      </w:r>
      <w:r w:rsidRPr="00763874" w:rsidR="00763874">
        <w:rPr>
          <w:color w:val="000000"/>
          <w:szCs w:val="22"/>
        </w:rPr>
        <w:t xml:space="preserve">The Plan Amendment is available through ECFS at </w:t>
      </w:r>
      <w:hyperlink r:id="rId5" w:history="1">
        <w:r w:rsidRPr="00EC561C" w:rsidR="000751C4">
          <w:rPr>
            <w:rStyle w:val="Hyperlink"/>
            <w:szCs w:val="22"/>
          </w:rPr>
          <w:t>ecfs@fcc.gov</w:t>
        </w:r>
      </w:hyperlink>
      <w:r w:rsidR="000751C4">
        <w:rPr>
          <w:color w:val="000000"/>
          <w:szCs w:val="22"/>
        </w:rPr>
        <w:t xml:space="preserve"> under </w:t>
      </w:r>
      <w:r w:rsidRPr="000751C4" w:rsidR="000751C4">
        <w:rPr>
          <w:color w:val="000000"/>
          <w:szCs w:val="22"/>
        </w:rPr>
        <w:t>PR</w:t>
      </w:r>
      <w:r w:rsidR="00861111">
        <w:rPr>
          <w:color w:val="000000"/>
          <w:szCs w:val="22"/>
        </w:rPr>
        <w:t> </w:t>
      </w:r>
      <w:r w:rsidRPr="000751C4" w:rsidR="000751C4">
        <w:rPr>
          <w:color w:val="000000"/>
          <w:szCs w:val="22"/>
        </w:rPr>
        <w:t>Docket No. 93-58</w:t>
      </w:r>
      <w:r w:rsidR="00763874">
        <w:rPr>
          <w:color w:val="000000"/>
          <w:szCs w:val="22"/>
        </w:rPr>
        <w:t>.</w:t>
      </w:r>
    </w:p>
    <w:p w:rsidR="007F2915" w:rsidP="00052A75" w14:paraId="1EED9AE9" w14:textId="439FB082">
      <w:pPr>
        <w:ind w:firstLine="720"/>
        <w:rPr>
          <w:color w:val="000000"/>
          <w:szCs w:val="22"/>
        </w:rPr>
      </w:pPr>
    </w:p>
    <w:p w:rsidR="00955A82" w:rsidRPr="00187F9F" w:rsidP="00955A82" w14:paraId="1448BD53" w14:textId="77777777">
      <w:pPr>
        <w:rPr>
          <w:szCs w:val="22"/>
        </w:rPr>
      </w:pPr>
      <w:r w:rsidRPr="00187F9F">
        <w:rPr>
          <w:szCs w:val="22"/>
          <w:u w:val="single"/>
        </w:rPr>
        <w:t xml:space="preserve">Instructions for Filing Comments </w:t>
      </w:r>
    </w:p>
    <w:p w:rsidR="00A76B0B" w:rsidP="00955A82" w14:paraId="60434D9B" w14:textId="4AB6ECC0">
      <w:pPr>
        <w:rPr>
          <w:color w:val="000000"/>
          <w:szCs w:val="22"/>
        </w:rPr>
      </w:pPr>
    </w:p>
    <w:p w:rsidR="00FD2784" w:rsidP="002A154C" w14:paraId="4E53FD66" w14:textId="1A3C5EAE">
      <w:pPr>
        <w:ind w:firstLine="720"/>
        <w:rPr>
          <w:szCs w:val="22"/>
        </w:rPr>
      </w:pPr>
      <w:r>
        <w:rPr>
          <w:color w:val="000000"/>
          <w:szCs w:val="22"/>
        </w:rPr>
        <w:t xml:space="preserve">Pursuant to Section 1.419 of the Commission’s rules, 47 CFR § 1.419, interested parties may file comments on the </w:t>
      </w:r>
      <w:r w:rsidR="00583989">
        <w:rPr>
          <w:color w:val="000000"/>
          <w:szCs w:val="22"/>
        </w:rPr>
        <w:t>Region 39 P</w:t>
      </w:r>
      <w:r>
        <w:rPr>
          <w:color w:val="000000"/>
          <w:szCs w:val="22"/>
        </w:rPr>
        <w:t xml:space="preserve">lan </w:t>
      </w:r>
      <w:r w:rsidR="00583989">
        <w:rPr>
          <w:color w:val="000000"/>
          <w:szCs w:val="22"/>
        </w:rPr>
        <w:t>A</w:t>
      </w:r>
      <w:r>
        <w:rPr>
          <w:color w:val="000000"/>
          <w:szCs w:val="22"/>
        </w:rPr>
        <w:t xml:space="preserve">mendment </w:t>
      </w:r>
      <w:r>
        <w:rPr>
          <w:szCs w:val="22"/>
        </w:rPr>
        <w:t>on or before</w:t>
      </w:r>
      <w:r>
        <w:rPr>
          <w:b/>
          <w:szCs w:val="22"/>
        </w:rPr>
        <w:t xml:space="preserve"> </w:t>
      </w:r>
      <w:r w:rsidRPr="00473154" w:rsidR="00473154">
        <w:rPr>
          <w:b/>
          <w:szCs w:val="22"/>
        </w:rPr>
        <w:t>July 18, 2022</w:t>
      </w:r>
      <w:r>
        <w:rPr>
          <w:szCs w:val="22"/>
        </w:rPr>
        <w:t>.</w:t>
      </w:r>
      <w:r>
        <w:rPr>
          <w:b/>
          <w:szCs w:val="22"/>
        </w:rPr>
        <w:t xml:space="preserve">  </w:t>
      </w:r>
      <w:r>
        <w:rPr>
          <w:color w:val="000000"/>
          <w:szCs w:val="22"/>
        </w:rPr>
        <w:t xml:space="preserve">All comments should </w:t>
      </w:r>
      <w:r>
        <w:rPr>
          <w:color w:val="000000"/>
          <w:szCs w:val="22"/>
        </w:rPr>
        <w:t xml:space="preserve">reference the subject plan amendment and </w:t>
      </w:r>
      <w:r w:rsidRPr="00AD2E5D" w:rsidR="00AD2E5D">
        <w:rPr>
          <w:b/>
          <w:iCs/>
          <w:color w:val="000000"/>
          <w:szCs w:val="22"/>
        </w:rPr>
        <w:t>PR Docket No. 93-58</w:t>
      </w:r>
      <w:r w:rsidRPr="003E75C7" w:rsidR="003E75C7">
        <w:rPr>
          <w:iCs/>
          <w:color w:val="000000"/>
          <w:szCs w:val="22"/>
        </w:rPr>
        <w:t>.</w:t>
      </w:r>
    </w:p>
    <w:p w:rsidR="00700A2C" w:rsidP="00700A2C" w14:paraId="0F7E1EAD" w14:textId="77777777">
      <w:pPr>
        <w:ind w:left="1440" w:hanging="720"/>
        <w:rPr>
          <w:szCs w:val="22"/>
        </w:rPr>
      </w:pPr>
    </w:p>
    <w:p w:rsidR="001474F6" w:rsidRPr="00063623" w:rsidP="002A154C" w14:paraId="78828553" w14:textId="77777777">
      <w:pPr>
        <w:pStyle w:val="ListParagraph"/>
        <w:widowControl/>
        <w:numPr>
          <w:ilvl w:val="0"/>
          <w:numId w:val="14"/>
        </w:numPr>
        <w:spacing w:after="120"/>
        <w:ind w:left="1080"/>
        <w:contextualSpacing w:val="0"/>
        <w:rPr>
          <w:szCs w:val="22"/>
        </w:rPr>
      </w:pPr>
      <w:r w:rsidRPr="00620061">
        <w:rPr>
          <w:szCs w:val="22"/>
          <w:u w:val="single"/>
        </w:rPr>
        <w:t>Electronic Filers</w:t>
      </w:r>
      <w:r w:rsidRPr="00063623">
        <w:rPr>
          <w:szCs w:val="22"/>
        </w:rPr>
        <w:t xml:space="preserve">:  Comments and replies may be filed electronically via </w:t>
      </w:r>
      <w:r w:rsidRPr="00063623">
        <w:rPr>
          <w:color w:val="000000"/>
          <w:szCs w:val="22"/>
        </w:rPr>
        <w:t>ECFS</w:t>
      </w:r>
      <w:r w:rsidRPr="00063623">
        <w:rPr>
          <w:szCs w:val="22"/>
        </w:rPr>
        <w:t xml:space="preserve">: </w:t>
      </w:r>
      <w:hyperlink r:id="rId6" w:history="1">
        <w:r w:rsidRPr="00063623">
          <w:rPr>
            <w:rStyle w:val="Hyperlink"/>
            <w:szCs w:val="22"/>
          </w:rPr>
          <w:t>http://www.fcc.gov/ecfs</w:t>
        </w:r>
      </w:hyperlink>
      <w:r w:rsidRPr="00063623">
        <w:rPr>
          <w:szCs w:val="22"/>
        </w:rPr>
        <w:t>.</w:t>
      </w:r>
    </w:p>
    <w:p w:rsidR="001474F6" w:rsidRPr="00063623" w:rsidP="002A154C" w14:paraId="4241C21B" w14:textId="77777777">
      <w:pPr>
        <w:pStyle w:val="ListParagraph"/>
        <w:widowControl/>
        <w:numPr>
          <w:ilvl w:val="0"/>
          <w:numId w:val="14"/>
        </w:numPr>
        <w:spacing w:after="120"/>
        <w:ind w:left="1080"/>
        <w:contextualSpacing w:val="0"/>
        <w:rPr>
          <w:szCs w:val="22"/>
        </w:rPr>
      </w:pPr>
      <w:r w:rsidRPr="00620061">
        <w:rPr>
          <w:szCs w:val="22"/>
          <w:u w:val="single"/>
        </w:rPr>
        <w:t>Paper Filers</w:t>
      </w:r>
      <w:r w:rsidRPr="00063623">
        <w:rPr>
          <w:szCs w:val="22"/>
        </w:rPr>
        <w:t xml:space="preserve">:  Parties who choose to file by paper must file an original and one copy of each filing.  Filings can be sent by hand or messenger delivery, by commercial overnight courier, or by first-class or overnight U.S. Postal Service mail.  </w:t>
      </w:r>
    </w:p>
    <w:p w:rsidR="001474F6" w:rsidRPr="00063623" w:rsidP="00D02E39" w14:paraId="6FC05082" w14:textId="77777777">
      <w:pPr>
        <w:pStyle w:val="ListParagraph"/>
        <w:widowControl/>
        <w:numPr>
          <w:ilvl w:val="1"/>
          <w:numId w:val="14"/>
        </w:numPr>
        <w:spacing w:after="120"/>
        <w:ind w:left="1440"/>
        <w:contextualSpacing w:val="0"/>
      </w:pPr>
      <w:r w:rsidRPr="5A3E3758">
        <w:t>Filings can be sent by commercial overnight courtier or by first-class or overnight U.S. Postal Service mail.</w:t>
      </w:r>
      <w:r>
        <w:rPr>
          <w:rStyle w:val="FootnoteReference"/>
        </w:rPr>
        <w:footnoteReference w:id="17"/>
      </w:r>
    </w:p>
    <w:p w:rsidR="001474F6" w:rsidRPr="00063623" w:rsidP="00D02E39" w14:paraId="3FDD8F1A" w14:textId="77777777">
      <w:pPr>
        <w:pStyle w:val="ListParagraph"/>
        <w:widowControl/>
        <w:numPr>
          <w:ilvl w:val="1"/>
          <w:numId w:val="14"/>
        </w:numPr>
        <w:spacing w:after="120"/>
        <w:ind w:left="1440"/>
        <w:contextualSpacing w:val="0"/>
        <w:rPr>
          <w:szCs w:val="22"/>
        </w:rPr>
      </w:pPr>
      <w:r w:rsidRPr="00063623">
        <w:rPr>
          <w:szCs w:val="22"/>
        </w:rPr>
        <w:t>Commercial overnight mail (other than U.S. Postal Service Express Mail and Priority Mail) must be sent to 9050 Junction Drive, Annapolis Junction, MD 20701.</w:t>
      </w:r>
    </w:p>
    <w:p w:rsidR="00700A2C" w:rsidRPr="00293EEC" w:rsidP="00D02E39" w14:paraId="36D82286" w14:textId="73BD62BC">
      <w:pPr>
        <w:pStyle w:val="ListParagraph"/>
        <w:widowControl/>
        <w:numPr>
          <w:ilvl w:val="1"/>
          <w:numId w:val="14"/>
        </w:numPr>
        <w:spacing w:after="120"/>
        <w:ind w:left="1440"/>
        <w:contextualSpacing w:val="0"/>
        <w:rPr>
          <w:szCs w:val="22"/>
        </w:rPr>
      </w:pPr>
      <w:r w:rsidRPr="00063623">
        <w:rPr>
          <w:szCs w:val="22"/>
        </w:rPr>
        <w:t>U.S. Postal Service first-class, Express, and Priority mail must be addressed to 45 L St, NE, Washington, DC 20554.</w:t>
      </w:r>
    </w:p>
    <w:p w:rsidR="00934440" w:rsidP="00F71545" w14:paraId="7CAE390A" w14:textId="1BCDAE97">
      <w:pPr>
        <w:ind w:firstLine="720"/>
        <w:rPr>
          <w:szCs w:val="22"/>
        </w:rPr>
      </w:pPr>
      <w:r w:rsidRPr="00F71545">
        <w:rPr>
          <w:szCs w:val="22"/>
          <w:u w:val="single"/>
        </w:rPr>
        <w:t>People with Disabilities</w:t>
      </w:r>
      <w:r w:rsidRPr="00F71545">
        <w:rPr>
          <w:szCs w:val="22"/>
        </w:rPr>
        <w:t xml:space="preserve">:  </w:t>
      </w:r>
      <w:r w:rsidRPr="000A3D24" w:rsidR="000A3D24">
        <w:rPr>
          <w:szCs w:val="22"/>
        </w:rPr>
        <w:t xml:space="preserve">To request materials in accessible formats for people with disabilities (Braille, large print, electronic files, audio format), send an e-mail to </w:t>
      </w:r>
      <w:hyperlink r:id="rId7" w:history="1">
        <w:r w:rsidRPr="00530F65" w:rsidR="00293EEC">
          <w:rPr>
            <w:rStyle w:val="Hyperlink"/>
            <w:szCs w:val="22"/>
          </w:rPr>
          <w:t>fcc504@fcc.gov</w:t>
        </w:r>
      </w:hyperlink>
      <w:r w:rsidR="00293EEC">
        <w:rPr>
          <w:szCs w:val="22"/>
        </w:rPr>
        <w:t xml:space="preserve"> </w:t>
      </w:r>
      <w:r w:rsidRPr="000A3D24" w:rsidR="000A3D24">
        <w:rPr>
          <w:szCs w:val="22"/>
        </w:rPr>
        <w:t>or call the Consumer &amp; Governmental Affairs Bureau at (202) 418-0530 (voice) or (202) 418-0432 (</w:t>
      </w:r>
      <w:r w:rsidRPr="000A3D24" w:rsidR="000A3D24">
        <w:rPr>
          <w:szCs w:val="22"/>
        </w:rPr>
        <w:t>tty</w:t>
      </w:r>
      <w:r w:rsidRPr="000A3D24" w:rsidR="000A3D24">
        <w:rPr>
          <w:szCs w:val="22"/>
        </w:rPr>
        <w:t>)</w:t>
      </w:r>
      <w:r w:rsidRPr="00F71545">
        <w:rPr>
          <w:szCs w:val="22"/>
        </w:rPr>
        <w:t>.</w:t>
      </w:r>
    </w:p>
    <w:p w:rsidR="00871B1E" w:rsidP="00871B1E" w14:paraId="564FDB56" w14:textId="77777777">
      <w:pPr>
        <w:widowControl/>
        <w:ind w:firstLine="720"/>
        <w:rPr>
          <w:szCs w:val="22"/>
        </w:rPr>
      </w:pPr>
    </w:p>
    <w:p w:rsidR="00EB4A3D" w:rsidRPr="00EB4A3D" w:rsidP="00EB4A3D" w14:paraId="407D2FB5" w14:textId="77777777">
      <w:pPr>
        <w:ind w:firstLine="720"/>
        <w:rPr>
          <w:szCs w:val="22"/>
        </w:rPr>
      </w:pPr>
      <w:r w:rsidRPr="00EB4A3D">
        <w:rPr>
          <w:szCs w:val="22"/>
        </w:rPr>
        <w:t xml:space="preserve">For additional information, contact Brian Marenco, </w:t>
      </w:r>
      <w:hyperlink r:id="rId8" w:history="1">
        <w:r w:rsidRPr="00EB4A3D">
          <w:rPr>
            <w:rStyle w:val="Hyperlink"/>
            <w:szCs w:val="22"/>
          </w:rPr>
          <w:t>Brian.Marenco@fcc.gov</w:t>
        </w:r>
      </w:hyperlink>
      <w:r w:rsidRPr="00EB4A3D">
        <w:rPr>
          <w:szCs w:val="22"/>
        </w:rPr>
        <w:t xml:space="preserve">, of the Public Safety and Homeland Security Bureau, </w:t>
      </w:r>
      <w:r w:rsidRPr="00EB4A3D">
        <w:rPr>
          <w:szCs w:val="22"/>
        </w:rPr>
        <w:t>Policy</w:t>
      </w:r>
      <w:r w:rsidRPr="00EB4A3D">
        <w:rPr>
          <w:szCs w:val="22"/>
        </w:rPr>
        <w:t xml:space="preserve"> and Licensing Division, (202) 418-0838.  </w:t>
      </w:r>
    </w:p>
    <w:p w:rsidR="00EB4A3D" w:rsidRPr="00EB4A3D" w:rsidP="00EB4A3D" w14:paraId="1D9C11B1" w14:textId="77777777">
      <w:pPr>
        <w:rPr>
          <w:szCs w:val="22"/>
        </w:rPr>
      </w:pPr>
    </w:p>
    <w:p w:rsidR="00EB4A3D" w:rsidRPr="002E266D" w:rsidP="00EB4A3D" w14:paraId="075F6C1A" w14:textId="77777777">
      <w:pPr>
        <w:jc w:val="center"/>
        <w:rPr>
          <w:bCs/>
          <w:szCs w:val="22"/>
        </w:rPr>
      </w:pPr>
      <w:r w:rsidRPr="002E266D">
        <w:rPr>
          <w:bCs/>
          <w:szCs w:val="22"/>
        </w:rPr>
        <w:t xml:space="preserve">-FCC- </w:t>
      </w:r>
    </w:p>
    <w:p w:rsidR="00EB4A3D" w:rsidP="00EB4A3D" w14:paraId="72C2C8C8" w14:textId="77777777">
      <w:pPr>
        <w:rPr>
          <w:sz w:val="24"/>
          <w:szCs w:val="24"/>
        </w:rPr>
      </w:pPr>
    </w:p>
    <w:p w:rsidR="00F17700" w:rsidRPr="00F17700" w:rsidP="00F71545" w14:paraId="094C3661" w14:textId="24DB663C">
      <w:pPr>
        <w:widowControl/>
        <w:tabs>
          <w:tab w:val="left" w:pos="2710"/>
        </w:tabs>
        <w:spacing w:after="120"/>
        <w:ind w:firstLine="720"/>
        <w:rPr>
          <w:szCs w:val="22"/>
        </w:rPr>
      </w:pPr>
      <w:r w:rsidRPr="00F17700">
        <w:rPr>
          <w:szCs w:val="22"/>
        </w:rPr>
        <w:t xml:space="preserve">    </w:t>
      </w:r>
      <w:r w:rsidR="00F71545">
        <w:rPr>
          <w:szCs w:val="22"/>
        </w:rPr>
        <w:tab/>
      </w:r>
    </w:p>
    <w:p w:rsidR="00702187" w:rsidP="00702187" w14:paraId="6F340E60" w14:textId="77777777">
      <w:pPr>
        <w:widowControl/>
        <w:spacing w:after="120"/>
        <w:ind w:firstLine="720"/>
        <w:rPr>
          <w:szCs w:val="22"/>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2D2EC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00B67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B3D83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4FFFB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585C" w14:paraId="15E72B58" w14:textId="77777777">
      <w:r>
        <w:separator/>
      </w:r>
    </w:p>
  </w:footnote>
  <w:footnote w:type="continuationSeparator" w:id="1">
    <w:p w:rsidR="0014585C" w14:paraId="3C9F8AC9" w14:textId="77777777">
      <w:pPr>
        <w:rPr>
          <w:sz w:val="20"/>
        </w:rPr>
      </w:pPr>
      <w:r>
        <w:rPr>
          <w:sz w:val="20"/>
        </w:rPr>
        <w:t xml:space="preserve">(Continued from previous page)  </w:t>
      </w:r>
      <w:r>
        <w:rPr>
          <w:sz w:val="20"/>
        </w:rPr>
        <w:separator/>
      </w:r>
    </w:p>
  </w:footnote>
  <w:footnote w:type="continuationNotice" w:id="2">
    <w:p w:rsidR="0014585C" w14:paraId="3301589F" w14:textId="77777777">
      <w:pPr>
        <w:jc w:val="right"/>
        <w:rPr>
          <w:sz w:val="20"/>
        </w:rPr>
      </w:pPr>
      <w:r>
        <w:rPr>
          <w:sz w:val="20"/>
        </w:rPr>
        <w:t>(</w:t>
      </w:r>
      <w:r>
        <w:rPr>
          <w:sz w:val="20"/>
        </w:rPr>
        <w:t>continued</w:t>
      </w:r>
      <w:r>
        <w:rPr>
          <w:sz w:val="20"/>
        </w:rPr>
        <w:t>….)</w:t>
      </w:r>
    </w:p>
  </w:footnote>
  <w:footnote w:id="3">
    <w:p w:rsidR="00C96357" w:rsidRPr="00DA7D5A" w:rsidP="00DA7D5A" w14:paraId="16BC59C8" w14:textId="0A805EAB">
      <w:pPr>
        <w:pStyle w:val="FootnoteText"/>
      </w:pPr>
      <w:r w:rsidRPr="00DA7D5A">
        <w:rPr>
          <w:rStyle w:val="FootnoteReference"/>
          <w:sz w:val="20"/>
        </w:rPr>
        <w:footnoteRef/>
      </w:r>
      <w:r w:rsidRPr="00DA7D5A">
        <w:t xml:space="preserve"> </w:t>
      </w:r>
      <w:r w:rsidR="005E79F9">
        <w:t xml:space="preserve">The </w:t>
      </w:r>
      <w:r w:rsidRPr="00DA7D5A" w:rsidR="00E9450C">
        <w:t xml:space="preserve">Region 39 </w:t>
      </w:r>
      <w:r w:rsidR="005E79F9">
        <w:t>(Tennessee) 800 NPSPAC planning area includes the entire s</w:t>
      </w:r>
      <w:r w:rsidRPr="00DA7D5A" w:rsidR="00E9450C">
        <w:t xml:space="preserve">tate of Tennessee.  </w:t>
      </w:r>
    </w:p>
  </w:footnote>
  <w:footnote w:id="4">
    <w:p w:rsidR="00DA7D5A" w:rsidRPr="00B5370B" w:rsidP="00DA7D5A" w14:paraId="4171B894" w14:textId="1F26EEF8">
      <w:pPr>
        <w:pStyle w:val="FootnoteText"/>
      </w:pPr>
      <w:r w:rsidRPr="00DA7D5A">
        <w:rPr>
          <w:rStyle w:val="FootnoteReference"/>
          <w:sz w:val="20"/>
        </w:rPr>
        <w:footnoteRef/>
      </w:r>
      <w:r w:rsidRPr="00DA7D5A">
        <w:t xml:space="preserve"> </w:t>
      </w:r>
      <w:r w:rsidR="00B5370B">
        <w:rPr>
          <w:i/>
          <w:iCs/>
        </w:rPr>
        <w:t>See</w:t>
      </w:r>
      <w:r w:rsidR="00B5370B">
        <w:t xml:space="preserve"> </w:t>
      </w:r>
      <w:r w:rsidRPr="000B5F9C" w:rsidR="000B5F9C">
        <w:t>Region 3</w:t>
      </w:r>
      <w:r w:rsidR="000B5F9C">
        <w:t>9</w:t>
      </w:r>
      <w:r w:rsidRPr="000B5F9C" w:rsidR="000B5F9C">
        <w:t xml:space="preserve"> NPSPAC Plan Update,</w:t>
      </w:r>
      <w:r w:rsidRPr="00967F58" w:rsidR="00967F58">
        <w:t xml:space="preserve"> </w:t>
      </w:r>
      <w:r w:rsidR="00644548">
        <w:t>PR</w:t>
      </w:r>
      <w:r w:rsidRPr="00967F58" w:rsidR="00967F58">
        <w:t xml:space="preserve"> Docket No. </w:t>
      </w:r>
      <w:r w:rsidRPr="00644548" w:rsidR="00644548">
        <w:t xml:space="preserve">93-58 </w:t>
      </w:r>
      <w:r w:rsidRPr="00967F58" w:rsidR="00967F58">
        <w:t>(</w:t>
      </w:r>
      <w:r w:rsidR="00705A74">
        <w:t xml:space="preserve">dated Oct. </w:t>
      </w:r>
      <w:r w:rsidR="005553C8">
        <w:t xml:space="preserve">1, </w:t>
      </w:r>
      <w:r w:rsidR="005553C8">
        <w:t>2020</w:t>
      </w:r>
      <w:r w:rsidR="007B22BA">
        <w:t xml:space="preserve"> but filed in the docket on </w:t>
      </w:r>
      <w:r w:rsidR="00D05C57">
        <w:t>Feb.</w:t>
      </w:r>
      <w:r w:rsidR="006F7BBD">
        <w:t xml:space="preserve"> </w:t>
      </w:r>
      <w:r w:rsidR="00E22BF2">
        <w:t>2</w:t>
      </w:r>
      <w:r w:rsidR="00D05C57">
        <w:t>4</w:t>
      </w:r>
      <w:r w:rsidRPr="00967F58" w:rsidR="00967F58">
        <w:t>, 20</w:t>
      </w:r>
      <w:r w:rsidR="00E22BF2">
        <w:t>21</w:t>
      </w:r>
      <w:r w:rsidRPr="00967F58" w:rsidR="00967F58">
        <w:t>)</w:t>
      </w:r>
      <w:r w:rsidR="009614C3">
        <w:t xml:space="preserve"> </w:t>
      </w:r>
      <w:r w:rsidR="00B77869">
        <w:t>(Plan Amendment)</w:t>
      </w:r>
      <w:r w:rsidR="00E22BF2">
        <w:t>.</w:t>
      </w:r>
    </w:p>
  </w:footnote>
  <w:footnote w:id="5">
    <w:p w:rsidR="006F2C1A" w:rsidRPr="003C096F" w:rsidP="006F2C1A" w14:paraId="6F22C359" w14:textId="77777777">
      <w:pPr>
        <w:pStyle w:val="FootnoteText"/>
      </w:pPr>
      <w:r w:rsidRPr="003C096F">
        <w:rPr>
          <w:rStyle w:val="FootnoteReference"/>
        </w:rPr>
        <w:footnoteRef/>
      </w:r>
      <w:r w:rsidRPr="003C096F">
        <w:t xml:space="preserve"> </w:t>
      </w:r>
      <w:r w:rsidRPr="003C096F">
        <w:rPr>
          <w:i/>
          <w:iCs/>
        </w:rPr>
        <w:t xml:space="preserve">See </w:t>
      </w:r>
      <w:r w:rsidRPr="003C096F">
        <w:t xml:space="preserve">47 CFR § 90.16 (no assignments will be made in spectrum designated for the Public Safety National Plan until a regional plan for the area has been accepted by the Commission); </w:t>
      </w:r>
      <w:r w:rsidRPr="003C096F">
        <w:rPr>
          <w:i/>
        </w:rPr>
        <w:t xml:space="preserve">see also </w:t>
      </w:r>
      <w:r w:rsidRPr="00706076">
        <w:rPr>
          <w:i/>
        </w:rPr>
        <w:t>Development and Implementation of a Public Safety National Plan and Amendment of Part 90 to Establish Service Rules and Technical Standards for Use of the 821-824/866-869 MHz Bands by the Public Safety Services</w:t>
      </w:r>
      <w:r w:rsidRPr="003C096F">
        <w:t xml:space="preserve">, Gen. Docket No. 87-112, </w:t>
      </w:r>
      <w:r w:rsidRPr="00706076">
        <w:t>Report and Order</w:t>
      </w:r>
      <w:r w:rsidRPr="003C096F">
        <w:rPr>
          <w:i/>
        </w:rPr>
        <w:t xml:space="preserve">, </w:t>
      </w:r>
      <w:r w:rsidRPr="003C096F">
        <w:t xml:space="preserve">3 FCC </w:t>
      </w:r>
      <w:r w:rsidRPr="003C096F">
        <w:t>Rcd</w:t>
      </w:r>
      <w:r w:rsidRPr="003C096F">
        <w:t xml:space="preserve"> 905 (1987) (</w:t>
      </w:r>
      <w:r w:rsidRPr="003C096F">
        <w:rPr>
          <w:i/>
        </w:rPr>
        <w:t>National Plan Report and Order</w:t>
      </w:r>
      <w:r w:rsidRPr="003C096F">
        <w:t>)</w:t>
      </w:r>
      <w:r w:rsidRPr="003C096F">
        <w:rPr>
          <w:i/>
        </w:rPr>
        <w:t>.</w:t>
      </w:r>
    </w:p>
  </w:footnote>
  <w:footnote w:id="6">
    <w:p w:rsidR="006F2C1A" w:rsidRPr="003C096F" w:rsidP="006F2C1A" w14:paraId="23AD108A" w14:textId="77777777">
      <w:pPr>
        <w:pStyle w:val="FootnoteText"/>
      </w:pPr>
      <w:r w:rsidRPr="003C096F">
        <w:rPr>
          <w:rStyle w:val="FootnoteReference"/>
        </w:rPr>
        <w:footnoteRef/>
      </w:r>
      <w:r w:rsidRPr="003C096F">
        <w:t xml:space="preserve"> </w:t>
      </w:r>
      <w:r w:rsidRPr="003C096F">
        <w:rPr>
          <w:i/>
        </w:rPr>
        <w:t>See National Plan Report and Order</w:t>
      </w:r>
      <w:r w:rsidRPr="003C096F">
        <w:t xml:space="preserve">, 3 FCC </w:t>
      </w:r>
      <w:r w:rsidRPr="003C096F">
        <w:t>Rcd</w:t>
      </w:r>
      <w:r w:rsidRPr="003C096F">
        <w:t xml:space="preserve"> at 911 </w:t>
      </w:r>
      <w:r>
        <w:t xml:space="preserve">para. </w:t>
      </w:r>
      <w:r w:rsidRPr="003C096F">
        <w:t>57.</w:t>
      </w:r>
    </w:p>
  </w:footnote>
  <w:footnote w:id="7">
    <w:p w:rsidR="006B13F3" w14:paraId="72BAC84C" w14:textId="6CAF35B3">
      <w:pPr>
        <w:pStyle w:val="FootnoteText"/>
      </w:pPr>
      <w:r>
        <w:rPr>
          <w:rStyle w:val="FootnoteReference"/>
        </w:rPr>
        <w:footnoteRef/>
      </w:r>
      <w:r>
        <w:t xml:space="preserve"> </w:t>
      </w:r>
      <w:r w:rsidR="009614C3">
        <w:t>Plan Amendment at 9</w:t>
      </w:r>
      <w:r w:rsidR="00516DFE">
        <w:t>-10</w:t>
      </w:r>
      <w:r w:rsidR="009614C3">
        <w:t>.</w:t>
      </w:r>
    </w:p>
  </w:footnote>
  <w:footnote w:id="8">
    <w:p w:rsidR="00516DFE" w14:paraId="17CB4439" w14:textId="02EBD89D">
      <w:pPr>
        <w:pStyle w:val="FootnoteText"/>
      </w:pPr>
      <w:r>
        <w:rPr>
          <w:rStyle w:val="FootnoteReference"/>
        </w:rPr>
        <w:footnoteRef/>
      </w:r>
      <w:r>
        <w:t xml:space="preserve"> </w:t>
      </w:r>
      <w:r w:rsidRPr="005676E2" w:rsidR="005676E2">
        <w:rPr>
          <w:i/>
          <w:iCs/>
        </w:rPr>
        <w:t>Id</w:t>
      </w:r>
      <w:r w:rsidR="005676E2">
        <w:t>. at 11.</w:t>
      </w:r>
    </w:p>
  </w:footnote>
  <w:footnote w:id="9">
    <w:p w:rsidR="005676E2" w14:paraId="6AEE8D3A" w14:textId="4B69B9C1">
      <w:pPr>
        <w:pStyle w:val="FootnoteText"/>
      </w:pPr>
      <w:r>
        <w:rPr>
          <w:rStyle w:val="FootnoteReference"/>
        </w:rPr>
        <w:footnoteRef/>
      </w:r>
      <w:r>
        <w:t xml:space="preserve"> </w:t>
      </w:r>
      <w:r w:rsidRPr="005676E2">
        <w:rPr>
          <w:i/>
          <w:iCs/>
        </w:rPr>
        <w:t>Id</w:t>
      </w:r>
      <w:r>
        <w:t xml:space="preserve">. at </w:t>
      </w:r>
      <w:r w:rsidR="00E34FD8">
        <w:t>11-12.</w:t>
      </w:r>
    </w:p>
  </w:footnote>
  <w:footnote w:id="10">
    <w:p w:rsidR="00E34FD8" w14:paraId="7A24526D" w14:textId="264B1E0B">
      <w:pPr>
        <w:pStyle w:val="FootnoteText"/>
      </w:pPr>
      <w:r>
        <w:rPr>
          <w:rStyle w:val="FootnoteReference"/>
        </w:rPr>
        <w:footnoteRef/>
      </w:r>
      <w:r>
        <w:t xml:space="preserve"> </w:t>
      </w:r>
      <w:r w:rsidRPr="005676E2" w:rsidR="0077507C">
        <w:rPr>
          <w:i/>
          <w:iCs/>
        </w:rPr>
        <w:t>Id</w:t>
      </w:r>
      <w:r w:rsidR="0077507C">
        <w:t>. at 13.</w:t>
      </w:r>
    </w:p>
  </w:footnote>
  <w:footnote w:id="11">
    <w:p w:rsidR="007C1C7A" w14:paraId="1E309DCB" w14:textId="54AD56C1">
      <w:pPr>
        <w:pStyle w:val="FootnoteText"/>
      </w:pPr>
      <w:r>
        <w:rPr>
          <w:rStyle w:val="FootnoteReference"/>
        </w:rPr>
        <w:footnoteRef/>
      </w:r>
      <w:r>
        <w:t xml:space="preserve"> </w:t>
      </w:r>
      <w:r w:rsidRPr="005676E2" w:rsidR="008A0CD0">
        <w:rPr>
          <w:i/>
          <w:iCs/>
        </w:rPr>
        <w:t>Id</w:t>
      </w:r>
      <w:r w:rsidR="008A0CD0">
        <w:t>. at 13-14.</w:t>
      </w:r>
    </w:p>
  </w:footnote>
  <w:footnote w:id="12">
    <w:p w:rsidR="008A0CD0" w14:paraId="4DEFD9C2" w14:textId="1DF9B08E">
      <w:pPr>
        <w:pStyle w:val="FootnoteText"/>
      </w:pPr>
      <w:r>
        <w:rPr>
          <w:rStyle w:val="FootnoteReference"/>
        </w:rPr>
        <w:footnoteRef/>
      </w:r>
      <w:r>
        <w:t xml:space="preserve"> </w:t>
      </w:r>
      <w:r w:rsidRPr="005676E2" w:rsidR="009C265C">
        <w:rPr>
          <w:i/>
          <w:iCs/>
        </w:rPr>
        <w:t>Id</w:t>
      </w:r>
      <w:r w:rsidR="009C265C">
        <w:t>. at 1</w:t>
      </w:r>
      <w:r w:rsidR="003E674E">
        <w:t>7-18</w:t>
      </w:r>
      <w:r w:rsidR="009C265C">
        <w:t>.</w:t>
      </w:r>
    </w:p>
  </w:footnote>
  <w:footnote w:id="13">
    <w:p w:rsidR="009C265C" w14:paraId="4B31F864" w14:textId="5815D382">
      <w:pPr>
        <w:pStyle w:val="FootnoteText"/>
      </w:pPr>
      <w:r>
        <w:rPr>
          <w:rStyle w:val="FootnoteReference"/>
        </w:rPr>
        <w:footnoteRef/>
      </w:r>
      <w:r>
        <w:t xml:space="preserve"> </w:t>
      </w:r>
      <w:r w:rsidRPr="005676E2" w:rsidR="00796188">
        <w:rPr>
          <w:i/>
          <w:iCs/>
        </w:rPr>
        <w:t>Id</w:t>
      </w:r>
      <w:r w:rsidR="00796188">
        <w:t>. at 18-19.</w:t>
      </w:r>
    </w:p>
  </w:footnote>
  <w:footnote w:id="14">
    <w:p w:rsidR="00FB16A6" w14:paraId="6658EAC5" w14:textId="369A0D93">
      <w:pPr>
        <w:pStyle w:val="FootnoteText"/>
      </w:pPr>
      <w:r>
        <w:rPr>
          <w:rStyle w:val="FootnoteReference"/>
        </w:rPr>
        <w:footnoteRef/>
      </w:r>
      <w:r>
        <w:t xml:space="preserve"> </w:t>
      </w:r>
      <w:r w:rsidRPr="005676E2" w:rsidR="00316D33">
        <w:rPr>
          <w:i/>
          <w:iCs/>
        </w:rPr>
        <w:t>Id</w:t>
      </w:r>
      <w:r w:rsidR="00316D33">
        <w:t>. at 21.</w:t>
      </w:r>
    </w:p>
  </w:footnote>
  <w:footnote w:id="15">
    <w:p w:rsidR="00316D33" w14:paraId="72532714" w14:textId="3D7D46EA">
      <w:pPr>
        <w:pStyle w:val="FootnoteText"/>
      </w:pPr>
      <w:r>
        <w:rPr>
          <w:rStyle w:val="FootnoteReference"/>
        </w:rPr>
        <w:footnoteRef/>
      </w:r>
      <w:r>
        <w:t xml:space="preserve"> </w:t>
      </w:r>
      <w:r w:rsidRPr="005676E2" w:rsidR="000D4616">
        <w:rPr>
          <w:i/>
          <w:iCs/>
        </w:rPr>
        <w:t>Id</w:t>
      </w:r>
      <w:r w:rsidR="000D4616">
        <w:t>. at 22-23.</w:t>
      </w:r>
    </w:p>
  </w:footnote>
  <w:footnote w:id="16">
    <w:p w:rsidR="00F17700" w:rsidP="003F4B2F" w14:paraId="4BCED9BD" w14:textId="68142041">
      <w:pPr>
        <w:pStyle w:val="FootnoteText"/>
      </w:pPr>
      <w:r>
        <w:rPr>
          <w:rStyle w:val="FootnoteReference"/>
        </w:rPr>
        <w:footnoteRef/>
      </w:r>
      <w:r w:rsidR="00E53DBD">
        <w:rPr>
          <w:i/>
          <w:iCs/>
        </w:rPr>
        <w:t xml:space="preserve">See </w:t>
      </w:r>
      <w:r w:rsidR="00E53DBD">
        <w:t xml:space="preserve">Letter from </w:t>
      </w:r>
      <w:r w:rsidR="00100EAB">
        <w:t xml:space="preserve">Richard E. </w:t>
      </w:r>
      <w:r w:rsidR="00100EAB">
        <w:t>Ranson</w:t>
      </w:r>
      <w:r w:rsidR="00100EAB">
        <w:t xml:space="preserve">, Chairman Region 1, to </w:t>
      </w:r>
      <w:r w:rsidR="006579FC">
        <w:t>Region 39 RPC</w:t>
      </w:r>
      <w:r w:rsidR="005D7D67">
        <w:t xml:space="preserve">, </w:t>
      </w:r>
      <w:r w:rsidRPr="005D7D67" w:rsidR="005D7D67">
        <w:t>PR Docket No. 93-58</w:t>
      </w:r>
      <w:r w:rsidR="006D5E52">
        <w:t xml:space="preserve"> (Dec</w:t>
      </w:r>
      <w:r w:rsidR="00274627">
        <w:t>.</w:t>
      </w:r>
      <w:r w:rsidR="006D5E52">
        <w:t xml:space="preserve"> 22, 2020); Letter </w:t>
      </w:r>
      <w:r w:rsidR="00DC66D5">
        <w:t xml:space="preserve">from David Baker, Chairman Region 4, to Region 39 RPC, </w:t>
      </w:r>
      <w:r w:rsidRPr="005D7D67" w:rsidR="00DC66D5">
        <w:t>PR Docket No. 93-58</w:t>
      </w:r>
      <w:r w:rsidR="00DC66D5">
        <w:t xml:space="preserve"> (Oct</w:t>
      </w:r>
      <w:r w:rsidR="00274627">
        <w:t>.</w:t>
      </w:r>
      <w:r w:rsidR="00DC66D5">
        <w:t xml:space="preserve"> 19, 2020);</w:t>
      </w:r>
      <w:r w:rsidR="002E6741">
        <w:t xml:space="preserve"> Letter from</w:t>
      </w:r>
      <w:r w:rsidR="005D7679">
        <w:t xml:space="preserve"> Ralph Bevan, Chairman Region 10, to</w:t>
      </w:r>
      <w:r w:rsidR="00274627">
        <w:t xml:space="preserve"> Region 39 RPC, </w:t>
      </w:r>
      <w:r w:rsidRPr="005D7D67" w:rsidR="00274627">
        <w:t>PR Docket No. 93-58</w:t>
      </w:r>
      <w:r w:rsidR="00274627">
        <w:t xml:space="preserve"> (Nov. 16, 2020); </w:t>
      </w:r>
      <w:r w:rsidR="00A71DE6">
        <w:t>Letter from M</w:t>
      </w:r>
      <w:r w:rsidRPr="00A71DE6" w:rsidR="00A71DE6">
        <w:t>ichael B. Marshall</w:t>
      </w:r>
      <w:r w:rsidR="00D85C4F">
        <w:t xml:space="preserve">, Vice Chairman Region 17, to </w:t>
      </w:r>
      <w:r w:rsidR="003D478D">
        <w:t xml:space="preserve">John Johnson, Region 39 RPC, </w:t>
      </w:r>
      <w:r w:rsidRPr="005D7D67" w:rsidR="003D478D">
        <w:t>PR Docket No. 93-58</w:t>
      </w:r>
      <w:r w:rsidR="003D478D">
        <w:t xml:space="preserve"> </w:t>
      </w:r>
      <w:r w:rsidR="00AE7AA4">
        <w:t xml:space="preserve">(Nov. 18, 2020); Letter from </w:t>
      </w:r>
      <w:r w:rsidR="003F4B2F">
        <w:t>Tom Lariviere, MSRPFAC</w:t>
      </w:r>
      <w:r w:rsidR="003D478D">
        <w:t xml:space="preserve"> </w:t>
      </w:r>
      <w:r w:rsidR="003F4B2F">
        <w:t xml:space="preserve">Region </w:t>
      </w:r>
      <w:r w:rsidR="004F0AC7">
        <w:t xml:space="preserve">23, to John Johnson, </w:t>
      </w:r>
      <w:r w:rsidRPr="005D7D67" w:rsidR="004F0AC7">
        <w:t>PR Docket No. 93-58</w:t>
      </w:r>
      <w:r w:rsidR="004F0AC7">
        <w:t xml:space="preserve"> (</w:t>
      </w:r>
      <w:r w:rsidR="001501E4">
        <w:t xml:space="preserve">Dec. 18, 2020); Letter from </w:t>
      </w:r>
      <w:r w:rsidRPr="00365690" w:rsidR="00365690">
        <w:t>Scott Bigham</w:t>
      </w:r>
      <w:r w:rsidR="00365690">
        <w:t xml:space="preserve">, Chairman Region 24, to Region 39 RPC, </w:t>
      </w:r>
      <w:r w:rsidRPr="005D7D67" w:rsidR="00365690">
        <w:t>PR Docket No. 93-58</w:t>
      </w:r>
      <w:r w:rsidR="00365690">
        <w:t xml:space="preserve"> (</w:t>
      </w:r>
      <w:r w:rsidR="00553FBC">
        <w:t xml:space="preserve">Oct. 21, 2020); Letter from </w:t>
      </w:r>
      <w:r w:rsidR="00881640">
        <w:t>Scott Smith, Chairman</w:t>
      </w:r>
      <w:r w:rsidR="002B526E">
        <w:t xml:space="preserve"> Region 31, to Region 39 RPC, </w:t>
      </w:r>
      <w:r w:rsidRPr="005D7D67" w:rsidR="002B526E">
        <w:t>PR Docket No. 93-58</w:t>
      </w:r>
      <w:r w:rsidR="002B526E">
        <w:t xml:space="preserve"> (</w:t>
      </w:r>
      <w:r w:rsidR="00C00B0F">
        <w:t xml:space="preserve">Nov. 17, 2020); Letter from </w:t>
      </w:r>
      <w:r w:rsidRPr="001F667F" w:rsidR="001F667F">
        <w:t>Linn Skipper</w:t>
      </w:r>
      <w:r w:rsidR="00F727A0">
        <w:t xml:space="preserve">, Chairman Region 37, to Region 39 RPC, </w:t>
      </w:r>
      <w:r w:rsidRPr="005D7D67" w:rsidR="00F727A0">
        <w:t>PR Docket No. 93-58</w:t>
      </w:r>
      <w:r w:rsidR="00F727A0">
        <w:t xml:space="preserve"> (</w:t>
      </w:r>
      <w:r w:rsidR="00241274">
        <w:t xml:space="preserve">Oct. 6, 2020); </w:t>
      </w:r>
      <w:r w:rsidR="005500D1">
        <w:t xml:space="preserve">Letter from </w:t>
      </w:r>
      <w:r w:rsidRPr="005500D1" w:rsidR="005500D1">
        <w:t>Rodney Thompson</w:t>
      </w:r>
      <w:r w:rsidR="005500D1">
        <w:t xml:space="preserve">, Chairman Region 42, to </w:t>
      </w:r>
      <w:r w:rsidR="00A44362">
        <w:t xml:space="preserve">Region 39 RPC, </w:t>
      </w:r>
      <w:r w:rsidRPr="005D7D67" w:rsidR="00A44362">
        <w:t>PR Docket No. 93-58</w:t>
      </w:r>
      <w:r w:rsidR="00A44362">
        <w:t xml:space="preserve"> (</w:t>
      </w:r>
      <w:r w:rsidR="006A2D38">
        <w:t xml:space="preserve">Oct. 1, 2020); </w:t>
      </w:r>
      <w:r w:rsidR="005D1B5B">
        <w:t xml:space="preserve">Letter from </w:t>
      </w:r>
      <w:r w:rsidRPr="005D1B5B" w:rsidR="005D1B5B">
        <w:t xml:space="preserve">Dave </w:t>
      </w:r>
      <w:r w:rsidRPr="005D1B5B" w:rsidR="005D1B5B">
        <w:t>Saffel</w:t>
      </w:r>
      <w:r w:rsidR="0052051B">
        <w:t xml:space="preserve">, Chairman Region 44, to Region 39, 800 MHz </w:t>
      </w:r>
      <w:r w:rsidR="0055248D">
        <w:t xml:space="preserve">RPC, </w:t>
      </w:r>
      <w:r w:rsidRPr="0055248D" w:rsidR="0055248D">
        <w:t>PR Docket No. 93-58 (</w:t>
      </w:r>
      <w:r w:rsidR="0055248D">
        <w:t>Nov. 16, 2020)</w:t>
      </w:r>
      <w:r w:rsidR="00937420">
        <w:t xml:space="preserve"> </w:t>
      </w:r>
      <w:r w:rsidR="009E6281">
        <w:t>(</w:t>
      </w:r>
      <w:r w:rsidR="000017C3">
        <w:t>collectively filed Feb. 25, 2021</w:t>
      </w:r>
      <w:r w:rsidR="00436556">
        <w:t xml:space="preserve"> </w:t>
      </w:r>
      <w:r w:rsidR="005B0CDD">
        <w:t xml:space="preserve">as an attachment to </w:t>
      </w:r>
      <w:r w:rsidR="00937420">
        <w:t>redline version of the Plan Amendment</w:t>
      </w:r>
      <w:r w:rsidR="005B0CDD">
        <w:t xml:space="preserve"> at 59-68</w:t>
      </w:r>
      <w:r w:rsidR="000017C3">
        <w:t>)</w:t>
      </w:r>
      <w:r w:rsidR="0055248D">
        <w:t xml:space="preserve">. </w:t>
      </w:r>
      <w:r w:rsidR="005D7679">
        <w:t xml:space="preserve"> </w:t>
      </w:r>
      <w:r w:rsidR="00DC66D5">
        <w:t xml:space="preserve">  </w:t>
      </w:r>
      <w:r w:rsidR="006579FC">
        <w:t xml:space="preserve"> </w:t>
      </w:r>
    </w:p>
  </w:footnote>
  <w:footnote w:id="17">
    <w:p w:rsidR="001474F6" w:rsidP="001474F6" w14:paraId="534380E2" w14:textId="77777777">
      <w:pPr>
        <w:pStyle w:val="FootnoteText"/>
      </w:pPr>
      <w:r w:rsidRPr="00713474">
        <w:rPr>
          <w:rStyle w:val="FootnoteReference"/>
        </w:rPr>
        <w:footnoteRef/>
      </w:r>
      <w:r w:rsidRPr="00713474">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FCC Announces Closure of FCC Headquarters Open Window and Change in Hand-Delivery Filing</w:t>
      </w:r>
      <w:r w:rsidRPr="00713474">
        <w:t>,</w:t>
      </w:r>
      <w:r w:rsidRPr="00713474">
        <w:rPr>
          <w:i/>
          <w:iCs/>
        </w:rPr>
        <w:t xml:space="preserve"> </w:t>
      </w:r>
      <w:r w:rsidRPr="00713474">
        <w:t>Public Notice, DA 20-304 (rel. Mar. 19,</w:t>
      </w:r>
      <w:r>
        <w:t xml:space="preserve"> </w:t>
      </w:r>
      <w:r w:rsidRPr="00713474">
        <w:t xml:space="preserve">2020).  </w:t>
      </w:r>
      <w:hyperlink r:id="rId1" w:history="1">
        <w:r w:rsidRPr="00796EC2">
          <w:rPr>
            <w:rStyle w:val="Hyperlink"/>
            <w:bdr w:val="none" w:sz="0" w:space="0" w:color="auto" w:frame="1"/>
            <w:shd w:val="clear" w:color="auto" w:fill="FFFFFF"/>
          </w:rPr>
          <w:t>https://www.fcc.gov/document/fcc-closes-headquarters-open-window-and-changes-hand-delivery-policy</w:t>
        </w:r>
      </w:hyperlink>
      <w:r w:rsidRPr="00713474">
        <w:t>.</w:t>
      </w:r>
      <w:r w:rsidRPr="00713474">
        <w:rPr>
          <w:color w:val="201F1E"/>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EC4E009" w14:textId="3FD3103E">
    <w:pPr>
      <w:tabs>
        <w:tab w:val="center" w:pos="4680"/>
        <w:tab w:val="right" w:pos="9360"/>
      </w:tabs>
    </w:pPr>
    <w:r>
      <w:rPr>
        <w:b/>
      </w:rPr>
      <w:tab/>
      <w:t>Federal Communications Commission</w:t>
    </w:r>
    <w:r>
      <w:rPr>
        <w:b/>
      </w:rPr>
      <w:tab/>
    </w:r>
    <w:r w:rsidR="008762BB">
      <w:rPr>
        <w:b/>
      </w:rPr>
      <w:t xml:space="preserve">DA </w:t>
    </w:r>
    <w:r w:rsidRPr="00603558" w:rsidR="00603558">
      <w:rPr>
        <w:b/>
      </w:rPr>
      <w:t>21-</w:t>
    </w:r>
    <w:r w:rsidR="009F6279">
      <w:rPr>
        <w:b/>
      </w:rPr>
      <w:t>644</w:t>
    </w:r>
  </w:p>
  <w:p w:rsidR="00B6319F" w14:paraId="01D38A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2B8618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15C7D94E"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31603099" w14:textId="77777777">
                    <w:pPr>
                      <w:rPr>
                        <w:rFonts w:ascii="Arial" w:hAnsi="Arial"/>
                        <w:b/>
                      </w:rPr>
                    </w:pPr>
                    <w:r>
                      <w:rPr>
                        <w:rFonts w:ascii="Arial" w:hAnsi="Arial"/>
                        <w:b/>
                      </w:rPr>
                      <w:t>Federal Communications Commission</w:t>
                    </w:r>
                  </w:p>
                  <w:p w:rsidR="00B6319F" w14:paraId="52352A62" w14:textId="77777777">
                    <w:pPr>
                      <w:rPr>
                        <w:rFonts w:ascii="Arial" w:hAnsi="Arial"/>
                        <w:b/>
                      </w:rPr>
                    </w:pPr>
                    <w:r>
                      <w:rPr>
                        <w:rFonts w:ascii="Arial" w:hAnsi="Arial"/>
                        <w:b/>
                      </w:rPr>
                      <w:t>45 L St., N.E.</w:t>
                    </w:r>
                  </w:p>
                  <w:p w:rsidR="00B6319F" w14:paraId="5CA7D268"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2EE8460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04A92D6F" w14:textId="77777777">
                    <w:pPr>
                      <w:spacing w:before="40"/>
                      <w:jc w:val="right"/>
                      <w:rPr>
                        <w:rFonts w:ascii="Arial" w:hAnsi="Arial"/>
                        <w:b/>
                        <w:sz w:val="16"/>
                      </w:rPr>
                    </w:pPr>
                    <w:r>
                      <w:rPr>
                        <w:rFonts w:ascii="Arial" w:hAnsi="Arial"/>
                        <w:b/>
                        <w:sz w:val="16"/>
                      </w:rPr>
                      <w:t>News Media Information 202 / 418-0500</w:t>
                    </w:r>
                  </w:p>
                  <w:p w:rsidR="00B6319F" w14:paraId="69409FAA"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B6319F" w14:paraId="6F3A1A44" w14:textId="77777777">
                    <w:pPr>
                      <w:jc w:val="right"/>
                    </w:pPr>
                    <w:r>
                      <w:rPr>
                        <w:rFonts w:ascii="Arial" w:hAnsi="Arial"/>
                        <w:b/>
                        <w:sz w:val="16"/>
                      </w:rPr>
                      <w:t>TTY: 1-888-835-5322</w:t>
                    </w:r>
                  </w:p>
                </w:txbxContent>
              </v:textbox>
            </v:shape>
          </w:pict>
        </mc:Fallback>
      </mc:AlternateContent>
    </w:r>
  </w:p>
  <w:p w:rsidR="00B6319F" w14:paraId="1FD23E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DB92660"/>
    <w:multiLevelType w:val="hybridMultilevel"/>
    <w:tmpl w:val="CD862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70266C"/>
    <w:multiLevelType w:val="hybridMultilevel"/>
    <w:tmpl w:val="48845B62"/>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75817F1"/>
    <w:multiLevelType w:val="hybridMultilevel"/>
    <w:tmpl w:val="581A4760"/>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1"/>
  </w:num>
  <w:num w:numId="5">
    <w:abstractNumId w:val="5"/>
  </w:num>
  <w:num w:numId="6">
    <w:abstractNumId w:val="2"/>
  </w:num>
  <w:num w:numId="7">
    <w:abstractNumId w:val="0"/>
  </w:num>
  <w:num w:numId="8">
    <w:abstractNumId w:val="7"/>
  </w:num>
  <w:num w:numId="9">
    <w:abstractNumId w:val="17"/>
  </w:num>
  <w:num w:numId="10">
    <w:abstractNumId w:val="13"/>
  </w:num>
  <w:num w:numId="11">
    <w:abstractNumId w:val="10"/>
  </w:num>
  <w:num w:numId="12">
    <w:abstractNumId w:val="9"/>
  </w:num>
  <w:num w:numId="13">
    <w:abstractNumId w:val="1"/>
  </w:num>
  <w:num w:numId="14">
    <w:abstractNumId w:val="14"/>
  </w:num>
  <w:num w:numId="15">
    <w:abstractNumId w:val="12"/>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17C3"/>
    <w:rsid w:val="00003CD1"/>
    <w:rsid w:val="00010EF7"/>
    <w:rsid w:val="00013E86"/>
    <w:rsid w:val="00014F0F"/>
    <w:rsid w:val="00023FC4"/>
    <w:rsid w:val="00025F1C"/>
    <w:rsid w:val="00026646"/>
    <w:rsid w:val="00033C64"/>
    <w:rsid w:val="00034988"/>
    <w:rsid w:val="0003504B"/>
    <w:rsid w:val="00037279"/>
    <w:rsid w:val="0004103E"/>
    <w:rsid w:val="00050DB0"/>
    <w:rsid w:val="00052A75"/>
    <w:rsid w:val="00056F2F"/>
    <w:rsid w:val="00063096"/>
    <w:rsid w:val="00063623"/>
    <w:rsid w:val="00063E3B"/>
    <w:rsid w:val="000701FC"/>
    <w:rsid w:val="000734F3"/>
    <w:rsid w:val="000751C4"/>
    <w:rsid w:val="000770A8"/>
    <w:rsid w:val="00080067"/>
    <w:rsid w:val="000822CC"/>
    <w:rsid w:val="00086071"/>
    <w:rsid w:val="00087CEA"/>
    <w:rsid w:val="000A3D24"/>
    <w:rsid w:val="000A4ECC"/>
    <w:rsid w:val="000B0079"/>
    <w:rsid w:val="000B3110"/>
    <w:rsid w:val="000B4089"/>
    <w:rsid w:val="000B4B09"/>
    <w:rsid w:val="000B5F9C"/>
    <w:rsid w:val="000C3378"/>
    <w:rsid w:val="000C4B1B"/>
    <w:rsid w:val="000C5C4E"/>
    <w:rsid w:val="000C61E2"/>
    <w:rsid w:val="000D195F"/>
    <w:rsid w:val="000D24C0"/>
    <w:rsid w:val="000D34CC"/>
    <w:rsid w:val="000D4616"/>
    <w:rsid w:val="000D5990"/>
    <w:rsid w:val="000E6704"/>
    <w:rsid w:val="000F1439"/>
    <w:rsid w:val="000F3E9E"/>
    <w:rsid w:val="00100EAB"/>
    <w:rsid w:val="001039CC"/>
    <w:rsid w:val="00104009"/>
    <w:rsid w:val="001112E5"/>
    <w:rsid w:val="0012032D"/>
    <w:rsid w:val="00127720"/>
    <w:rsid w:val="0013010A"/>
    <w:rsid w:val="0014126B"/>
    <w:rsid w:val="0014585C"/>
    <w:rsid w:val="001474F6"/>
    <w:rsid w:val="001501E4"/>
    <w:rsid w:val="001541F7"/>
    <w:rsid w:val="00156A1D"/>
    <w:rsid w:val="001628C6"/>
    <w:rsid w:val="00164DE9"/>
    <w:rsid w:val="001815A3"/>
    <w:rsid w:val="00187770"/>
    <w:rsid w:val="00187F9F"/>
    <w:rsid w:val="00192636"/>
    <w:rsid w:val="0019275C"/>
    <w:rsid w:val="00192DE3"/>
    <w:rsid w:val="00195270"/>
    <w:rsid w:val="0019574E"/>
    <w:rsid w:val="001A530E"/>
    <w:rsid w:val="001A549B"/>
    <w:rsid w:val="001A7411"/>
    <w:rsid w:val="001B0C1D"/>
    <w:rsid w:val="001B1EF4"/>
    <w:rsid w:val="001B3927"/>
    <w:rsid w:val="001B707B"/>
    <w:rsid w:val="001D1C74"/>
    <w:rsid w:val="001D5890"/>
    <w:rsid w:val="001D613D"/>
    <w:rsid w:val="001E202F"/>
    <w:rsid w:val="001E2E0A"/>
    <w:rsid w:val="001F3DDC"/>
    <w:rsid w:val="001F667F"/>
    <w:rsid w:val="002052B0"/>
    <w:rsid w:val="00205C11"/>
    <w:rsid w:val="00206E2F"/>
    <w:rsid w:val="0021628B"/>
    <w:rsid w:val="002172E8"/>
    <w:rsid w:val="0021757A"/>
    <w:rsid w:val="00223B9E"/>
    <w:rsid w:val="00233684"/>
    <w:rsid w:val="002337D0"/>
    <w:rsid w:val="00240304"/>
    <w:rsid w:val="00241274"/>
    <w:rsid w:val="002442C6"/>
    <w:rsid w:val="00261B2B"/>
    <w:rsid w:val="002673E5"/>
    <w:rsid w:val="00272918"/>
    <w:rsid w:val="00272DD0"/>
    <w:rsid w:val="00274627"/>
    <w:rsid w:val="0028222B"/>
    <w:rsid w:val="0028654B"/>
    <w:rsid w:val="00293EEC"/>
    <w:rsid w:val="00294BE8"/>
    <w:rsid w:val="002A0C49"/>
    <w:rsid w:val="002A154C"/>
    <w:rsid w:val="002B1019"/>
    <w:rsid w:val="002B526E"/>
    <w:rsid w:val="002B5F2B"/>
    <w:rsid w:val="002C7649"/>
    <w:rsid w:val="002D3414"/>
    <w:rsid w:val="002E266D"/>
    <w:rsid w:val="002E6741"/>
    <w:rsid w:val="002E7084"/>
    <w:rsid w:val="002F12FC"/>
    <w:rsid w:val="002F5070"/>
    <w:rsid w:val="002F52CF"/>
    <w:rsid w:val="002F57D1"/>
    <w:rsid w:val="002F5AF9"/>
    <w:rsid w:val="00302AD7"/>
    <w:rsid w:val="003042BD"/>
    <w:rsid w:val="00313F54"/>
    <w:rsid w:val="00316D33"/>
    <w:rsid w:val="003202F1"/>
    <w:rsid w:val="00327A6D"/>
    <w:rsid w:val="00335006"/>
    <w:rsid w:val="00337BDC"/>
    <w:rsid w:val="00342549"/>
    <w:rsid w:val="00350BDD"/>
    <w:rsid w:val="00356FD1"/>
    <w:rsid w:val="00365690"/>
    <w:rsid w:val="00366960"/>
    <w:rsid w:val="0037004B"/>
    <w:rsid w:val="003812F8"/>
    <w:rsid w:val="00385D84"/>
    <w:rsid w:val="00386ACE"/>
    <w:rsid w:val="003945F8"/>
    <w:rsid w:val="003949DC"/>
    <w:rsid w:val="003A32D7"/>
    <w:rsid w:val="003A3D08"/>
    <w:rsid w:val="003B018E"/>
    <w:rsid w:val="003B3E54"/>
    <w:rsid w:val="003B5D5A"/>
    <w:rsid w:val="003B697A"/>
    <w:rsid w:val="003B6D1D"/>
    <w:rsid w:val="003C096F"/>
    <w:rsid w:val="003C0E6A"/>
    <w:rsid w:val="003C4986"/>
    <w:rsid w:val="003D2495"/>
    <w:rsid w:val="003D478D"/>
    <w:rsid w:val="003E674E"/>
    <w:rsid w:val="003E71CD"/>
    <w:rsid w:val="003E7424"/>
    <w:rsid w:val="003E75C7"/>
    <w:rsid w:val="003E7995"/>
    <w:rsid w:val="003F4B2F"/>
    <w:rsid w:val="00403077"/>
    <w:rsid w:val="004064EF"/>
    <w:rsid w:val="00410A11"/>
    <w:rsid w:val="00411F4F"/>
    <w:rsid w:val="004207C3"/>
    <w:rsid w:val="00432310"/>
    <w:rsid w:val="004332E8"/>
    <w:rsid w:val="00434170"/>
    <w:rsid w:val="00435623"/>
    <w:rsid w:val="00436405"/>
    <w:rsid w:val="00436556"/>
    <w:rsid w:val="00436642"/>
    <w:rsid w:val="004643F2"/>
    <w:rsid w:val="00473154"/>
    <w:rsid w:val="00476D27"/>
    <w:rsid w:val="00487385"/>
    <w:rsid w:val="0049112D"/>
    <w:rsid w:val="00492583"/>
    <w:rsid w:val="0049341F"/>
    <w:rsid w:val="004A3DE1"/>
    <w:rsid w:val="004B37D0"/>
    <w:rsid w:val="004B74EE"/>
    <w:rsid w:val="004C559C"/>
    <w:rsid w:val="004D0F5C"/>
    <w:rsid w:val="004D194A"/>
    <w:rsid w:val="004D4464"/>
    <w:rsid w:val="004E0D7F"/>
    <w:rsid w:val="004E37D4"/>
    <w:rsid w:val="004E4541"/>
    <w:rsid w:val="004F0AC7"/>
    <w:rsid w:val="004F4E26"/>
    <w:rsid w:val="004F6816"/>
    <w:rsid w:val="00507A70"/>
    <w:rsid w:val="00516DFE"/>
    <w:rsid w:val="0052051B"/>
    <w:rsid w:val="005220F3"/>
    <w:rsid w:val="00526368"/>
    <w:rsid w:val="00530F65"/>
    <w:rsid w:val="00532BED"/>
    <w:rsid w:val="00536B72"/>
    <w:rsid w:val="0054138D"/>
    <w:rsid w:val="00545106"/>
    <w:rsid w:val="005500D1"/>
    <w:rsid w:val="0055248D"/>
    <w:rsid w:val="00553FBC"/>
    <w:rsid w:val="005553C8"/>
    <w:rsid w:val="00556CA1"/>
    <w:rsid w:val="005611A1"/>
    <w:rsid w:val="00566402"/>
    <w:rsid w:val="0056661E"/>
    <w:rsid w:val="005676E2"/>
    <w:rsid w:val="00576933"/>
    <w:rsid w:val="00583989"/>
    <w:rsid w:val="0058525D"/>
    <w:rsid w:val="00587E17"/>
    <w:rsid w:val="005A6172"/>
    <w:rsid w:val="005A6A89"/>
    <w:rsid w:val="005B0CDD"/>
    <w:rsid w:val="005B6BA9"/>
    <w:rsid w:val="005B7FCF"/>
    <w:rsid w:val="005C2346"/>
    <w:rsid w:val="005D1B5B"/>
    <w:rsid w:val="005D2B4E"/>
    <w:rsid w:val="005D7679"/>
    <w:rsid w:val="005D7D67"/>
    <w:rsid w:val="005E454F"/>
    <w:rsid w:val="005E5351"/>
    <w:rsid w:val="005E79F9"/>
    <w:rsid w:val="005F074E"/>
    <w:rsid w:val="005F4125"/>
    <w:rsid w:val="005F7D5D"/>
    <w:rsid w:val="00602FB7"/>
    <w:rsid w:val="006033FF"/>
    <w:rsid w:val="00603558"/>
    <w:rsid w:val="00615045"/>
    <w:rsid w:val="00620061"/>
    <w:rsid w:val="00620524"/>
    <w:rsid w:val="00621795"/>
    <w:rsid w:val="006300CB"/>
    <w:rsid w:val="00634326"/>
    <w:rsid w:val="00634695"/>
    <w:rsid w:val="006367EC"/>
    <w:rsid w:val="00636F7F"/>
    <w:rsid w:val="00644548"/>
    <w:rsid w:val="00646F25"/>
    <w:rsid w:val="00656DEA"/>
    <w:rsid w:val="006579FC"/>
    <w:rsid w:val="0066669E"/>
    <w:rsid w:val="0067698C"/>
    <w:rsid w:val="00684FFC"/>
    <w:rsid w:val="0069349D"/>
    <w:rsid w:val="0069416D"/>
    <w:rsid w:val="006A0503"/>
    <w:rsid w:val="006A1C57"/>
    <w:rsid w:val="006A2D38"/>
    <w:rsid w:val="006B13F3"/>
    <w:rsid w:val="006B6EB4"/>
    <w:rsid w:val="006C6FD4"/>
    <w:rsid w:val="006D0820"/>
    <w:rsid w:val="006D4BFD"/>
    <w:rsid w:val="006D5E52"/>
    <w:rsid w:val="006E098A"/>
    <w:rsid w:val="006E1054"/>
    <w:rsid w:val="006E15CF"/>
    <w:rsid w:val="006E210A"/>
    <w:rsid w:val="006E274C"/>
    <w:rsid w:val="006F2C1A"/>
    <w:rsid w:val="006F7BBD"/>
    <w:rsid w:val="00700A2C"/>
    <w:rsid w:val="00701329"/>
    <w:rsid w:val="007015B0"/>
    <w:rsid w:val="00701AEB"/>
    <w:rsid w:val="00702187"/>
    <w:rsid w:val="00703123"/>
    <w:rsid w:val="00705A74"/>
    <w:rsid w:val="00706076"/>
    <w:rsid w:val="00712B63"/>
    <w:rsid w:val="00713474"/>
    <w:rsid w:val="00714133"/>
    <w:rsid w:val="00721F3C"/>
    <w:rsid w:val="007226A5"/>
    <w:rsid w:val="00736BFC"/>
    <w:rsid w:val="00736EEC"/>
    <w:rsid w:val="00757A78"/>
    <w:rsid w:val="00757EF7"/>
    <w:rsid w:val="00763874"/>
    <w:rsid w:val="00766920"/>
    <w:rsid w:val="00771366"/>
    <w:rsid w:val="0077401B"/>
    <w:rsid w:val="0077507C"/>
    <w:rsid w:val="00775987"/>
    <w:rsid w:val="007776CA"/>
    <w:rsid w:val="007856C9"/>
    <w:rsid w:val="00796188"/>
    <w:rsid w:val="00796EC2"/>
    <w:rsid w:val="007A434E"/>
    <w:rsid w:val="007A5CBB"/>
    <w:rsid w:val="007A6167"/>
    <w:rsid w:val="007B22BA"/>
    <w:rsid w:val="007B3082"/>
    <w:rsid w:val="007B5F0F"/>
    <w:rsid w:val="007B7A70"/>
    <w:rsid w:val="007C1C7A"/>
    <w:rsid w:val="007C3ABF"/>
    <w:rsid w:val="007C7160"/>
    <w:rsid w:val="007C7EC6"/>
    <w:rsid w:val="007D45C9"/>
    <w:rsid w:val="007D66A6"/>
    <w:rsid w:val="007E3431"/>
    <w:rsid w:val="007E491C"/>
    <w:rsid w:val="007F2915"/>
    <w:rsid w:val="00801C15"/>
    <w:rsid w:val="00811455"/>
    <w:rsid w:val="0083416C"/>
    <w:rsid w:val="00836851"/>
    <w:rsid w:val="00841E47"/>
    <w:rsid w:val="00852E69"/>
    <w:rsid w:val="00861111"/>
    <w:rsid w:val="00865459"/>
    <w:rsid w:val="00866EB6"/>
    <w:rsid w:val="00871B1E"/>
    <w:rsid w:val="008754DA"/>
    <w:rsid w:val="008762BB"/>
    <w:rsid w:val="008779BD"/>
    <w:rsid w:val="00877F15"/>
    <w:rsid w:val="00881640"/>
    <w:rsid w:val="00882B3D"/>
    <w:rsid w:val="00892E1B"/>
    <w:rsid w:val="00894421"/>
    <w:rsid w:val="00897115"/>
    <w:rsid w:val="008A0CD0"/>
    <w:rsid w:val="008D098A"/>
    <w:rsid w:val="008D1938"/>
    <w:rsid w:val="008D4D41"/>
    <w:rsid w:val="008D64DD"/>
    <w:rsid w:val="008D7D7A"/>
    <w:rsid w:val="008E5B49"/>
    <w:rsid w:val="008F14AA"/>
    <w:rsid w:val="008F50DB"/>
    <w:rsid w:val="008F51AA"/>
    <w:rsid w:val="0090294E"/>
    <w:rsid w:val="009072E0"/>
    <w:rsid w:val="00913435"/>
    <w:rsid w:val="00913D1E"/>
    <w:rsid w:val="00913D92"/>
    <w:rsid w:val="00920A97"/>
    <w:rsid w:val="009269B4"/>
    <w:rsid w:val="0093328B"/>
    <w:rsid w:val="00934440"/>
    <w:rsid w:val="00937420"/>
    <w:rsid w:val="00953407"/>
    <w:rsid w:val="0095534B"/>
    <w:rsid w:val="00955A82"/>
    <w:rsid w:val="0096082E"/>
    <w:rsid w:val="009614C3"/>
    <w:rsid w:val="00961D00"/>
    <w:rsid w:val="0096436D"/>
    <w:rsid w:val="00966C0C"/>
    <w:rsid w:val="00967F58"/>
    <w:rsid w:val="0097349C"/>
    <w:rsid w:val="009745F1"/>
    <w:rsid w:val="00990A58"/>
    <w:rsid w:val="0099324C"/>
    <w:rsid w:val="009B1193"/>
    <w:rsid w:val="009B24EE"/>
    <w:rsid w:val="009C265C"/>
    <w:rsid w:val="009C6FFE"/>
    <w:rsid w:val="009D464B"/>
    <w:rsid w:val="009E1D41"/>
    <w:rsid w:val="009E3CB7"/>
    <w:rsid w:val="009E6281"/>
    <w:rsid w:val="009F04E5"/>
    <w:rsid w:val="009F3F32"/>
    <w:rsid w:val="009F6279"/>
    <w:rsid w:val="009F66F5"/>
    <w:rsid w:val="00A065F2"/>
    <w:rsid w:val="00A12347"/>
    <w:rsid w:val="00A2450B"/>
    <w:rsid w:val="00A27172"/>
    <w:rsid w:val="00A275FA"/>
    <w:rsid w:val="00A31EFD"/>
    <w:rsid w:val="00A36ACB"/>
    <w:rsid w:val="00A43F91"/>
    <w:rsid w:val="00A44362"/>
    <w:rsid w:val="00A50E29"/>
    <w:rsid w:val="00A53364"/>
    <w:rsid w:val="00A55C95"/>
    <w:rsid w:val="00A6086E"/>
    <w:rsid w:val="00A65220"/>
    <w:rsid w:val="00A65CFF"/>
    <w:rsid w:val="00A71DE6"/>
    <w:rsid w:val="00A724A7"/>
    <w:rsid w:val="00A76B0B"/>
    <w:rsid w:val="00A81781"/>
    <w:rsid w:val="00A937FD"/>
    <w:rsid w:val="00A96DE4"/>
    <w:rsid w:val="00A97326"/>
    <w:rsid w:val="00AA141D"/>
    <w:rsid w:val="00AA1595"/>
    <w:rsid w:val="00AA4B80"/>
    <w:rsid w:val="00AA7F20"/>
    <w:rsid w:val="00AB7D60"/>
    <w:rsid w:val="00AC1802"/>
    <w:rsid w:val="00AC552B"/>
    <w:rsid w:val="00AC6433"/>
    <w:rsid w:val="00AD1AF3"/>
    <w:rsid w:val="00AD206D"/>
    <w:rsid w:val="00AD2E5D"/>
    <w:rsid w:val="00AD440D"/>
    <w:rsid w:val="00AE0CA2"/>
    <w:rsid w:val="00AE7AA4"/>
    <w:rsid w:val="00AE7FAA"/>
    <w:rsid w:val="00B04318"/>
    <w:rsid w:val="00B14E1E"/>
    <w:rsid w:val="00B32CE0"/>
    <w:rsid w:val="00B3735D"/>
    <w:rsid w:val="00B44832"/>
    <w:rsid w:val="00B459B6"/>
    <w:rsid w:val="00B5370B"/>
    <w:rsid w:val="00B60610"/>
    <w:rsid w:val="00B6319F"/>
    <w:rsid w:val="00B731DB"/>
    <w:rsid w:val="00B76D5A"/>
    <w:rsid w:val="00B77869"/>
    <w:rsid w:val="00B83955"/>
    <w:rsid w:val="00B9376D"/>
    <w:rsid w:val="00BA0585"/>
    <w:rsid w:val="00BB4E88"/>
    <w:rsid w:val="00BB547A"/>
    <w:rsid w:val="00BB5F06"/>
    <w:rsid w:val="00BB6BC1"/>
    <w:rsid w:val="00BC0237"/>
    <w:rsid w:val="00BC168A"/>
    <w:rsid w:val="00BD0F73"/>
    <w:rsid w:val="00BD4E76"/>
    <w:rsid w:val="00C00B0F"/>
    <w:rsid w:val="00C01CEE"/>
    <w:rsid w:val="00C21DAF"/>
    <w:rsid w:val="00C22652"/>
    <w:rsid w:val="00C229B2"/>
    <w:rsid w:val="00C232C7"/>
    <w:rsid w:val="00C250C0"/>
    <w:rsid w:val="00C35C18"/>
    <w:rsid w:val="00C41D41"/>
    <w:rsid w:val="00C42CDC"/>
    <w:rsid w:val="00C54723"/>
    <w:rsid w:val="00C6218F"/>
    <w:rsid w:val="00C76F63"/>
    <w:rsid w:val="00C8323A"/>
    <w:rsid w:val="00C857B8"/>
    <w:rsid w:val="00C8736E"/>
    <w:rsid w:val="00C92539"/>
    <w:rsid w:val="00C926D0"/>
    <w:rsid w:val="00C96357"/>
    <w:rsid w:val="00C97F19"/>
    <w:rsid w:val="00CA28A0"/>
    <w:rsid w:val="00CA4501"/>
    <w:rsid w:val="00CA6A85"/>
    <w:rsid w:val="00CB0638"/>
    <w:rsid w:val="00CB099B"/>
    <w:rsid w:val="00CB2B4F"/>
    <w:rsid w:val="00CB2C5E"/>
    <w:rsid w:val="00CB5EFF"/>
    <w:rsid w:val="00CC0CB5"/>
    <w:rsid w:val="00CC4A45"/>
    <w:rsid w:val="00CC4EDA"/>
    <w:rsid w:val="00CC7502"/>
    <w:rsid w:val="00CD2A91"/>
    <w:rsid w:val="00CD5B66"/>
    <w:rsid w:val="00CE7D4A"/>
    <w:rsid w:val="00D029A9"/>
    <w:rsid w:val="00D02E39"/>
    <w:rsid w:val="00D03C6C"/>
    <w:rsid w:val="00D044A0"/>
    <w:rsid w:val="00D0450E"/>
    <w:rsid w:val="00D05805"/>
    <w:rsid w:val="00D05C57"/>
    <w:rsid w:val="00D05F61"/>
    <w:rsid w:val="00D13042"/>
    <w:rsid w:val="00D234C0"/>
    <w:rsid w:val="00D2618F"/>
    <w:rsid w:val="00D30056"/>
    <w:rsid w:val="00D42C81"/>
    <w:rsid w:val="00D432C6"/>
    <w:rsid w:val="00D65059"/>
    <w:rsid w:val="00D6702C"/>
    <w:rsid w:val="00D74D29"/>
    <w:rsid w:val="00D76A62"/>
    <w:rsid w:val="00D77B20"/>
    <w:rsid w:val="00D83BF4"/>
    <w:rsid w:val="00D85C4F"/>
    <w:rsid w:val="00DA10CB"/>
    <w:rsid w:val="00DA1F23"/>
    <w:rsid w:val="00DA7D5A"/>
    <w:rsid w:val="00DC6683"/>
    <w:rsid w:val="00DC66D5"/>
    <w:rsid w:val="00DD06D1"/>
    <w:rsid w:val="00DD3AE8"/>
    <w:rsid w:val="00DE20E3"/>
    <w:rsid w:val="00DE38C9"/>
    <w:rsid w:val="00DE5393"/>
    <w:rsid w:val="00DE7AB7"/>
    <w:rsid w:val="00DF2DF8"/>
    <w:rsid w:val="00E010EB"/>
    <w:rsid w:val="00E02DA9"/>
    <w:rsid w:val="00E11B69"/>
    <w:rsid w:val="00E22BF2"/>
    <w:rsid w:val="00E27A16"/>
    <w:rsid w:val="00E34FD8"/>
    <w:rsid w:val="00E3675F"/>
    <w:rsid w:val="00E4189A"/>
    <w:rsid w:val="00E4538D"/>
    <w:rsid w:val="00E454A4"/>
    <w:rsid w:val="00E464D9"/>
    <w:rsid w:val="00E53DBD"/>
    <w:rsid w:val="00E619D7"/>
    <w:rsid w:val="00E64E2C"/>
    <w:rsid w:val="00E81A16"/>
    <w:rsid w:val="00E832E5"/>
    <w:rsid w:val="00E90F0D"/>
    <w:rsid w:val="00E9450C"/>
    <w:rsid w:val="00E94D35"/>
    <w:rsid w:val="00E967C6"/>
    <w:rsid w:val="00E969ED"/>
    <w:rsid w:val="00EA154B"/>
    <w:rsid w:val="00EB4A3D"/>
    <w:rsid w:val="00EB5933"/>
    <w:rsid w:val="00EB6FED"/>
    <w:rsid w:val="00EC1B68"/>
    <w:rsid w:val="00EC561C"/>
    <w:rsid w:val="00ED4200"/>
    <w:rsid w:val="00ED6D5C"/>
    <w:rsid w:val="00EF0046"/>
    <w:rsid w:val="00EF10D7"/>
    <w:rsid w:val="00EF1E95"/>
    <w:rsid w:val="00EF7EEB"/>
    <w:rsid w:val="00F02746"/>
    <w:rsid w:val="00F03B74"/>
    <w:rsid w:val="00F17700"/>
    <w:rsid w:val="00F210DD"/>
    <w:rsid w:val="00F21C8B"/>
    <w:rsid w:val="00F24511"/>
    <w:rsid w:val="00F31AC3"/>
    <w:rsid w:val="00F33A56"/>
    <w:rsid w:val="00F42374"/>
    <w:rsid w:val="00F5038C"/>
    <w:rsid w:val="00F52804"/>
    <w:rsid w:val="00F540A9"/>
    <w:rsid w:val="00F54D01"/>
    <w:rsid w:val="00F6147F"/>
    <w:rsid w:val="00F628EC"/>
    <w:rsid w:val="00F71545"/>
    <w:rsid w:val="00F727A0"/>
    <w:rsid w:val="00F746E6"/>
    <w:rsid w:val="00F74B3C"/>
    <w:rsid w:val="00F83FC7"/>
    <w:rsid w:val="00F85FF0"/>
    <w:rsid w:val="00F8668D"/>
    <w:rsid w:val="00F91256"/>
    <w:rsid w:val="00F92F41"/>
    <w:rsid w:val="00F960B8"/>
    <w:rsid w:val="00F96E38"/>
    <w:rsid w:val="00FA1C94"/>
    <w:rsid w:val="00FA7C48"/>
    <w:rsid w:val="00FB0537"/>
    <w:rsid w:val="00FB16A6"/>
    <w:rsid w:val="00FB204D"/>
    <w:rsid w:val="00FB6A26"/>
    <w:rsid w:val="00FB7805"/>
    <w:rsid w:val="00FD2784"/>
    <w:rsid w:val="00FD370B"/>
    <w:rsid w:val="00FE309C"/>
    <w:rsid w:val="00FE4096"/>
    <w:rsid w:val="00FF06DA"/>
    <w:rsid w:val="00FF21E0"/>
    <w:rsid w:val="00FF7C7F"/>
    <w:rsid w:val="5A3E37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87F394"/>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1">
    <w:name w:val="Unresolved Mention1"/>
    <w:basedOn w:val="DefaultParagraphFont"/>
    <w:uiPriority w:val="99"/>
    <w:rsid w:val="00B9376D"/>
    <w:rPr>
      <w:color w:val="605E5C"/>
      <w:shd w:val="clear" w:color="auto" w:fill="E1DFDD"/>
    </w:rPr>
  </w:style>
  <w:style w:type="character" w:customStyle="1" w:styleId="FootnoteTextCharCharChar1">
    <w:name w:val="Footnote Text Char Char Char1"/>
    <w:aliases w:val="Footnote Text Char Char Char Char Char Char Char,Footnote Text Char1 Char Char Char Char1,Footnote Text Char1 Char1 Char1,Footnote Text Char1 Char2,Footnote Text Char2 Char1"/>
    <w:locked/>
    <w:rsid w:val="006F2C1A"/>
    <w:rPr>
      <w:rFonts w:ascii="Courier New" w:hAnsi="Courier New" w:cs="Times New Roman"/>
      <w:sz w:val="24"/>
      <w:lang w:val="en-US" w:eastAsia="en-US" w:bidi="ar-SA"/>
    </w:rPr>
  </w:style>
  <w:style w:type="character" w:customStyle="1" w:styleId="UnresolvedMention">
    <w:name w:val="Unresolved Mention"/>
    <w:basedOn w:val="DefaultParagraphFont"/>
    <w:uiPriority w:val="99"/>
    <w:rsid w:val="0007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cfs@fcc.gov" TargetMode="External" /><Relationship Id="rId6" Type="http://schemas.openxmlformats.org/officeDocument/2006/relationships/hyperlink" Target="http://www.fcc.gov/ecfs" TargetMode="External" /><Relationship Id="rId7" Type="http://schemas.openxmlformats.org/officeDocument/2006/relationships/hyperlink" Target="mailto:fcc504@fcc.gov" TargetMode="External" /><Relationship Id="rId8" Type="http://schemas.openxmlformats.org/officeDocument/2006/relationships/hyperlink" Target="mailto:Brian.Marenco@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