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67D11" w14:paraId="1EBEF827" w14:textId="31A3A067">
      <w:pPr>
        <w:jc w:val="right"/>
        <w:rPr>
          <w:b/>
          <w:sz w:val="24"/>
        </w:rPr>
      </w:pPr>
      <w:r>
        <w:rPr>
          <w:b/>
          <w:sz w:val="24"/>
        </w:rPr>
        <w:fldChar w:fldCharType="begin">
          <w:ffData>
            <w:name w:val="Text1"/>
            <w:enabled/>
            <w:calcOnExit w:val="0"/>
            <w:textInput>
              <w:default w:val="DA 22-649"/>
            </w:textInput>
          </w:ffData>
        </w:fldChar>
      </w:r>
      <w:bookmarkStart w:id="0" w:name="Text1"/>
      <w:r>
        <w:rPr>
          <w:b/>
          <w:sz w:val="24"/>
        </w:rPr>
        <w:instrText xml:space="preserve"> FORMTEXT </w:instrText>
      </w:r>
      <w:r>
        <w:rPr>
          <w:b/>
          <w:sz w:val="24"/>
        </w:rPr>
        <w:fldChar w:fldCharType="separate"/>
      </w:r>
      <w:r>
        <w:rPr>
          <w:b/>
          <w:noProof/>
          <w:sz w:val="24"/>
        </w:rPr>
        <w:t>DA 22-649</w:t>
      </w:r>
      <w:r>
        <w:rPr>
          <w:b/>
          <w:sz w:val="24"/>
        </w:rPr>
        <w:fldChar w:fldCharType="end"/>
      </w:r>
      <w:bookmarkEnd w:id="0"/>
    </w:p>
    <w:p w:rsidR="00B67D11" w14:paraId="1F42A392" w14:textId="3B683DF3">
      <w:pPr>
        <w:spacing w:before="60"/>
        <w:jc w:val="right"/>
        <w:rPr>
          <w:b/>
          <w:sz w:val="24"/>
        </w:rPr>
      </w:pPr>
      <w:r>
        <w:rPr>
          <w:b/>
          <w:sz w:val="24"/>
        </w:rPr>
        <w:t xml:space="preserve">Released:  </w:t>
      </w:r>
      <w:r w:rsidR="007E6D2E">
        <w:rPr>
          <w:b/>
          <w:sz w:val="24"/>
        </w:rPr>
        <w:fldChar w:fldCharType="begin">
          <w:ffData>
            <w:name w:val="Text2"/>
            <w:enabled/>
            <w:calcOnExit w:val="0"/>
            <w:textInput>
              <w:default w:val="June 17, 2022"/>
            </w:textInput>
          </w:ffData>
        </w:fldChar>
      </w:r>
      <w:bookmarkStart w:id="1" w:name="Text2"/>
      <w:r w:rsidR="007E6D2E">
        <w:rPr>
          <w:b/>
          <w:sz w:val="24"/>
        </w:rPr>
        <w:instrText xml:space="preserve"> FORMTEXT </w:instrText>
      </w:r>
      <w:r w:rsidR="007E6D2E">
        <w:rPr>
          <w:b/>
          <w:sz w:val="24"/>
        </w:rPr>
        <w:fldChar w:fldCharType="separate"/>
      </w:r>
      <w:r w:rsidR="007E6D2E">
        <w:rPr>
          <w:b/>
          <w:noProof/>
          <w:sz w:val="24"/>
        </w:rPr>
        <w:t>June 17, 2022</w:t>
      </w:r>
      <w:r w:rsidR="007E6D2E">
        <w:rPr>
          <w:b/>
          <w:sz w:val="24"/>
        </w:rPr>
        <w:fldChar w:fldCharType="end"/>
      </w:r>
      <w:bookmarkEnd w:id="1"/>
    </w:p>
    <w:p w:rsidR="00B67D11" w14:paraId="5A89E2BE" w14:textId="77777777">
      <w:pPr>
        <w:jc w:val="right"/>
        <w:rPr>
          <w:sz w:val="24"/>
        </w:rPr>
      </w:pPr>
    </w:p>
    <w:p w:rsidR="00B67D11" w:rsidRPr="0036209C" w:rsidP="0036209C" w14:paraId="1C06059F" w14:textId="283A58A9">
      <w:pPr>
        <w:spacing w:after="240"/>
        <w:jc w:val="center"/>
        <w:rPr>
          <w:rFonts w:ascii="Times New Roman Bold" w:hAnsi="Times New Roman Bold"/>
          <w:b/>
          <w:caps/>
          <w:sz w:val="24"/>
        </w:rPr>
      </w:pPr>
      <w:r>
        <w:rPr>
          <w:rFonts w:ascii="Times New Roman Bold" w:hAnsi="Times New Roman Bold"/>
          <w:b/>
          <w:caps/>
          <w:sz w:val="24"/>
        </w:rPr>
        <w:fldChar w:fldCharType="begin">
          <w:ffData>
            <w:name w:val="Text3"/>
            <w:enabled/>
            <w:calcOnExit w:val="0"/>
            <w:textInput>
              <w:default w:val="INDEPENDENT COMPLIANCE OFFICER IDENTIFIED in accordance with Verizon-TracFone Order"/>
            </w:textInput>
          </w:ffData>
        </w:fldChar>
      </w:r>
      <w:bookmarkStart w:id="2" w:name="Text3"/>
      <w:r>
        <w:rPr>
          <w:rFonts w:ascii="Times New Roman Bold" w:hAnsi="Times New Roman Bold"/>
          <w:b/>
          <w:caps/>
          <w:sz w:val="24"/>
        </w:rPr>
        <w:instrText xml:space="preserve"> FORMTEXT </w:instrText>
      </w:r>
      <w:r>
        <w:rPr>
          <w:rFonts w:ascii="Times New Roman Bold" w:hAnsi="Times New Roman Bold"/>
          <w:b/>
          <w:caps/>
          <w:sz w:val="24"/>
        </w:rPr>
        <w:fldChar w:fldCharType="separate"/>
      </w:r>
      <w:r>
        <w:rPr>
          <w:rFonts w:ascii="Times New Roman Bold" w:hAnsi="Times New Roman Bold"/>
          <w:b/>
          <w:caps/>
          <w:noProof/>
          <w:sz w:val="24"/>
        </w:rPr>
        <w:t>INDEPENDENT COMPLIANCE OFFICER IDENTIFIED in accordance with Verizon-TracFone Order</w:t>
      </w:r>
      <w:r>
        <w:rPr>
          <w:rFonts w:ascii="Times New Roman Bold" w:hAnsi="Times New Roman Bold"/>
          <w:b/>
          <w:caps/>
          <w:sz w:val="24"/>
        </w:rPr>
        <w:fldChar w:fldCharType="end"/>
      </w:r>
      <w:bookmarkEnd w:id="2"/>
    </w:p>
    <w:p w:rsidR="00B67D11" w14:paraId="2E12741D" w14:textId="42A07648">
      <w:pPr>
        <w:jc w:val="center"/>
        <w:rPr>
          <w:b/>
          <w:sz w:val="24"/>
        </w:rPr>
      </w:pPr>
      <w:r>
        <w:rPr>
          <w:b/>
          <w:sz w:val="24"/>
        </w:rPr>
        <w:fldChar w:fldCharType="begin">
          <w:ffData>
            <w:name w:val="Text5"/>
            <w:enabled/>
            <w:calcOnExit w:val="0"/>
            <w:textInput>
              <w:default w:val="WT Docket No. 22-210"/>
            </w:textInput>
          </w:ffData>
        </w:fldChar>
      </w:r>
      <w:bookmarkStart w:id="3" w:name="Text5"/>
      <w:r>
        <w:rPr>
          <w:b/>
          <w:sz w:val="24"/>
        </w:rPr>
        <w:instrText xml:space="preserve"> FORMTEXT </w:instrText>
      </w:r>
      <w:r>
        <w:rPr>
          <w:b/>
          <w:sz w:val="24"/>
        </w:rPr>
        <w:fldChar w:fldCharType="separate"/>
      </w:r>
      <w:r>
        <w:rPr>
          <w:b/>
          <w:noProof/>
          <w:sz w:val="24"/>
        </w:rPr>
        <w:t>WT Docket No. 22-210</w:t>
      </w:r>
      <w:r>
        <w:rPr>
          <w:b/>
          <w:sz w:val="24"/>
        </w:rPr>
        <w:fldChar w:fldCharType="end"/>
      </w:r>
      <w:bookmarkEnd w:id="3"/>
    </w:p>
    <w:p w:rsidR="00B67D11" w14:paraId="14FD3DBA" w14:textId="77777777">
      <w:bookmarkStart w:id="4" w:name="TOChere"/>
    </w:p>
    <w:bookmarkEnd w:id="4"/>
    <w:p w:rsidR="0036209C" w:rsidP="0036209C" w14:paraId="4524059A" w14:textId="77777777">
      <w:pPr>
        <w:pStyle w:val="ParaNum"/>
        <w:numPr>
          <w:ilvl w:val="0"/>
          <w:numId w:val="0"/>
        </w:numPr>
        <w:ind w:firstLine="720"/>
        <w:rPr>
          <w:szCs w:val="22"/>
        </w:rPr>
      </w:pPr>
      <w:r>
        <w:rPr>
          <w:szCs w:val="22"/>
        </w:rPr>
        <w:t xml:space="preserve">On November 22, 2021, the Commission approved the application of </w:t>
      </w:r>
      <w:bookmarkStart w:id="5" w:name="_Hlk103928258"/>
      <w:r>
        <w:rPr>
          <w:szCs w:val="22"/>
        </w:rPr>
        <w:t xml:space="preserve">Verizon Communications Inc. (Verizon) and American </w:t>
      </w:r>
      <w:r w:rsidRPr="001E5823">
        <w:rPr>
          <w:szCs w:val="22"/>
        </w:rPr>
        <w:t>Móvil</w:t>
      </w:r>
      <w:r>
        <w:rPr>
          <w:szCs w:val="22"/>
        </w:rPr>
        <w:t xml:space="preserve">, </w:t>
      </w:r>
      <w:r w:rsidRPr="001E5823">
        <w:rPr>
          <w:szCs w:val="22"/>
        </w:rPr>
        <w:t>S.A.B. de C.V.</w:t>
      </w:r>
      <w:r>
        <w:rPr>
          <w:szCs w:val="22"/>
        </w:rPr>
        <w:t xml:space="preserve"> and </w:t>
      </w:r>
      <w:r w:rsidRPr="001E5823">
        <w:rPr>
          <w:szCs w:val="22"/>
        </w:rPr>
        <w:t xml:space="preserve">TracFone Wireless, Inc. </w:t>
      </w:r>
      <w:r>
        <w:rPr>
          <w:szCs w:val="22"/>
        </w:rPr>
        <w:t xml:space="preserve">(TracFone) for consent to the transfer of control of TracFone’s </w:t>
      </w:r>
      <w:r w:rsidRPr="001E5823">
        <w:rPr>
          <w:szCs w:val="22"/>
        </w:rPr>
        <w:t>international section 214 authorization</w:t>
      </w:r>
      <w:r>
        <w:rPr>
          <w:szCs w:val="22"/>
        </w:rPr>
        <w:t xml:space="preserve"> </w:t>
      </w:r>
      <w:bookmarkEnd w:id="5"/>
      <w:r>
        <w:rPr>
          <w:szCs w:val="22"/>
        </w:rPr>
        <w:t xml:space="preserve">from </w:t>
      </w:r>
      <w:r w:rsidRPr="001E5823">
        <w:rPr>
          <w:szCs w:val="22"/>
        </w:rPr>
        <w:t xml:space="preserve">American </w:t>
      </w:r>
      <w:r w:rsidRPr="001E5823">
        <w:rPr>
          <w:szCs w:val="22"/>
        </w:rPr>
        <w:t>Móvil</w:t>
      </w:r>
      <w:r w:rsidRPr="001E5823">
        <w:rPr>
          <w:szCs w:val="22"/>
        </w:rPr>
        <w:t xml:space="preserve"> </w:t>
      </w:r>
      <w:r>
        <w:rPr>
          <w:szCs w:val="22"/>
        </w:rPr>
        <w:t>to Verizon.</w:t>
      </w:r>
      <w:r>
        <w:rPr>
          <w:rStyle w:val="FootnoteReference"/>
          <w:szCs w:val="22"/>
        </w:rPr>
        <w:footnoteReference w:id="3"/>
      </w:r>
      <w:r>
        <w:rPr>
          <w:szCs w:val="22"/>
        </w:rPr>
        <w:t xml:space="preserve">  In order to address the potential harms posed and to confirm certain benefits offered by the transaction, the merged entity was subject to certain conditions imposed by the Commission as set forth in the Appendices of the Order.</w:t>
      </w:r>
    </w:p>
    <w:p w:rsidR="0036209C" w:rsidP="0036209C" w14:paraId="11F7B2E0" w14:textId="77777777">
      <w:pPr>
        <w:pStyle w:val="ParaNum"/>
        <w:keepNext/>
        <w:numPr>
          <w:ilvl w:val="0"/>
          <w:numId w:val="0"/>
        </w:numPr>
        <w:tabs>
          <w:tab w:val="left" w:pos="720"/>
        </w:tabs>
        <w:ind w:firstLine="720"/>
      </w:pPr>
      <w:r>
        <w:t>Appendix C of the Order requires that an Independent Compliance Officer be identified who will have the power and authority to review and evaluate Verizon’s compliance with the Order, as described further in Appendix C.</w:t>
      </w:r>
      <w:r>
        <w:rPr>
          <w:rStyle w:val="FootnoteReference"/>
        </w:rPr>
        <w:footnoteReference w:id="4"/>
      </w:r>
    </w:p>
    <w:p w:rsidR="0036209C" w:rsidP="0036209C" w14:paraId="6695EB41" w14:textId="3510227E">
      <w:pPr>
        <w:widowControl/>
        <w:suppressAutoHyphens/>
        <w:autoSpaceDE w:val="0"/>
        <w:autoSpaceDN w:val="0"/>
        <w:adjustRightInd w:val="0"/>
        <w:ind w:firstLine="720"/>
        <w:rPr>
          <w:szCs w:val="22"/>
        </w:rPr>
      </w:pPr>
      <w:r>
        <w:rPr>
          <w:szCs w:val="22"/>
        </w:rPr>
        <w:t>In accordance with Section I(3)(a) of Appendix C of the Order, Donald K. Stern of Affiliated Monitors, Inc., has been identified as the Independent Compliance Officer.  Mr. Stern is the Managing Director, Corporate Monitoring and Consulting Services, of Affiliated Monitors, Inc., and has served as the United States Attorney for Massachusetts, the Chief Legal Counsel for the Governor of Massachusetts, and Assistant Attorney General in the Massachusetts Attorney General’s Office. Mr. Stern has been a partner in a number of major law firms as well as a member of the faculty of a number of law schools.  Since 2004, Affiliated has provided a wide variety of ethics and compliance monitoring services, including providing independent integrity monitoring services for government and regulatory authorities in a wide variety of regulated industries and professions.  Mr. Stern was the Independent Compliance Officer overseeing AT</w:t>
      </w:r>
      <w:r w:rsidR="00F621C7">
        <w:rPr>
          <w:szCs w:val="22"/>
        </w:rPr>
        <w:t>&amp;</w:t>
      </w:r>
      <w:r>
        <w:rPr>
          <w:szCs w:val="22"/>
        </w:rPr>
        <w:t>T’s compliance with the conditions imposed by the Commission in the AT</w:t>
      </w:r>
      <w:r w:rsidR="00F621C7">
        <w:rPr>
          <w:szCs w:val="22"/>
        </w:rPr>
        <w:t>&amp;</w:t>
      </w:r>
      <w:r>
        <w:rPr>
          <w:szCs w:val="22"/>
        </w:rPr>
        <w:t xml:space="preserve">T-DirecTV transaction.  Following the procedures set forth in Section I(3)(a) of Appendix C of the Order, Mr. Stern was identified as the Independent Compliance Officer by an agreement between Verizon and the Commission’s Office of General Counsel, which has approved the selection.  More information about Affiliated Monitors and Mr. Stern is available at </w:t>
      </w:r>
      <w:hyperlink r:id="rId5" w:history="1">
        <w:r>
          <w:rPr>
            <w:rStyle w:val="Hyperlink"/>
            <w:szCs w:val="22"/>
          </w:rPr>
          <w:t>http://www.affiliatedmonitors.com</w:t>
        </w:r>
      </w:hyperlink>
      <w:r>
        <w:rPr>
          <w:szCs w:val="22"/>
        </w:rPr>
        <w:t>.</w:t>
      </w:r>
    </w:p>
    <w:p w:rsidR="0036209C" w14:paraId="1EA7D8C4" w14:textId="57CBD829"/>
    <w:p w:rsidR="0036209C" w:rsidRPr="0036209C" w:rsidP="0036209C" w14:paraId="4230722A" w14:textId="26EA1E6D">
      <w:pPr>
        <w:jc w:val="center"/>
        <w:rPr>
          <w:b/>
          <w:bCs/>
        </w:rPr>
      </w:pPr>
      <w:r w:rsidRPr="0036209C">
        <w:rPr>
          <w:b/>
          <w:bCs/>
        </w:rPr>
        <w:t>-FCC-</w:t>
      </w: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D11" w14:paraId="7DE3DC3B" w14:textId="77777777">
    <w:pPr>
      <w:pStyle w:val="Footer"/>
      <w:framePr w:wrap="around" w:vAnchor="text" w:hAnchor="margin" w:xAlign="center" w:y="1"/>
    </w:pPr>
    <w:r>
      <w:fldChar w:fldCharType="begin"/>
    </w:r>
    <w:r>
      <w:instrText xml:space="preserve">PAGE  </w:instrText>
    </w:r>
    <w:r>
      <w:fldChar w:fldCharType="separate"/>
    </w:r>
    <w:r>
      <w:fldChar w:fldCharType="end"/>
    </w:r>
  </w:p>
  <w:p w:rsidR="00B67D11" w14:paraId="2984BD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D11" w14:paraId="1F30825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D11" w14:paraId="4C6045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209C" w14:paraId="2833AAC0" w14:textId="77777777">
      <w:r>
        <w:separator/>
      </w:r>
    </w:p>
  </w:footnote>
  <w:footnote w:type="continuationSeparator" w:id="1">
    <w:p w:rsidR="0036209C" w14:paraId="2F39EEB2" w14:textId="77777777">
      <w:pPr>
        <w:rPr>
          <w:sz w:val="20"/>
        </w:rPr>
      </w:pPr>
      <w:r>
        <w:rPr>
          <w:sz w:val="20"/>
        </w:rPr>
        <w:t xml:space="preserve">(Continued from previous page)  </w:t>
      </w:r>
      <w:r>
        <w:rPr>
          <w:sz w:val="20"/>
        </w:rPr>
        <w:separator/>
      </w:r>
    </w:p>
  </w:footnote>
  <w:footnote w:type="continuationNotice" w:id="2">
    <w:p w:rsidR="0036209C" w14:paraId="40DC9AAF" w14:textId="77777777">
      <w:pPr>
        <w:jc w:val="right"/>
        <w:rPr>
          <w:sz w:val="20"/>
        </w:rPr>
      </w:pPr>
      <w:r>
        <w:rPr>
          <w:sz w:val="20"/>
        </w:rPr>
        <w:t>(continued….)</w:t>
      </w:r>
    </w:p>
  </w:footnote>
  <w:footnote w:id="3">
    <w:p w:rsidR="0036209C" w:rsidP="0036209C" w14:paraId="206EF914" w14:textId="6CAED2C8">
      <w:pPr>
        <w:pStyle w:val="FootnoteText"/>
      </w:pPr>
      <w:r>
        <w:rPr>
          <w:rStyle w:val="FootnoteReference"/>
        </w:rPr>
        <w:footnoteRef/>
      </w:r>
      <w:r>
        <w:t xml:space="preserve"> </w:t>
      </w:r>
      <w:r>
        <w:rPr>
          <w:i/>
        </w:rPr>
        <w:t xml:space="preserve">See Application of </w:t>
      </w:r>
      <w:r w:rsidRPr="004D1F44">
        <w:rPr>
          <w:i/>
          <w:iCs/>
          <w:szCs w:val="22"/>
        </w:rPr>
        <w:t xml:space="preserve">Verizon Communications Inc. and American </w:t>
      </w:r>
      <w:r w:rsidRPr="004D1F44">
        <w:rPr>
          <w:i/>
          <w:iCs/>
          <w:szCs w:val="22"/>
        </w:rPr>
        <w:t>Móvil</w:t>
      </w:r>
      <w:r w:rsidRPr="004D1F44">
        <w:rPr>
          <w:i/>
          <w:iCs/>
          <w:szCs w:val="22"/>
        </w:rPr>
        <w:t xml:space="preserve">, S.A.B. de C.V. for </w:t>
      </w:r>
      <w:r>
        <w:rPr>
          <w:i/>
          <w:iCs/>
          <w:szCs w:val="22"/>
        </w:rPr>
        <w:t>C</w:t>
      </w:r>
      <w:r w:rsidRPr="004D1F44">
        <w:rPr>
          <w:i/>
          <w:iCs/>
          <w:szCs w:val="22"/>
        </w:rPr>
        <w:t xml:space="preserve">onsent to </w:t>
      </w:r>
      <w:r>
        <w:rPr>
          <w:i/>
          <w:iCs/>
          <w:szCs w:val="22"/>
        </w:rPr>
        <w:t>T</w:t>
      </w:r>
      <w:r w:rsidRPr="004D1F44">
        <w:rPr>
          <w:i/>
          <w:iCs/>
          <w:szCs w:val="22"/>
        </w:rPr>
        <w:t xml:space="preserve">ransfer </w:t>
      </w:r>
      <w:r>
        <w:rPr>
          <w:i/>
          <w:iCs/>
          <w:szCs w:val="22"/>
        </w:rPr>
        <w:t>C</w:t>
      </w:r>
      <w:r w:rsidRPr="004D1F44">
        <w:rPr>
          <w:i/>
          <w:iCs/>
          <w:szCs w:val="22"/>
        </w:rPr>
        <w:t xml:space="preserve">ontrol </w:t>
      </w:r>
      <w:r>
        <w:rPr>
          <w:i/>
          <w:iCs/>
          <w:szCs w:val="22"/>
        </w:rPr>
        <w:t>I</w:t>
      </w:r>
      <w:r w:rsidRPr="004D1F44">
        <w:rPr>
          <w:i/>
          <w:iCs/>
          <w:szCs w:val="22"/>
        </w:rPr>
        <w:t xml:space="preserve">nternational </w:t>
      </w:r>
      <w:r>
        <w:rPr>
          <w:i/>
          <w:iCs/>
          <w:szCs w:val="22"/>
        </w:rPr>
        <w:t>S</w:t>
      </w:r>
      <w:r w:rsidRPr="004D1F44">
        <w:rPr>
          <w:i/>
          <w:iCs/>
          <w:szCs w:val="22"/>
        </w:rPr>
        <w:t xml:space="preserve">ection 214 </w:t>
      </w:r>
      <w:r>
        <w:rPr>
          <w:i/>
          <w:iCs/>
          <w:szCs w:val="22"/>
        </w:rPr>
        <w:t>A</w:t>
      </w:r>
      <w:r w:rsidRPr="004D1F44">
        <w:rPr>
          <w:i/>
          <w:iCs/>
          <w:szCs w:val="22"/>
        </w:rPr>
        <w:t>uthorization</w:t>
      </w:r>
      <w:r>
        <w:t>, GN Docket No. 21-112, Memorandum Opinion and Order, FCC 21-121 (Nov. 22, 2021) (Order).</w:t>
      </w:r>
    </w:p>
  </w:footnote>
  <w:footnote w:id="4">
    <w:p w:rsidR="0036209C" w:rsidP="0036209C" w14:paraId="5C562D49" w14:textId="77777777">
      <w:pPr>
        <w:pStyle w:val="FootnoteText"/>
      </w:pPr>
      <w:r>
        <w:rPr>
          <w:rStyle w:val="FootnoteReference"/>
        </w:rPr>
        <w:footnoteRef/>
      </w:r>
      <w:r>
        <w:t xml:space="preserve"> Order at Appendix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D11" w14:paraId="2227E5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D11" w14:paraId="1120F1E2"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B67D11" w14:paraId="37EC159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B67D11" w14:paraId="7704F4F4"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D11" w14:paraId="3DA56AAB"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9C"/>
    <w:rsid w:val="001E5823"/>
    <w:rsid w:val="0036209C"/>
    <w:rsid w:val="004D1F44"/>
    <w:rsid w:val="007E6D2E"/>
    <w:rsid w:val="00B67D11"/>
    <w:rsid w:val="00F621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B5C022"/>
  <w15:chartTrackingRefBased/>
  <w15:docId w15:val="{F255C75D-5096-4F54-80DE-E53E67DC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link w:val="FootnoteText"/>
    <w:uiPriority w:val="99"/>
    <w:semiHidden/>
    <w:rsid w:val="00362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affiliatedmonitors.com"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