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46121848"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DC6F7B">
        <w:rPr>
          <w:szCs w:val="22"/>
        </w:rPr>
        <w:t xml:space="preserve">  </w:t>
      </w:r>
    </w:p>
    <w:p w:rsidR="00ED51D0" w:rsidP="00ED51D0" w14:paraId="3F3A4C1C" w14:textId="3CCBB5AB">
      <w:pPr>
        <w:widowControl w:val="0"/>
        <w:jc w:val="right"/>
        <w:rPr>
          <w:b/>
          <w:snapToGrid w:val="0"/>
          <w:kern w:val="28"/>
          <w:szCs w:val="22"/>
        </w:rPr>
      </w:pPr>
      <w:bookmarkStart w:id="1" w:name="_Hlk26280526"/>
      <w:bookmarkStart w:id="2" w:name="_Hlk64383480"/>
      <w:r w:rsidRPr="00CB6B4E">
        <w:rPr>
          <w:b/>
          <w:snapToGrid w:val="0"/>
          <w:kern w:val="28"/>
          <w:szCs w:val="22"/>
        </w:rPr>
        <w:t>DA 2</w:t>
      </w:r>
      <w:r w:rsidRPr="00CB6B4E" w:rsidR="0089666B">
        <w:rPr>
          <w:b/>
          <w:snapToGrid w:val="0"/>
          <w:kern w:val="28"/>
          <w:szCs w:val="22"/>
        </w:rPr>
        <w:t>2</w:t>
      </w:r>
      <w:r w:rsidRPr="00CB6B4E">
        <w:rPr>
          <w:b/>
          <w:snapToGrid w:val="0"/>
          <w:kern w:val="28"/>
          <w:szCs w:val="22"/>
        </w:rPr>
        <w:t>-</w:t>
      </w:r>
      <w:r w:rsidR="00DF7378">
        <w:rPr>
          <w:b/>
          <w:snapToGrid w:val="0"/>
          <w:kern w:val="28"/>
          <w:szCs w:val="22"/>
        </w:rPr>
        <w:t>652</w:t>
      </w:r>
    </w:p>
    <w:p w:rsidR="00AD440B" w:rsidRPr="00CB6B4E" w:rsidP="00ED51D0" w14:paraId="3A86B2BA" w14:textId="77777777">
      <w:pPr>
        <w:widowControl w:val="0"/>
        <w:jc w:val="right"/>
        <w:rPr>
          <w:b/>
          <w:snapToGrid w:val="0"/>
          <w:kern w:val="28"/>
          <w:szCs w:val="22"/>
        </w:rPr>
      </w:pPr>
      <w:r w:rsidRPr="00CB6B4E">
        <w:rPr>
          <w:b/>
          <w:snapToGrid w:val="0"/>
          <w:kern w:val="28"/>
          <w:szCs w:val="22"/>
        </w:rPr>
        <w:t xml:space="preserve">Released: </w:t>
      </w:r>
      <w:r w:rsidR="002C32AB">
        <w:rPr>
          <w:b/>
          <w:snapToGrid w:val="0"/>
          <w:kern w:val="28"/>
          <w:szCs w:val="22"/>
        </w:rPr>
        <w:t xml:space="preserve"> </w:t>
      </w:r>
      <w:r w:rsidR="008672FD">
        <w:rPr>
          <w:b/>
          <w:snapToGrid w:val="0"/>
          <w:kern w:val="28"/>
          <w:szCs w:val="22"/>
        </w:rPr>
        <w:t>June</w:t>
      </w:r>
      <w:r w:rsidR="00040756">
        <w:rPr>
          <w:b/>
          <w:snapToGrid w:val="0"/>
          <w:kern w:val="28"/>
          <w:szCs w:val="22"/>
        </w:rPr>
        <w:t xml:space="preserve"> </w:t>
      </w:r>
      <w:r w:rsidR="003478C2">
        <w:rPr>
          <w:b/>
          <w:snapToGrid w:val="0"/>
          <w:kern w:val="28"/>
          <w:szCs w:val="22"/>
        </w:rPr>
        <w:t>17</w:t>
      </w:r>
      <w:r w:rsidR="00BE4EE4">
        <w:rPr>
          <w:b/>
          <w:snapToGrid w:val="0"/>
          <w:kern w:val="28"/>
          <w:szCs w:val="22"/>
        </w:rPr>
        <w:t>,</w:t>
      </w:r>
      <w:r w:rsidRPr="00CB6B4E">
        <w:rPr>
          <w:b/>
          <w:snapToGrid w:val="0"/>
          <w:kern w:val="28"/>
          <w:szCs w:val="22"/>
        </w:rPr>
        <w:t xml:space="preserve"> 202</w:t>
      </w:r>
      <w:r w:rsidRPr="00CB6B4E" w:rsidR="0089666B">
        <w:rPr>
          <w:b/>
          <w:snapToGrid w:val="0"/>
          <w:kern w:val="28"/>
          <w:szCs w:val="22"/>
        </w:rPr>
        <w:t>2</w:t>
      </w:r>
    </w:p>
    <w:p w:rsidR="00AD440B" w:rsidRPr="00CB6B4E" w:rsidP="00AD440B" w14:paraId="5C835A44" w14:textId="77777777">
      <w:pPr>
        <w:widowControl w:val="0"/>
        <w:spacing w:before="60"/>
        <w:jc w:val="center"/>
        <w:rPr>
          <w:b/>
          <w:snapToGrid w:val="0"/>
          <w:kern w:val="28"/>
          <w:szCs w:val="22"/>
        </w:rPr>
      </w:pPr>
    </w:p>
    <w:p w:rsidR="00073D9E" w:rsidRPr="00073D9E" w:rsidP="00073D9E" w14:paraId="362AD498" w14:textId="77777777">
      <w:pPr>
        <w:widowControl w:val="0"/>
        <w:ind w:right="144"/>
        <w:jc w:val="center"/>
        <w:rPr>
          <w:b/>
          <w:snapToGrid w:val="0"/>
          <w:kern w:val="28"/>
        </w:rPr>
      </w:pPr>
      <w:r w:rsidRPr="00073D9E">
        <w:rPr>
          <w:b/>
          <w:snapToGrid w:val="0"/>
          <w:kern w:val="28"/>
        </w:rPr>
        <w:t xml:space="preserve">DOMESTIC 214 APPLICATION AND WAIVERS GRANTED FOR THE </w:t>
      </w:r>
    </w:p>
    <w:p w:rsidR="00073D9E" w:rsidRPr="00073D9E" w:rsidP="5BB85CC1" w14:paraId="242AA8A8" w14:textId="77777777">
      <w:pPr>
        <w:widowControl w:val="0"/>
        <w:ind w:right="144"/>
        <w:jc w:val="center"/>
        <w:rPr>
          <w:b/>
        </w:rPr>
      </w:pPr>
      <w:r w:rsidRPr="5BB85CC1">
        <w:rPr>
          <w:b/>
        </w:rPr>
        <w:t xml:space="preserve">TRANSFER </w:t>
      </w:r>
      <w:r w:rsidRPr="5BB85CC1">
        <w:rPr>
          <w:b/>
          <w:bCs/>
        </w:rPr>
        <w:t>OF</w:t>
      </w:r>
      <w:r w:rsidRPr="5BB85CC1">
        <w:rPr>
          <w:b/>
        </w:rPr>
        <w:t xml:space="preserve"> </w:t>
      </w:r>
      <w:r w:rsidRPr="5BB85CC1" w:rsidR="009524DE">
        <w:rPr>
          <w:b/>
        </w:rPr>
        <w:t xml:space="preserve">CONNECT AMERICA </w:t>
      </w:r>
      <w:r w:rsidR="008B38FE">
        <w:rPr>
          <w:b/>
        </w:rPr>
        <w:t xml:space="preserve">FUND </w:t>
      </w:r>
      <w:r w:rsidRPr="5BB85CC1" w:rsidR="009524DE">
        <w:rPr>
          <w:b/>
        </w:rPr>
        <w:t xml:space="preserve">PHASE II AUCTION SUPPORT OBLIGATIONS FROM </w:t>
      </w:r>
      <w:r w:rsidRPr="5BB85CC1">
        <w:rPr>
          <w:b/>
        </w:rPr>
        <w:t>REDWIRE, INC. TO ATLINK SERVICES, LLC</w:t>
      </w:r>
    </w:p>
    <w:p w:rsidR="00073D9E" w:rsidRPr="00073D9E" w:rsidP="00073D9E" w14:paraId="1394FBEB" w14:textId="77777777">
      <w:pPr>
        <w:widowControl w:val="0"/>
        <w:autoSpaceDE w:val="0"/>
        <w:autoSpaceDN w:val="0"/>
        <w:adjustRightInd w:val="0"/>
        <w:jc w:val="center"/>
        <w:rPr>
          <w:b/>
          <w:snapToGrid w:val="0"/>
          <w:kern w:val="28"/>
          <w:szCs w:val="22"/>
        </w:rPr>
      </w:pPr>
      <w:bookmarkStart w:id="3" w:name="_Hlk80002431"/>
    </w:p>
    <w:p w:rsidR="00073D9E" w:rsidRPr="00073D9E" w:rsidP="00073D9E" w14:paraId="55911367" w14:textId="77777777">
      <w:pPr>
        <w:widowControl w:val="0"/>
        <w:autoSpaceDE w:val="0"/>
        <w:autoSpaceDN w:val="0"/>
        <w:adjustRightInd w:val="0"/>
        <w:jc w:val="center"/>
        <w:rPr>
          <w:b/>
          <w:snapToGrid w:val="0"/>
          <w:kern w:val="28"/>
          <w:szCs w:val="22"/>
        </w:rPr>
      </w:pPr>
      <w:r w:rsidRPr="00073D9E">
        <w:rPr>
          <w:b/>
          <w:snapToGrid w:val="0"/>
          <w:kern w:val="28"/>
          <w:szCs w:val="22"/>
        </w:rPr>
        <w:t xml:space="preserve">WC Docket Nos. </w:t>
      </w:r>
      <w:bookmarkEnd w:id="3"/>
      <w:r w:rsidRPr="00073D9E">
        <w:rPr>
          <w:b/>
          <w:snapToGrid w:val="0"/>
          <w:kern w:val="28"/>
        </w:rPr>
        <w:t xml:space="preserve">22-55; </w:t>
      </w:r>
      <w:r w:rsidRPr="00073D9E">
        <w:rPr>
          <w:b/>
          <w:snapToGrid w:val="0"/>
          <w:kern w:val="28"/>
          <w:szCs w:val="22"/>
        </w:rPr>
        <w:t xml:space="preserve">10-90; AU </w:t>
      </w:r>
      <w:r w:rsidR="001F7626">
        <w:rPr>
          <w:b/>
          <w:snapToGrid w:val="0"/>
          <w:kern w:val="28"/>
          <w:szCs w:val="22"/>
        </w:rPr>
        <w:t xml:space="preserve">Docket No. </w:t>
      </w:r>
      <w:r w:rsidRPr="00073D9E">
        <w:rPr>
          <w:b/>
          <w:snapToGrid w:val="0"/>
          <w:kern w:val="28"/>
          <w:szCs w:val="22"/>
        </w:rPr>
        <w:t>17-182</w:t>
      </w:r>
    </w:p>
    <w:p w:rsidR="00073D9E" w:rsidRPr="00073D9E" w:rsidP="00073D9E" w14:paraId="39A236A0" w14:textId="77777777">
      <w:pPr>
        <w:widowControl w:val="0"/>
        <w:autoSpaceDE w:val="0"/>
        <w:autoSpaceDN w:val="0"/>
        <w:adjustRightInd w:val="0"/>
        <w:jc w:val="center"/>
        <w:rPr>
          <w:b/>
          <w:snapToGrid w:val="0"/>
          <w:kern w:val="28"/>
          <w:szCs w:val="22"/>
        </w:rPr>
      </w:pPr>
    </w:p>
    <w:p w:rsidR="00007AF5" w:rsidP="00073D9E" w14:paraId="1F167AA8" w14:textId="77777777">
      <w:pPr>
        <w:widowControl w:val="0"/>
        <w:autoSpaceDE w:val="0"/>
        <w:autoSpaceDN w:val="0"/>
        <w:adjustRightInd w:val="0"/>
        <w:jc w:val="center"/>
        <w:rPr>
          <w:b/>
          <w:bCs/>
          <w:snapToGrid w:val="0"/>
          <w:kern w:val="28"/>
        </w:rPr>
      </w:pPr>
      <w:r w:rsidRPr="5BB85CC1">
        <w:rPr>
          <w:b/>
          <w:snapToGrid w:val="0"/>
          <w:kern w:val="28"/>
        </w:rPr>
        <w:t xml:space="preserve">CONDITIONAL LETTER OF CREDIT WAIVER REVOKED FOR REDWIRE, INC.’S CONNECT AMERICA </w:t>
      </w:r>
      <w:r w:rsidR="008B38FE">
        <w:rPr>
          <w:b/>
          <w:snapToGrid w:val="0"/>
          <w:kern w:val="28"/>
        </w:rPr>
        <w:t xml:space="preserve">FUND </w:t>
      </w:r>
      <w:r w:rsidRPr="5BB85CC1">
        <w:rPr>
          <w:b/>
          <w:snapToGrid w:val="0"/>
          <w:kern w:val="28"/>
        </w:rPr>
        <w:t xml:space="preserve">PHASE II AUCTION </w:t>
      </w:r>
      <w:r w:rsidRPr="5BB85CC1">
        <w:rPr>
          <w:b/>
          <w:bCs/>
          <w:snapToGrid w:val="0"/>
          <w:kern w:val="28"/>
        </w:rPr>
        <w:t xml:space="preserve">SUPPORT OBLIGATIONS </w:t>
      </w:r>
    </w:p>
    <w:p w:rsidR="00073D9E" w:rsidRPr="00073D9E" w:rsidP="00073D9E" w14:paraId="3C6C5367" w14:textId="77777777">
      <w:pPr>
        <w:widowControl w:val="0"/>
        <w:autoSpaceDE w:val="0"/>
        <w:autoSpaceDN w:val="0"/>
        <w:adjustRightInd w:val="0"/>
        <w:jc w:val="center"/>
        <w:rPr>
          <w:b/>
          <w:snapToGrid w:val="0"/>
          <w:kern w:val="28"/>
        </w:rPr>
      </w:pPr>
      <w:r w:rsidRPr="5BB85CC1">
        <w:rPr>
          <w:b/>
          <w:snapToGrid w:val="0"/>
          <w:kern w:val="28"/>
        </w:rPr>
        <w:t xml:space="preserve">NOT BEING </w:t>
      </w:r>
      <w:r w:rsidRPr="5BB85CC1">
        <w:rPr>
          <w:b/>
          <w:bCs/>
          <w:snapToGrid w:val="0"/>
          <w:kern w:val="28"/>
        </w:rPr>
        <w:t>TRANSFERRED</w:t>
      </w:r>
      <w:r w:rsidRPr="5BB85CC1">
        <w:rPr>
          <w:b/>
          <w:snapToGrid w:val="0"/>
          <w:kern w:val="28"/>
        </w:rPr>
        <w:t xml:space="preserve"> TO ATLINK</w:t>
      </w:r>
      <w:r w:rsidR="003478C2">
        <w:rPr>
          <w:b/>
          <w:snapToGrid w:val="0"/>
          <w:kern w:val="28"/>
        </w:rPr>
        <w:t xml:space="preserve"> SERVICES, LLC</w:t>
      </w:r>
    </w:p>
    <w:p w:rsidR="00073D9E" w:rsidRPr="00073D9E" w:rsidP="00073D9E" w14:paraId="22C85E20" w14:textId="77777777">
      <w:pPr>
        <w:widowControl w:val="0"/>
        <w:autoSpaceDE w:val="0"/>
        <w:autoSpaceDN w:val="0"/>
        <w:adjustRightInd w:val="0"/>
        <w:jc w:val="center"/>
        <w:rPr>
          <w:b/>
          <w:snapToGrid w:val="0"/>
          <w:kern w:val="28"/>
          <w:szCs w:val="22"/>
        </w:rPr>
      </w:pPr>
    </w:p>
    <w:p w:rsidR="00073D9E" w:rsidRPr="00073D9E" w:rsidP="00073D9E" w14:paraId="7BCFC4F1" w14:textId="77777777">
      <w:pPr>
        <w:widowControl w:val="0"/>
        <w:autoSpaceDE w:val="0"/>
        <w:autoSpaceDN w:val="0"/>
        <w:adjustRightInd w:val="0"/>
        <w:jc w:val="center"/>
        <w:rPr>
          <w:b/>
          <w:snapToGrid w:val="0"/>
          <w:kern w:val="28"/>
          <w:szCs w:val="22"/>
        </w:rPr>
      </w:pPr>
      <w:r w:rsidRPr="00073D9E">
        <w:rPr>
          <w:b/>
          <w:snapToGrid w:val="0"/>
          <w:kern w:val="28"/>
          <w:szCs w:val="22"/>
        </w:rPr>
        <w:t>WC Docket No.</w:t>
      </w:r>
      <w:r w:rsidRPr="00073D9E">
        <w:rPr>
          <w:b/>
          <w:snapToGrid w:val="0"/>
          <w:kern w:val="28"/>
        </w:rPr>
        <w:t xml:space="preserve"> 10-90; AU </w:t>
      </w:r>
      <w:r w:rsidR="001F7626">
        <w:rPr>
          <w:b/>
          <w:snapToGrid w:val="0"/>
          <w:kern w:val="28"/>
        </w:rPr>
        <w:t xml:space="preserve">Docket No. </w:t>
      </w:r>
      <w:r w:rsidRPr="00073D9E">
        <w:rPr>
          <w:b/>
          <w:snapToGrid w:val="0"/>
          <w:kern w:val="28"/>
        </w:rPr>
        <w:t>17-182</w:t>
      </w:r>
    </w:p>
    <w:p w:rsidR="00073D9E" w:rsidRPr="00073D9E" w:rsidP="00073D9E" w14:paraId="6CC35127" w14:textId="77777777">
      <w:pPr>
        <w:suppressAutoHyphens/>
        <w:rPr>
          <w:b/>
          <w:snapToGrid w:val="0"/>
          <w:kern w:val="28"/>
        </w:rPr>
      </w:pPr>
    </w:p>
    <w:p w:rsidR="00073D9E" w:rsidRPr="00073D9E" w:rsidP="00073D9E" w14:paraId="1C0D2BE6" w14:textId="77777777">
      <w:pPr>
        <w:autoSpaceDE w:val="0"/>
        <w:autoSpaceDN w:val="0"/>
        <w:adjustRightInd w:val="0"/>
        <w:spacing w:after="120"/>
        <w:ind w:firstLine="720"/>
      </w:pPr>
      <w:r w:rsidRPr="00073D9E">
        <w:t>By this Public Notice, the Wireline Competition Bureau (Bureau) grants an application</w:t>
      </w:r>
      <w:r>
        <w:rPr>
          <w:vertAlign w:val="superscript"/>
        </w:rPr>
        <w:footnoteReference w:id="3"/>
      </w:r>
      <w:r w:rsidRPr="00073D9E">
        <w:t xml:space="preserve"> filed by Redwire, Inc. (Redwire) and AtLink Services, LLC (AtLink) (together, Applicants), pursuant to section 214 of the Communications Act of 1934, as amended, and sections 63.03-</w:t>
      </w:r>
      <w:r w:rsidR="00E90E80">
        <w:t>63.</w:t>
      </w:r>
      <w:r w:rsidRPr="00073D9E">
        <w:t xml:space="preserve">04 of the </w:t>
      </w:r>
      <w:r w:rsidR="000B37A1">
        <w:t xml:space="preserve">Federal Communications </w:t>
      </w:r>
      <w:r w:rsidRPr="00073D9E">
        <w:t>Commission’s</w:t>
      </w:r>
      <w:r w:rsidR="000B37A1">
        <w:t xml:space="preserve"> (Commission or FCC) </w:t>
      </w:r>
      <w:r w:rsidRPr="00073D9E">
        <w:t xml:space="preserve">rules, requesting consent to </w:t>
      </w:r>
      <w:r w:rsidRPr="00073D9E">
        <w:t xml:space="preserve">transfer </w:t>
      </w:r>
      <w:r w:rsidRPr="00073D9E">
        <w:t>Redwire’s Connect America Fund (CAF) Phase II Auction (Auction 903) support obligations for a portion of its census blocks in Oklahoma (Assigned Census Blocks)</w:t>
      </w:r>
      <w:r>
        <w:rPr>
          <w:vertAlign w:val="superscript"/>
        </w:rPr>
        <w:footnoteReference w:id="4"/>
      </w:r>
      <w:r w:rsidRPr="00073D9E">
        <w:t xml:space="preserve"> to AtLink</w:t>
      </w:r>
      <w:r w:rsidRPr="00073D9E">
        <w:rPr>
          <w:szCs w:val="22"/>
        </w:rPr>
        <w:t>.</w:t>
      </w:r>
      <w:r>
        <w:rPr>
          <w:vertAlign w:val="superscript"/>
        </w:rPr>
        <w:footnoteReference w:id="5"/>
      </w:r>
      <w:r w:rsidRPr="00073D9E">
        <w:rPr>
          <w:szCs w:val="22"/>
        </w:rPr>
        <w:t xml:space="preserve"> </w:t>
      </w:r>
    </w:p>
    <w:p w:rsidR="00073D9E" w:rsidRPr="00073D9E" w:rsidP="000A2B55" w14:paraId="4059CB3B" w14:textId="77777777">
      <w:pPr>
        <w:autoSpaceDE w:val="0"/>
        <w:autoSpaceDN w:val="0"/>
        <w:adjustRightInd w:val="0"/>
        <w:spacing w:after="120"/>
        <w:ind w:firstLine="720"/>
        <w:rPr>
          <w:snapToGrid w:val="0"/>
          <w:kern w:val="28"/>
        </w:rPr>
      </w:pPr>
      <w:r>
        <w:rPr>
          <w:snapToGrid w:val="0"/>
          <w:kern w:val="28"/>
        </w:rPr>
        <w:t>I</w:t>
      </w:r>
      <w:r w:rsidRPr="00073D9E">
        <w:rPr>
          <w:snapToGrid w:val="0"/>
          <w:kern w:val="28"/>
        </w:rPr>
        <w:t>n order to permit the Applicants to move forward with this transaction, the Bureau finds good cause to grant two requests filed by the Applicants with respect to the Assigned Census Blocks.  First,</w:t>
      </w:r>
      <w:r w:rsidRPr="00073D9E" w:rsidR="00A46E5F">
        <w:rPr>
          <w:snapToGrid w:val="0"/>
          <w:kern w:val="28"/>
        </w:rPr>
        <w:t xml:space="preserve"> </w:t>
      </w:r>
      <w:r w:rsidRPr="00073D9E">
        <w:rPr>
          <w:snapToGrid w:val="0"/>
          <w:kern w:val="28"/>
        </w:rPr>
        <w:t xml:space="preserve">we grant Redwire’s pending December 1, 2021 request filed in WC Docket No. 10-90 and AU Docket No. 17-182 </w:t>
      </w:r>
      <w:r w:rsidR="00DF24EF">
        <w:t xml:space="preserve">to continue the </w:t>
      </w:r>
      <w:r w:rsidR="007E3ECE">
        <w:t xml:space="preserve">conditional </w:t>
      </w:r>
      <w:r w:rsidR="008B3026">
        <w:t xml:space="preserve">waiver </w:t>
      </w:r>
      <w:r w:rsidRPr="00073D9E">
        <w:rPr>
          <w:snapToGrid w:val="0"/>
          <w:kern w:val="28"/>
        </w:rPr>
        <w:t>of the Auction 903 letter of credit requirement for the Assigned Census Blocks</w:t>
      </w:r>
      <w:r>
        <w:t xml:space="preserve"> </w:t>
      </w:r>
      <w:r w:rsidRPr="00CD5BCC" w:rsidR="00640821">
        <w:rPr>
          <w:i/>
        </w:rPr>
        <w:t>nunc pro tunc</w:t>
      </w:r>
      <w:r w:rsidRPr="00073D9E">
        <w:rPr>
          <w:snapToGrid w:val="0"/>
          <w:kern w:val="28"/>
        </w:rPr>
        <w:t xml:space="preserve"> </w:t>
      </w:r>
      <w:r w:rsidR="00F831D1">
        <w:rPr>
          <w:snapToGrid w:val="0"/>
          <w:kern w:val="28"/>
        </w:rPr>
        <w:t xml:space="preserve">so that </w:t>
      </w:r>
      <w:r w:rsidR="00847AC8">
        <w:rPr>
          <w:snapToGrid w:val="0"/>
          <w:kern w:val="28"/>
        </w:rPr>
        <w:t>Redwire</w:t>
      </w:r>
      <w:r w:rsidR="00F831D1">
        <w:rPr>
          <w:snapToGrid w:val="0"/>
          <w:kern w:val="28"/>
        </w:rPr>
        <w:t xml:space="preserve"> may consummate its agreement with At</w:t>
      </w:r>
      <w:r w:rsidR="008B5FB8">
        <w:rPr>
          <w:snapToGrid w:val="0"/>
          <w:kern w:val="28"/>
        </w:rPr>
        <w:t>L</w:t>
      </w:r>
      <w:r w:rsidR="00F831D1">
        <w:rPr>
          <w:snapToGrid w:val="0"/>
          <w:kern w:val="28"/>
        </w:rPr>
        <w:t>ink.</w:t>
      </w:r>
      <w:r>
        <w:rPr>
          <w:iCs/>
          <w:snapToGrid w:val="0"/>
          <w:kern w:val="28"/>
          <w:vertAlign w:val="superscript"/>
        </w:rPr>
        <w:footnoteReference w:id="6"/>
      </w:r>
      <w:r w:rsidRPr="00073D9E">
        <w:rPr>
          <w:i/>
          <w:snapToGrid w:val="0"/>
          <w:kern w:val="28"/>
        </w:rPr>
        <w:t xml:space="preserve">  </w:t>
      </w:r>
      <w:r w:rsidRPr="00073D9E">
        <w:rPr>
          <w:szCs w:val="22"/>
        </w:rPr>
        <w:t xml:space="preserve">Second, </w:t>
      </w:r>
      <w:r w:rsidRPr="00073D9E">
        <w:rPr>
          <w:snapToGrid w:val="0"/>
        </w:rPr>
        <w:t xml:space="preserve">because AtLink will begin deployment in the Assigned Census Blocks after the beginning of the support term, the Bureau also </w:t>
      </w:r>
      <w:r w:rsidRPr="00073D9E">
        <w:rPr>
          <w:szCs w:val="22"/>
        </w:rPr>
        <w:t>finds</w:t>
      </w:r>
      <w:r w:rsidRPr="00073D9E">
        <w:rPr>
          <w:snapToGrid w:val="0"/>
        </w:rPr>
        <w:t xml:space="preserve"> good cause exists to grant Applicants’ requested waiver, filed with the section 214 Application</w:t>
      </w:r>
      <w:r w:rsidR="00295DD4">
        <w:rPr>
          <w:snapToGrid w:val="0"/>
        </w:rPr>
        <w:t xml:space="preserve"> in WC Docket No. 22-55</w:t>
      </w:r>
      <w:r w:rsidRPr="00073D9E">
        <w:rPr>
          <w:snapToGrid w:val="0"/>
        </w:rPr>
        <w:t xml:space="preserve">, of </w:t>
      </w:r>
      <w:r w:rsidRPr="00073D9E">
        <w:rPr>
          <w:szCs w:val="22"/>
        </w:rPr>
        <w:t>the</w:t>
      </w:r>
      <w:r w:rsidRPr="00073D9E">
        <w:rPr>
          <w:snapToGrid w:val="0"/>
        </w:rPr>
        <w:t xml:space="preserve"> upcoming </w:t>
      </w:r>
      <w:r w:rsidRPr="00073D9E">
        <w:rPr>
          <w:szCs w:val="22"/>
        </w:rPr>
        <w:t>Auction 903</w:t>
      </w:r>
      <w:r w:rsidRPr="00073D9E">
        <w:rPr>
          <w:snapToGrid w:val="0"/>
        </w:rPr>
        <w:t xml:space="preserve"> 40% and 60% </w:t>
      </w:r>
      <w:r w:rsidRPr="00073D9E">
        <w:rPr>
          <w:szCs w:val="22"/>
        </w:rPr>
        <w:t>service</w:t>
      </w:r>
      <w:r w:rsidRPr="00073D9E">
        <w:rPr>
          <w:snapToGrid w:val="0"/>
        </w:rPr>
        <w:t xml:space="preserve"> milestones</w:t>
      </w:r>
      <w:r w:rsidRPr="00073D9E">
        <w:rPr>
          <w:szCs w:val="22"/>
        </w:rPr>
        <w:t xml:space="preserve"> for the Assigned Census Blocks.</w:t>
      </w:r>
      <w:r>
        <w:rPr>
          <w:szCs w:val="22"/>
          <w:vertAlign w:val="superscript"/>
        </w:rPr>
        <w:footnoteReference w:id="7"/>
      </w:r>
    </w:p>
    <w:p w:rsidR="00073D9E" w:rsidP="00073D9E" w14:paraId="4FD66482" w14:textId="77777777">
      <w:pPr>
        <w:autoSpaceDE w:val="0"/>
        <w:autoSpaceDN w:val="0"/>
        <w:adjustRightInd w:val="0"/>
        <w:spacing w:after="120"/>
        <w:ind w:firstLine="720"/>
      </w:pPr>
      <w:r>
        <w:rPr>
          <w:snapToGrid w:val="0"/>
          <w:kern w:val="28"/>
        </w:rPr>
        <w:t>In addition</w:t>
      </w:r>
      <w:r w:rsidRPr="00073D9E">
        <w:rPr>
          <w:snapToGrid w:val="0"/>
          <w:kern w:val="28"/>
        </w:rPr>
        <w:t xml:space="preserve">, consistent with the decision in the </w:t>
      </w:r>
      <w:r w:rsidRPr="00073D9E">
        <w:rPr>
          <w:i/>
          <w:snapToGrid w:val="0"/>
          <w:kern w:val="28"/>
        </w:rPr>
        <w:t>Redwire Second Waiver Order</w:t>
      </w:r>
      <w:r w:rsidRPr="00073D9E">
        <w:rPr>
          <w:snapToGrid w:val="0"/>
          <w:kern w:val="28"/>
        </w:rPr>
        <w:t xml:space="preserve">, the Bureau denies Redwire’s </w:t>
      </w:r>
      <w:r w:rsidRPr="00073D9E" w:rsidR="0061627C">
        <w:rPr>
          <w:snapToGrid w:val="0"/>
          <w:kern w:val="28"/>
        </w:rPr>
        <w:t>December 1, 2021</w:t>
      </w:r>
      <w:r w:rsidR="0009466D">
        <w:rPr>
          <w:snapToGrid w:val="0"/>
          <w:kern w:val="28"/>
        </w:rPr>
        <w:t xml:space="preserve">, </w:t>
      </w:r>
      <w:r w:rsidRPr="00073D9E">
        <w:rPr>
          <w:snapToGrid w:val="0"/>
          <w:kern w:val="28"/>
        </w:rPr>
        <w:t>January 31, 2022</w:t>
      </w:r>
      <w:r w:rsidR="0009466D">
        <w:rPr>
          <w:snapToGrid w:val="0"/>
          <w:kern w:val="28"/>
        </w:rPr>
        <w:t>, and June 1, 2022</w:t>
      </w:r>
      <w:r w:rsidRPr="00073D9E">
        <w:rPr>
          <w:snapToGrid w:val="0"/>
          <w:kern w:val="28"/>
        </w:rPr>
        <w:t xml:space="preserve"> request</w:t>
      </w:r>
      <w:r w:rsidR="0061627C">
        <w:rPr>
          <w:snapToGrid w:val="0"/>
          <w:kern w:val="28"/>
        </w:rPr>
        <w:t>s</w:t>
      </w:r>
      <w:r w:rsidRPr="00073D9E">
        <w:rPr>
          <w:snapToGrid w:val="0"/>
          <w:kern w:val="28"/>
        </w:rPr>
        <w:t xml:space="preserve"> </w:t>
      </w:r>
      <w:r w:rsidR="0061627C">
        <w:rPr>
          <w:snapToGrid w:val="0"/>
          <w:kern w:val="28"/>
        </w:rPr>
        <w:t xml:space="preserve">to continue </w:t>
      </w:r>
      <w:r w:rsidR="004F546A">
        <w:rPr>
          <w:snapToGrid w:val="0"/>
          <w:kern w:val="28"/>
        </w:rPr>
        <w:t xml:space="preserve">the conditional waiver of the letter of credit requirement </w:t>
      </w:r>
      <w:r w:rsidRPr="00262ED2">
        <w:rPr>
          <w:snapToGrid w:val="0"/>
          <w:kern w:val="28"/>
        </w:rPr>
        <w:t>for the remaining areas</w:t>
      </w:r>
      <w:r w:rsidRPr="00E90E80">
        <w:rPr>
          <w:i/>
          <w:iCs/>
          <w:snapToGrid w:val="0"/>
          <w:kern w:val="28"/>
        </w:rPr>
        <w:t xml:space="preserve"> </w:t>
      </w:r>
      <w:r w:rsidRPr="00073D9E">
        <w:rPr>
          <w:snapToGrid w:val="0"/>
          <w:kern w:val="28"/>
        </w:rPr>
        <w:t>covered by Redwire’s authorized Auction 903 bids</w:t>
      </w:r>
      <w:r w:rsidR="00E90E80">
        <w:rPr>
          <w:snapToGrid w:val="0"/>
          <w:kern w:val="28"/>
        </w:rPr>
        <w:t xml:space="preserve"> (</w:t>
      </w:r>
      <w:r w:rsidRPr="00E90E80" w:rsidR="00C261D7">
        <w:rPr>
          <w:i/>
          <w:iCs/>
          <w:snapToGrid w:val="0"/>
          <w:kern w:val="28"/>
        </w:rPr>
        <w:t>i.e.</w:t>
      </w:r>
      <w:r w:rsidR="00C261D7">
        <w:rPr>
          <w:snapToGrid w:val="0"/>
          <w:kern w:val="28"/>
        </w:rPr>
        <w:t>, those</w:t>
      </w:r>
      <w:r w:rsidRPr="00073D9E">
        <w:rPr>
          <w:snapToGrid w:val="0"/>
          <w:kern w:val="28"/>
        </w:rPr>
        <w:t xml:space="preserve"> </w:t>
      </w:r>
      <w:r w:rsidR="00E90E80">
        <w:rPr>
          <w:snapToGrid w:val="0"/>
          <w:kern w:val="28"/>
        </w:rPr>
        <w:t xml:space="preserve">census blocks </w:t>
      </w:r>
      <w:r w:rsidRPr="00073D9E">
        <w:rPr>
          <w:snapToGrid w:val="0"/>
          <w:kern w:val="28"/>
        </w:rPr>
        <w:t xml:space="preserve">that are not </w:t>
      </w:r>
      <w:r w:rsidR="00C261D7">
        <w:rPr>
          <w:snapToGrid w:val="0"/>
          <w:kern w:val="28"/>
        </w:rPr>
        <w:t xml:space="preserve">being transferred </w:t>
      </w:r>
      <w:r w:rsidRPr="00073D9E">
        <w:rPr>
          <w:snapToGrid w:val="0"/>
          <w:kern w:val="28"/>
        </w:rPr>
        <w:t>to AtLink</w:t>
      </w:r>
      <w:r w:rsidR="00E90E80">
        <w:rPr>
          <w:snapToGrid w:val="0"/>
          <w:kern w:val="28"/>
        </w:rPr>
        <w:t>)</w:t>
      </w:r>
      <w:r w:rsidRPr="00073D9E">
        <w:rPr>
          <w:snapToGrid w:val="0"/>
          <w:kern w:val="28"/>
        </w:rPr>
        <w:t>.</w:t>
      </w:r>
      <w:r>
        <w:rPr>
          <w:vertAlign w:val="superscript"/>
        </w:rPr>
        <w:footnoteReference w:id="8"/>
      </w:r>
      <w:r w:rsidRPr="00073D9E">
        <w:rPr>
          <w:snapToGrid w:val="0"/>
          <w:kern w:val="28"/>
        </w:rPr>
        <w:t xml:space="preserve">  As explained below, because Redwire failed to meet the conditions outlined in that decision, its previously granted </w:t>
      </w:r>
      <w:r w:rsidR="00181A23">
        <w:rPr>
          <w:snapToGrid w:val="0"/>
          <w:kern w:val="28"/>
        </w:rPr>
        <w:t xml:space="preserve">conditional </w:t>
      </w:r>
      <w:r w:rsidRPr="00073D9E">
        <w:rPr>
          <w:snapToGrid w:val="0"/>
          <w:kern w:val="28"/>
        </w:rPr>
        <w:t>waiver</w:t>
      </w:r>
      <w:r w:rsidR="00181A23">
        <w:rPr>
          <w:snapToGrid w:val="0"/>
          <w:kern w:val="28"/>
        </w:rPr>
        <w:t xml:space="preserve"> for those census blocks</w:t>
      </w:r>
      <w:r w:rsidRPr="00073D9E">
        <w:rPr>
          <w:snapToGrid w:val="0"/>
          <w:kern w:val="28"/>
        </w:rPr>
        <w:t xml:space="preserve"> is revoked, and Redwire must return </w:t>
      </w:r>
      <w:r w:rsidR="00F134FC">
        <w:rPr>
          <w:snapToGrid w:val="0"/>
          <w:kern w:val="28"/>
        </w:rPr>
        <w:t xml:space="preserve">to </w:t>
      </w:r>
      <w:r>
        <w:rPr>
          <w:snapToGrid w:val="0"/>
          <w:kern w:val="28"/>
        </w:rPr>
        <w:t xml:space="preserve">the </w:t>
      </w:r>
      <w:r w:rsidRPr="00073D9E">
        <w:rPr>
          <w:iCs/>
          <w:snapToGrid w:val="0"/>
          <w:kern w:val="28"/>
        </w:rPr>
        <w:t>Universal Service Administrative Company</w:t>
      </w:r>
      <w:r>
        <w:rPr>
          <w:snapToGrid w:val="0"/>
          <w:kern w:val="28"/>
        </w:rPr>
        <w:t xml:space="preserve"> (</w:t>
      </w:r>
      <w:r w:rsidR="00F134FC">
        <w:rPr>
          <w:snapToGrid w:val="0"/>
          <w:kern w:val="28"/>
        </w:rPr>
        <w:t>USAC</w:t>
      </w:r>
      <w:r>
        <w:rPr>
          <w:snapToGrid w:val="0"/>
          <w:kern w:val="28"/>
        </w:rPr>
        <w:t>)</w:t>
      </w:r>
      <w:r w:rsidR="00F134FC">
        <w:rPr>
          <w:snapToGrid w:val="0"/>
          <w:kern w:val="28"/>
        </w:rPr>
        <w:t xml:space="preserve"> </w:t>
      </w:r>
      <w:r w:rsidRPr="00073D9E">
        <w:rPr>
          <w:snapToGrid w:val="0"/>
          <w:kern w:val="28"/>
        </w:rPr>
        <w:t>the Auction 903 support it has already received for those areas</w:t>
      </w:r>
      <w:r w:rsidRPr="00073D9E">
        <w:rPr>
          <w:snapToGrid w:val="0"/>
          <w:kern w:val="28"/>
        </w:rPr>
        <w:t xml:space="preserve"> </w:t>
      </w:r>
      <w:r w:rsidR="00C25546">
        <w:t>within</w:t>
      </w:r>
      <w:r w:rsidR="00C25546">
        <w:rPr>
          <w:snapToGrid w:val="0"/>
          <w:kern w:val="28"/>
        </w:rPr>
        <w:t xml:space="preserve"> 30 days </w:t>
      </w:r>
      <w:r w:rsidR="001008FB">
        <w:rPr>
          <w:snapToGrid w:val="0"/>
          <w:kern w:val="28"/>
        </w:rPr>
        <w:t>of the release of this Public Notice</w:t>
      </w:r>
      <w:r w:rsidRPr="00073D9E">
        <w:rPr>
          <w:snapToGrid w:val="0"/>
          <w:kern w:val="28"/>
        </w:rPr>
        <w:t xml:space="preserve">.  </w:t>
      </w:r>
    </w:p>
    <w:p w:rsidR="000B6FF5" w:rsidRPr="00073D9E" w:rsidP="00073D9E" w14:paraId="6EDAB367" w14:textId="77777777">
      <w:pPr>
        <w:autoSpaceDE w:val="0"/>
        <w:autoSpaceDN w:val="0"/>
        <w:adjustRightInd w:val="0"/>
        <w:spacing w:after="120"/>
        <w:ind w:firstLine="720"/>
      </w:pPr>
      <w:r>
        <w:rPr>
          <w:iCs/>
          <w:snapToGrid w:val="0"/>
          <w:kern w:val="28"/>
        </w:rPr>
        <w:t xml:space="preserve">Pursuant to the </w:t>
      </w:r>
      <w:r w:rsidRPr="00CD5BCC" w:rsidR="00E73152">
        <w:rPr>
          <w:i/>
          <w:snapToGrid w:val="0"/>
          <w:kern w:val="28"/>
        </w:rPr>
        <w:t>Redwire</w:t>
      </w:r>
      <w:r w:rsidR="00E73152">
        <w:rPr>
          <w:iCs/>
          <w:snapToGrid w:val="0"/>
          <w:kern w:val="28"/>
        </w:rPr>
        <w:t xml:space="preserve"> </w:t>
      </w:r>
      <w:r w:rsidRPr="00CD5BCC">
        <w:rPr>
          <w:i/>
          <w:snapToGrid w:val="0"/>
          <w:kern w:val="28"/>
        </w:rPr>
        <w:t>Second Waiver Order</w:t>
      </w:r>
      <w:r>
        <w:rPr>
          <w:iCs/>
          <w:snapToGrid w:val="0"/>
          <w:kern w:val="28"/>
        </w:rPr>
        <w:t xml:space="preserve">, </w:t>
      </w:r>
      <w:r w:rsidRPr="00073D9E">
        <w:rPr>
          <w:iCs/>
          <w:snapToGrid w:val="0"/>
          <w:kern w:val="28"/>
        </w:rPr>
        <w:t xml:space="preserve">AtLink, as the service provider assuming the obligations in the Assigned Census Blocks, </w:t>
      </w:r>
      <w:r w:rsidR="00E63893">
        <w:rPr>
          <w:iCs/>
          <w:snapToGrid w:val="0"/>
          <w:kern w:val="28"/>
        </w:rPr>
        <w:t>must</w:t>
      </w:r>
      <w:r w:rsidRPr="00073D9E">
        <w:rPr>
          <w:iCs/>
          <w:snapToGrid w:val="0"/>
          <w:kern w:val="28"/>
        </w:rPr>
        <w:t xml:space="preserve"> obtain the necessary regulatory approvals, including eligible telecommunications carrier (ETC) approval and any required state approvals, and submit a letter of credit and bankruptcy opinion letter to </w:t>
      </w:r>
      <w:r w:rsidR="00962B8D">
        <w:rPr>
          <w:iCs/>
          <w:snapToGrid w:val="0"/>
          <w:kern w:val="28"/>
        </w:rPr>
        <w:t>U</w:t>
      </w:r>
      <w:r w:rsidRPr="00073D9E">
        <w:rPr>
          <w:iCs/>
          <w:snapToGrid w:val="0"/>
          <w:kern w:val="28"/>
        </w:rPr>
        <w:t>SAC that meets the Commission’s requirements by September 2, 2022</w:t>
      </w:r>
      <w:r w:rsidRPr="00073D9E">
        <w:rPr>
          <w:snapToGrid w:val="0"/>
          <w:kern w:val="28"/>
        </w:rPr>
        <w:t>.</w:t>
      </w:r>
      <w:r>
        <w:rPr>
          <w:vertAlign w:val="superscript"/>
        </w:rPr>
        <w:footnoteReference w:id="9"/>
      </w:r>
      <w:r w:rsidRPr="00073D9E">
        <w:rPr>
          <w:snapToGrid w:val="0"/>
          <w:kern w:val="28"/>
        </w:rPr>
        <w:t xml:space="preserve">  Once AtLink obtains the regulatory approvals and the </w:t>
      </w:r>
      <w:r w:rsidRPr="00073D9E">
        <w:rPr>
          <w:snapToGrid w:val="0"/>
          <w:kern w:val="28"/>
        </w:rPr>
        <w:t xml:space="preserve">proposed transaction is consummated, and provided that USAC has approved AtLink’s irrevocable letter of credit and bankruptcy opinion letter, Redwire may then transfer the previously disbursed support for these areas to AtLink.  The Commission will then instruct USAC to begin making </w:t>
      </w:r>
      <w:r>
        <w:rPr>
          <w:snapToGrid w:val="0"/>
          <w:kern w:val="28"/>
        </w:rPr>
        <w:t xml:space="preserve">future </w:t>
      </w:r>
      <w:r w:rsidRPr="00073D9E">
        <w:rPr>
          <w:snapToGrid w:val="0"/>
          <w:kern w:val="28"/>
        </w:rPr>
        <w:t>Auction 903 payments to AtLink.</w:t>
      </w:r>
    </w:p>
    <w:p w:rsidR="00073D9E" w:rsidRPr="00073D9E" w:rsidP="00073D9E" w14:paraId="57217100" w14:textId="77777777">
      <w:pPr>
        <w:autoSpaceDE w:val="0"/>
        <w:autoSpaceDN w:val="0"/>
        <w:adjustRightInd w:val="0"/>
        <w:spacing w:after="120"/>
        <w:rPr>
          <w:b/>
          <w:bCs/>
          <w:szCs w:val="22"/>
          <w:u w:val="single"/>
        </w:rPr>
      </w:pPr>
      <w:r>
        <w:rPr>
          <w:b/>
          <w:bCs/>
          <w:szCs w:val="22"/>
          <w:u w:val="single"/>
        </w:rPr>
        <w:t>Background</w:t>
      </w:r>
    </w:p>
    <w:p w:rsidR="00707A51" w:rsidP="00707A51" w14:paraId="38F8ED22" w14:textId="77777777">
      <w:pPr>
        <w:autoSpaceDE w:val="0"/>
        <w:autoSpaceDN w:val="0"/>
        <w:adjustRightInd w:val="0"/>
        <w:spacing w:after="120"/>
        <w:ind w:firstLine="720"/>
        <w:rPr>
          <w:szCs w:val="22"/>
        </w:rPr>
      </w:pPr>
      <w:r w:rsidRPr="00073D9E">
        <w:rPr>
          <w:szCs w:val="22"/>
        </w:rPr>
        <w:t>Redwire, an Oklahoma corporation and ETC, is owned by the Otoe-Missouria Development Authority, Inc., the economic development arm of the federally recognized Otoe-Missouria Tribe of Oklahoma.</w:t>
      </w:r>
      <w:r>
        <w:rPr>
          <w:szCs w:val="22"/>
          <w:vertAlign w:val="superscript"/>
        </w:rPr>
        <w:footnoteReference w:id="10"/>
      </w:r>
      <w:r w:rsidRPr="00073D9E">
        <w:rPr>
          <w:szCs w:val="22"/>
        </w:rPr>
        <w:t xml:space="preserve">  On June 12, 2020, the Bureau authorized Redwire to receive Auction 903 support for 1,541 census blocks (8,041 locations) in Oklahoma with an assigned support amount over 10 years of $4,766,845.60.</w:t>
      </w:r>
      <w:r>
        <w:rPr>
          <w:szCs w:val="22"/>
          <w:vertAlign w:val="superscript"/>
        </w:rPr>
        <w:footnoteReference w:id="11"/>
      </w:r>
      <w:r w:rsidRPr="00073D9E">
        <w:rPr>
          <w:szCs w:val="22"/>
        </w:rPr>
        <w:t xml:space="preserve">  Redwire does not currently provide telecommunications services and has not expended any of the Auction 903 support it </w:t>
      </w:r>
      <w:r w:rsidR="00AA56BC">
        <w:rPr>
          <w:szCs w:val="22"/>
        </w:rPr>
        <w:t>has</w:t>
      </w:r>
      <w:r w:rsidRPr="00073D9E">
        <w:rPr>
          <w:szCs w:val="22"/>
        </w:rPr>
        <w:t xml:space="preserve"> already received</w:t>
      </w:r>
      <w:r w:rsidR="00962B8D">
        <w:rPr>
          <w:szCs w:val="22"/>
        </w:rPr>
        <w:t xml:space="preserve"> to date</w:t>
      </w:r>
      <w:r w:rsidRPr="00073D9E">
        <w:rPr>
          <w:szCs w:val="22"/>
        </w:rPr>
        <w:t>.</w:t>
      </w:r>
      <w:r>
        <w:rPr>
          <w:szCs w:val="22"/>
          <w:vertAlign w:val="superscript"/>
        </w:rPr>
        <w:footnoteReference w:id="12"/>
      </w:r>
      <w:r w:rsidRPr="00073D9E">
        <w:rPr>
          <w:szCs w:val="22"/>
        </w:rPr>
        <w:t xml:space="preserve">  </w:t>
      </w:r>
    </w:p>
    <w:p w:rsidR="00073D9E" w:rsidRPr="00073D9E" w:rsidP="00707A51" w14:paraId="40AE0CEA" w14:textId="77777777">
      <w:pPr>
        <w:autoSpaceDE w:val="0"/>
        <w:autoSpaceDN w:val="0"/>
        <w:adjustRightInd w:val="0"/>
        <w:spacing w:after="120"/>
        <w:ind w:firstLine="720"/>
        <w:rPr>
          <w:szCs w:val="22"/>
        </w:rPr>
      </w:pPr>
      <w:r w:rsidRPr="00073D9E">
        <w:rPr>
          <w:szCs w:val="22"/>
        </w:rPr>
        <w:t>At the time that Redwire was authorized for Auction 903 support, the Bureau, in conjunction with the Rural Broadband Auctions Task Force and the Office of Economics and Analytics, granted a 12-month waiver of the requirement that Redwire obtain a letter of credit prior to being authorized to receive Auction 903 support.</w:t>
      </w:r>
      <w:r>
        <w:rPr>
          <w:szCs w:val="22"/>
          <w:vertAlign w:val="superscript"/>
        </w:rPr>
        <w:footnoteReference w:id="13"/>
      </w:r>
      <w:r w:rsidRPr="00073D9E">
        <w:rPr>
          <w:szCs w:val="22"/>
        </w:rPr>
        <w:t xml:space="preserve">  After Redwire had received one year of support, the Bureau extended the waiver for an additional year, subject to certain conditions, and suspended Redwire’s further Auction 903 support payments.</w:t>
      </w:r>
      <w:r>
        <w:rPr>
          <w:szCs w:val="22"/>
          <w:vertAlign w:val="superscript"/>
        </w:rPr>
        <w:footnoteReference w:id="14"/>
      </w:r>
      <w:r w:rsidRPr="00073D9E">
        <w:rPr>
          <w:szCs w:val="22"/>
        </w:rPr>
        <w:t xml:space="preserve">  Specifically,</w:t>
      </w:r>
      <w:r w:rsidR="00062792">
        <w:rPr>
          <w:szCs w:val="22"/>
        </w:rPr>
        <w:t xml:space="preserve"> the Bureau required that</w:t>
      </w:r>
      <w:r w:rsidRPr="00073D9E">
        <w:rPr>
          <w:szCs w:val="22"/>
        </w:rPr>
        <w:t xml:space="preserve"> within 90 days from the release of the </w:t>
      </w:r>
      <w:r w:rsidRPr="00073D9E">
        <w:rPr>
          <w:i/>
          <w:iCs/>
          <w:szCs w:val="22"/>
        </w:rPr>
        <w:t>Redwire Second Waiver Order</w:t>
      </w:r>
      <w:r w:rsidRPr="00F704F4">
        <w:rPr>
          <w:szCs w:val="22"/>
        </w:rPr>
        <w:t xml:space="preserve">, </w:t>
      </w:r>
      <w:r w:rsidRPr="00707A51">
        <w:rPr>
          <w:szCs w:val="22"/>
        </w:rPr>
        <w:t>i.e</w:t>
      </w:r>
      <w:r w:rsidRPr="00F704F4">
        <w:rPr>
          <w:szCs w:val="22"/>
        </w:rPr>
        <w:t>.,</w:t>
      </w:r>
      <w:r w:rsidRPr="00073D9E">
        <w:rPr>
          <w:szCs w:val="22"/>
        </w:rPr>
        <w:t xml:space="preserve"> by December 1, 2021,</w:t>
      </w:r>
      <w:r w:rsidR="00A0079A">
        <w:rPr>
          <w:szCs w:val="22"/>
        </w:rPr>
        <w:t xml:space="preserve"> </w:t>
      </w:r>
      <w:r w:rsidRPr="00073D9E">
        <w:rPr>
          <w:szCs w:val="22"/>
        </w:rPr>
        <w:t>Redwire</w:t>
      </w:r>
      <w:r w:rsidRPr="00073D9E">
        <w:rPr>
          <w:szCs w:val="22"/>
        </w:rPr>
        <w:t xml:space="preserve"> </w:t>
      </w:r>
      <w:r w:rsidRPr="00073D9E">
        <w:rPr>
          <w:szCs w:val="22"/>
        </w:rPr>
        <w:t>enter into one or more binding agreements with a service provider(s) that agreed to assume all of the obligations associated with Redwire’s Auction 903 support.</w:t>
      </w:r>
      <w:r>
        <w:rPr>
          <w:szCs w:val="22"/>
          <w:vertAlign w:val="superscript"/>
        </w:rPr>
        <w:footnoteReference w:id="15"/>
      </w:r>
      <w:r w:rsidRPr="00073D9E">
        <w:rPr>
          <w:szCs w:val="22"/>
        </w:rPr>
        <w:t xml:space="preserve">  </w:t>
      </w:r>
      <w:r w:rsidR="004F7608">
        <w:rPr>
          <w:szCs w:val="22"/>
        </w:rPr>
        <w:t>T</w:t>
      </w:r>
      <w:r w:rsidRPr="00073D9E">
        <w:rPr>
          <w:szCs w:val="22"/>
        </w:rPr>
        <w:t xml:space="preserve">he </w:t>
      </w:r>
      <w:r w:rsidR="007E41BA">
        <w:rPr>
          <w:szCs w:val="22"/>
        </w:rPr>
        <w:t xml:space="preserve">Bureau </w:t>
      </w:r>
      <w:r w:rsidR="002F6F99">
        <w:rPr>
          <w:szCs w:val="22"/>
        </w:rPr>
        <w:t xml:space="preserve">also </w:t>
      </w:r>
      <w:r w:rsidR="007E41BA">
        <w:rPr>
          <w:szCs w:val="22"/>
        </w:rPr>
        <w:t>required</w:t>
      </w:r>
      <w:r w:rsidR="004F7608">
        <w:rPr>
          <w:szCs w:val="22"/>
        </w:rPr>
        <w:t xml:space="preserve"> that within this 90-day period</w:t>
      </w:r>
      <w:r w:rsidR="00A42C1C">
        <w:rPr>
          <w:szCs w:val="22"/>
        </w:rPr>
        <w:t>,</w:t>
      </w:r>
      <w:r w:rsidR="007E41BA">
        <w:rPr>
          <w:szCs w:val="22"/>
        </w:rPr>
        <w:t xml:space="preserve"> the </w:t>
      </w:r>
      <w:r w:rsidRPr="00073D9E">
        <w:rPr>
          <w:szCs w:val="22"/>
        </w:rPr>
        <w:t xml:space="preserve">service provider assuming the obligations </w:t>
      </w:r>
      <w:r w:rsidR="00E05AAE">
        <w:t>“</w:t>
      </w:r>
      <w:r w:rsidR="007E41BA">
        <w:t>apply to obtain approvals from Oklahoma and the Commission to obtain or expand an Oklahoma ETC designation to cover areas where Redwire is authorized to receive Auction 903 support and to transfer Redwire’s section 214 authorization</w:t>
      </w:r>
      <w:r w:rsidRPr="00073D9E">
        <w:rPr>
          <w:szCs w:val="22"/>
        </w:rPr>
        <w:t>.</w:t>
      </w:r>
      <w:r w:rsidR="00E05AAE">
        <w:rPr>
          <w:szCs w:val="22"/>
        </w:rPr>
        <w:t>”</w:t>
      </w:r>
      <w:r>
        <w:rPr>
          <w:szCs w:val="22"/>
          <w:vertAlign w:val="superscript"/>
        </w:rPr>
        <w:footnoteReference w:id="16"/>
      </w:r>
      <w:r w:rsidRPr="00073D9E">
        <w:rPr>
          <w:szCs w:val="22"/>
        </w:rPr>
        <w:t xml:space="preserve">  If either of these conditions were not satisfied within the 90-day period, the Bureau explained that </w:t>
      </w:r>
      <w:r w:rsidR="003A7C63">
        <w:rPr>
          <w:szCs w:val="22"/>
        </w:rPr>
        <w:t xml:space="preserve">“the waiver will be revoked, </w:t>
      </w:r>
      <w:r w:rsidR="005851F2">
        <w:rPr>
          <w:szCs w:val="22"/>
        </w:rPr>
        <w:t>R</w:t>
      </w:r>
      <w:r w:rsidR="003A7C63">
        <w:rPr>
          <w:szCs w:val="22"/>
        </w:rPr>
        <w:t xml:space="preserve">edwire must </w:t>
      </w:r>
      <w:r w:rsidRPr="00073D9E">
        <w:rPr>
          <w:szCs w:val="22"/>
        </w:rPr>
        <w:t>return the Auction 903 support it ha</w:t>
      </w:r>
      <w:r w:rsidR="00B52C75">
        <w:rPr>
          <w:szCs w:val="22"/>
        </w:rPr>
        <w:t>s</w:t>
      </w:r>
      <w:r w:rsidRPr="00073D9E">
        <w:rPr>
          <w:szCs w:val="22"/>
        </w:rPr>
        <w:t xml:space="preserve"> already received</w:t>
      </w:r>
      <w:r w:rsidR="00024CAC">
        <w:rPr>
          <w:szCs w:val="22"/>
        </w:rPr>
        <w:t>,</w:t>
      </w:r>
      <w:r w:rsidR="002C3DB1">
        <w:rPr>
          <w:szCs w:val="22"/>
        </w:rPr>
        <w:t>”</w:t>
      </w:r>
      <w:r w:rsidRPr="00073D9E">
        <w:rPr>
          <w:szCs w:val="22"/>
        </w:rPr>
        <w:t xml:space="preserve"> and Redwire could be subject to additional penalties.</w:t>
      </w:r>
      <w:r>
        <w:rPr>
          <w:snapToGrid w:val="0"/>
          <w:vertAlign w:val="superscript"/>
        </w:rPr>
        <w:footnoteReference w:id="17"/>
      </w:r>
      <w:r w:rsidRPr="00073D9E">
        <w:rPr>
          <w:szCs w:val="22"/>
        </w:rPr>
        <w:t xml:space="preserve">  </w:t>
      </w:r>
    </w:p>
    <w:p w:rsidR="00073D9E" w:rsidRPr="00073D9E" w:rsidP="00073D9E" w14:paraId="7032457F" w14:textId="77777777">
      <w:pPr>
        <w:autoSpaceDE w:val="0"/>
        <w:autoSpaceDN w:val="0"/>
        <w:adjustRightInd w:val="0"/>
        <w:spacing w:after="120"/>
        <w:ind w:firstLine="720"/>
      </w:pPr>
      <w:r w:rsidRPr="2DCD426A">
        <w:t xml:space="preserve">Moreover, </w:t>
      </w:r>
      <w:r w:rsidRPr="2DCD426A" w:rsidR="00B26C39">
        <w:t>the Bureau required that if Redwire did find a service provider(s) to assume its Auction 903 support obligations, that</w:t>
      </w:r>
      <w:r w:rsidRPr="2DCD426A">
        <w:t xml:space="preserve"> within one year from release of the </w:t>
      </w:r>
      <w:r w:rsidRPr="2DCD426A">
        <w:rPr>
          <w:i/>
        </w:rPr>
        <w:t>Redwire Second Waiver Order</w:t>
      </w:r>
      <w:r w:rsidRPr="00073D9E">
        <w:rPr>
          <w:szCs w:val="22"/>
        </w:rPr>
        <w:t xml:space="preserve">, </w:t>
      </w:r>
      <w:r w:rsidRPr="00707A51">
        <w:rPr>
          <w:iCs/>
        </w:rPr>
        <w:t>i.e</w:t>
      </w:r>
      <w:r w:rsidRPr="00F704F4">
        <w:rPr>
          <w:iCs/>
        </w:rPr>
        <w:t>.</w:t>
      </w:r>
      <w:r w:rsidRPr="2DCD426A">
        <w:t xml:space="preserve">, by September 2, 2022, the service provider(s) obtain </w:t>
      </w:r>
      <w:r w:rsidRPr="2DCD426A" w:rsidR="007176F4">
        <w:t>all of</w:t>
      </w:r>
      <w:r w:rsidRPr="2DCD426A">
        <w:t xml:space="preserve"> the necessary regulatory approvals, including ETC and section 214 transactional approvals, </w:t>
      </w:r>
      <w:r w:rsidRPr="2DCD426A" w:rsidR="00F25299">
        <w:t xml:space="preserve">all </w:t>
      </w:r>
      <w:r w:rsidRPr="2DCD426A">
        <w:t>required state approvals</w:t>
      </w:r>
      <w:r w:rsidR="00BE71BE">
        <w:rPr>
          <w:szCs w:val="22"/>
        </w:rPr>
        <w:t>,</w:t>
      </w:r>
      <w:r>
        <w:rPr>
          <w:vertAlign w:val="superscript"/>
        </w:rPr>
        <w:footnoteReference w:id="18"/>
      </w:r>
      <w:r w:rsidRPr="00073D9E">
        <w:rPr>
          <w:szCs w:val="22"/>
        </w:rPr>
        <w:t xml:space="preserve"> </w:t>
      </w:r>
      <w:r w:rsidRPr="2DCD426A" w:rsidR="00BE71BE">
        <w:t>and</w:t>
      </w:r>
      <w:r w:rsidR="00A746F2">
        <w:rPr>
          <w:szCs w:val="22"/>
        </w:rPr>
        <w:t xml:space="preserve"> </w:t>
      </w:r>
      <w:r w:rsidRPr="2DCD426A">
        <w:t>submit a</w:t>
      </w:r>
      <w:r w:rsidRPr="2DCD426A" w:rsidR="00CD7FAA">
        <w:t>n irrevocable</w:t>
      </w:r>
      <w:r w:rsidRPr="2DCD426A">
        <w:t xml:space="preserve"> letter of credit and bankruptcy opinion letter to USAC that meets the Commission’s requirements</w:t>
      </w:r>
      <w:r w:rsidRPr="00073D9E">
        <w:rPr>
          <w:szCs w:val="22"/>
        </w:rPr>
        <w:t>.</w:t>
      </w:r>
      <w:r>
        <w:rPr>
          <w:vertAlign w:val="superscript"/>
        </w:rPr>
        <w:footnoteReference w:id="19"/>
      </w:r>
      <w:r w:rsidRPr="00073D9E">
        <w:rPr>
          <w:szCs w:val="22"/>
        </w:rPr>
        <w:t xml:space="preserve">  </w:t>
      </w:r>
      <w:r w:rsidRPr="2DCD426A">
        <w:t xml:space="preserve">If </w:t>
      </w:r>
      <w:r w:rsidRPr="2DCD426A" w:rsidR="00082055">
        <w:t>these conditions were met, t</w:t>
      </w:r>
      <w:r w:rsidRPr="2DCD426A" w:rsidR="00AC7EDF">
        <w:t>he</w:t>
      </w:r>
      <w:r w:rsidRPr="2DCD426A">
        <w:t xml:space="preserve"> Bureau </w:t>
      </w:r>
      <w:r w:rsidRPr="2DCD426A" w:rsidR="00AC7EDF">
        <w:t>would</w:t>
      </w:r>
      <w:r w:rsidRPr="00073D9E" w:rsidR="00AC7EDF">
        <w:rPr>
          <w:szCs w:val="22"/>
        </w:rPr>
        <w:t xml:space="preserve"> </w:t>
      </w:r>
      <w:r w:rsidRPr="2DCD426A">
        <w:t>then instruct USAC to resume Auction 903 payments, including the withheld support</w:t>
      </w:r>
      <w:r w:rsidRPr="2DCD426A" w:rsidR="00617B94">
        <w:t>, to the acquiring service provider</w:t>
      </w:r>
      <w:r w:rsidRPr="00073D9E">
        <w:rPr>
          <w:szCs w:val="22"/>
        </w:rPr>
        <w:t>.</w:t>
      </w:r>
      <w:r>
        <w:rPr>
          <w:vertAlign w:val="superscript"/>
        </w:rPr>
        <w:footnoteReference w:id="20"/>
      </w:r>
      <w:r w:rsidRPr="2DCD426A">
        <w:t xml:space="preserve">  Additionally, the Auction 903 support that was disbursed to Redwire </w:t>
      </w:r>
      <w:r w:rsidRPr="2DCD426A" w:rsidR="00AC7EDF">
        <w:t>was not permitted to be</w:t>
      </w:r>
      <w:r w:rsidRPr="2DCD426A">
        <w:t xml:space="preserve"> transferred to and spent by the acquiring service provider until all regulatory approvals </w:t>
      </w:r>
      <w:r w:rsidRPr="2DCD426A" w:rsidR="00AC7EDF">
        <w:t>had</w:t>
      </w:r>
      <w:r w:rsidRPr="00073D9E" w:rsidR="00AC7EDF">
        <w:rPr>
          <w:szCs w:val="22"/>
        </w:rPr>
        <w:t xml:space="preserve"> </w:t>
      </w:r>
      <w:r w:rsidRPr="2DCD426A">
        <w:t>been obtained and the transaction consummated.</w:t>
      </w:r>
      <w:r>
        <w:rPr>
          <w:vertAlign w:val="superscript"/>
        </w:rPr>
        <w:footnoteReference w:id="21"/>
      </w:r>
      <w:r w:rsidRPr="00073D9E">
        <w:rPr>
          <w:szCs w:val="22"/>
        </w:rPr>
        <w:t xml:space="preserve">  </w:t>
      </w:r>
    </w:p>
    <w:p w:rsidR="00073D9E" w:rsidRPr="00073D9E" w:rsidP="00073D9E" w14:paraId="53A106D5" w14:textId="77777777">
      <w:pPr>
        <w:autoSpaceDE w:val="0"/>
        <w:autoSpaceDN w:val="0"/>
        <w:adjustRightInd w:val="0"/>
        <w:spacing w:after="120"/>
        <w:ind w:firstLine="720"/>
      </w:pPr>
      <w:r w:rsidRPr="2DCD426A">
        <w:t xml:space="preserve">In a letter dated December 1, 2021, Redwire notified the Bureau that </w:t>
      </w:r>
      <w:r w:rsidRPr="2DCD426A" w:rsidR="00AB7D6E">
        <w:t xml:space="preserve">although </w:t>
      </w:r>
      <w:r w:rsidRPr="2DCD426A">
        <w:t xml:space="preserve">it had not yet entered into a binding agreement </w:t>
      </w:r>
      <w:r w:rsidRPr="2DCD426A" w:rsidR="00AB7D6E">
        <w:t>to transfer its Auction 903 support</w:t>
      </w:r>
      <w:r w:rsidRPr="00073D9E" w:rsidR="00AB7D6E">
        <w:rPr>
          <w:szCs w:val="22"/>
        </w:rPr>
        <w:t xml:space="preserve"> </w:t>
      </w:r>
      <w:r w:rsidRPr="2DCD426A" w:rsidR="00AB7D6E">
        <w:t xml:space="preserve">to </w:t>
      </w:r>
      <w:r w:rsidRPr="2DCD426A">
        <w:t>another party</w:t>
      </w:r>
      <w:r w:rsidRPr="2DCD426A" w:rsidR="00AB7D6E">
        <w:t>, it expected to do so</w:t>
      </w:r>
      <w:r w:rsidR="00AB7D6E">
        <w:rPr>
          <w:szCs w:val="22"/>
        </w:rPr>
        <w:t xml:space="preserve"> </w:t>
      </w:r>
      <w:r w:rsidRPr="2DCD426A" w:rsidR="00AB7D6E">
        <w:t>within the next 60 days and would file the required applications with the FCC and the Oklahoma Corporation Commission within 30 days after that; it</w:t>
      </w:r>
      <w:r w:rsidRPr="00073D9E">
        <w:rPr>
          <w:szCs w:val="22"/>
        </w:rPr>
        <w:t xml:space="preserve"> </w:t>
      </w:r>
      <w:r w:rsidRPr="2DCD426A" w:rsidR="009C6E3C">
        <w:t xml:space="preserve">therefore </w:t>
      </w:r>
      <w:r w:rsidRPr="2DCD426A">
        <w:t xml:space="preserve">requested a </w:t>
      </w:r>
      <w:r w:rsidR="00FD292B">
        <w:t>“</w:t>
      </w:r>
      <w:r w:rsidRPr="2DCD426A">
        <w:t>continuing waiver</w:t>
      </w:r>
      <w:r w:rsidR="00FD292B">
        <w:t>”</w:t>
      </w:r>
      <w:r w:rsidRPr="001B15DC" w:rsidR="00FD292B">
        <w:rPr>
          <w:snapToGrid w:val="0"/>
          <w:kern w:val="28"/>
        </w:rPr>
        <w:t xml:space="preserve"> </w:t>
      </w:r>
      <w:r w:rsidR="001B15DC">
        <w:rPr>
          <w:snapToGrid w:val="0"/>
          <w:kern w:val="28"/>
        </w:rPr>
        <w:t xml:space="preserve">of the letter of credit requirement that the Bureau conditionally granted in the </w:t>
      </w:r>
      <w:r w:rsidRPr="00CD5BCC" w:rsidR="00821793">
        <w:rPr>
          <w:i/>
          <w:iCs/>
          <w:snapToGrid w:val="0"/>
          <w:kern w:val="28"/>
        </w:rPr>
        <w:t>Redwire Second Waiver Order</w:t>
      </w:r>
      <w:r w:rsidRPr="00073D9E">
        <w:rPr>
          <w:szCs w:val="22"/>
        </w:rPr>
        <w:t>.</w:t>
      </w:r>
      <w:r>
        <w:rPr>
          <w:vertAlign w:val="superscript"/>
        </w:rPr>
        <w:footnoteReference w:id="22"/>
      </w:r>
      <w:r w:rsidRPr="2DCD426A">
        <w:t xml:space="preserve">  On January 31, 2022, Redwire notified the Bureau that it</w:t>
      </w:r>
      <w:r w:rsidR="00E05AAE">
        <w:rPr>
          <w:szCs w:val="22"/>
        </w:rPr>
        <w:t xml:space="preserve"> </w:t>
      </w:r>
      <w:r w:rsidRPr="2DCD426A" w:rsidR="00A97DED">
        <w:t xml:space="preserve">had </w:t>
      </w:r>
      <w:r w:rsidRPr="2DCD426A">
        <w:t>entered into a binding agreement with AtLink for the Assigned Census Blocks, that AtLink had filed an ETC application with the Oklahoma Corporation Commission for the Assigned Census Blocks, and that Redwire and AtLink filed a section 214 transfer of control application with the Commission.</w:t>
      </w:r>
      <w:r>
        <w:rPr>
          <w:vertAlign w:val="superscript"/>
        </w:rPr>
        <w:footnoteReference w:id="23"/>
      </w:r>
      <w:r w:rsidRPr="2DCD426A">
        <w:t xml:space="preserve">  Redwire also sought a </w:t>
      </w:r>
      <w:r w:rsidR="001327B5">
        <w:rPr>
          <w:szCs w:val="22"/>
        </w:rPr>
        <w:t>“</w:t>
      </w:r>
      <w:r w:rsidRPr="2DCD426A">
        <w:t>continuing waiver</w:t>
      </w:r>
      <w:r w:rsidR="008073AB">
        <w:rPr>
          <w:szCs w:val="22"/>
        </w:rPr>
        <w:t>”</w:t>
      </w:r>
      <w:r w:rsidRPr="00073D9E">
        <w:rPr>
          <w:szCs w:val="22"/>
        </w:rPr>
        <w:t xml:space="preserve"> </w:t>
      </w:r>
      <w:r w:rsidRPr="2DCD426A" w:rsidR="001327B5">
        <w:t>with respect to</w:t>
      </w:r>
      <w:r w:rsidRPr="00073D9E" w:rsidR="001327B5">
        <w:rPr>
          <w:szCs w:val="22"/>
        </w:rPr>
        <w:t xml:space="preserve"> </w:t>
      </w:r>
      <w:r w:rsidRPr="2DCD426A">
        <w:t>its remaining Auction 903 areas that would not be transferred as part of the proposed section 214 transaction.</w:t>
      </w:r>
      <w:r>
        <w:rPr>
          <w:vertAlign w:val="superscript"/>
        </w:rPr>
        <w:footnoteReference w:id="24"/>
      </w:r>
      <w:r w:rsidRPr="2DCD426A">
        <w:t xml:space="preserve">  On March 1, 2022, Redwire explained that it still had not entered into a binding agreement for its remaining Auction 903 census blocks </w:t>
      </w:r>
      <w:r w:rsidRPr="2DCD426A" w:rsidR="00FE582A">
        <w:t xml:space="preserve">(i.e., those </w:t>
      </w:r>
      <w:r w:rsidRPr="2DCD426A">
        <w:t>not being transferred to AtLink</w:t>
      </w:r>
      <w:r w:rsidR="00FE582A">
        <w:t>)</w:t>
      </w:r>
      <w:r w:rsidRPr="2DCD426A">
        <w:t xml:space="preserve"> and reiterated its request for a </w:t>
      </w:r>
      <w:r w:rsidR="00AF65AE">
        <w:t>“</w:t>
      </w:r>
      <w:r w:rsidRPr="2DCD426A">
        <w:t>continuing waiver</w:t>
      </w:r>
      <w:r w:rsidR="00AF65AE">
        <w:t>”</w:t>
      </w:r>
      <w:r w:rsidRPr="2DCD426A">
        <w:t xml:space="preserve"> for these areas.</w:t>
      </w:r>
      <w:r>
        <w:rPr>
          <w:vertAlign w:val="superscript"/>
        </w:rPr>
        <w:footnoteReference w:id="25"/>
      </w:r>
    </w:p>
    <w:p w:rsidR="00073D9E" w:rsidRPr="00073D9E" w:rsidP="00073D9E" w14:paraId="638FF038" w14:textId="77777777">
      <w:pPr>
        <w:autoSpaceDE w:val="0"/>
        <w:autoSpaceDN w:val="0"/>
        <w:adjustRightInd w:val="0"/>
        <w:spacing w:after="120"/>
        <w:ind w:firstLine="720"/>
        <w:rPr>
          <w:szCs w:val="22"/>
        </w:rPr>
      </w:pPr>
      <w:r w:rsidRPr="1E183249">
        <w:t>AtLink, an Oklahoma limited liability company, is an Internet service provider and an ETC in Oklahoma.</w:t>
      </w:r>
      <w:r>
        <w:rPr>
          <w:vertAlign w:val="superscript"/>
        </w:rPr>
        <w:footnoteReference w:id="26"/>
      </w:r>
      <w:r w:rsidRPr="00073D9E">
        <w:rPr>
          <w:szCs w:val="22"/>
        </w:rPr>
        <w:t xml:space="preserve">  </w:t>
      </w:r>
      <w:r w:rsidRPr="1E183249">
        <w:t>AtLink currently serves “more than 11,000 Oklahomans in rural communities and urban areas throughout the state using fixed wireless and fiber-to-the-home technologies.”</w:t>
      </w:r>
      <w:r>
        <w:rPr>
          <w:vertAlign w:val="superscript"/>
        </w:rPr>
        <w:footnoteReference w:id="27"/>
      </w:r>
      <w:r w:rsidRPr="1E183249">
        <w:t xml:space="preserve">  During Auction 903, AtLink won the rights to service 12,501 locations in Oklahoma</w:t>
      </w:r>
      <w:r w:rsidRPr="00073D9E">
        <w:rPr>
          <w:szCs w:val="22"/>
        </w:rPr>
        <w:t>.</w:t>
      </w:r>
      <w:r>
        <w:rPr>
          <w:vertAlign w:val="superscript"/>
        </w:rPr>
        <w:footnoteReference w:id="28"/>
      </w:r>
      <w:r w:rsidRPr="00073D9E">
        <w:t xml:space="preserve">  </w:t>
      </w:r>
      <w:r w:rsidRPr="1E183249">
        <w:t>Samu</w:t>
      </w:r>
      <w:r w:rsidR="005C0B7C">
        <w:t>a</w:t>
      </w:r>
      <w:r w:rsidRPr="1E183249">
        <w:t>l T. Curtis (12.53%)</w:t>
      </w:r>
      <w:r w:rsidRPr="1E183249" w:rsidR="00E05AAE">
        <w:t>, a</w:t>
      </w:r>
      <w:r w:rsidRPr="1E183249">
        <w:t xml:space="preserve"> U.S. citizen</w:t>
      </w:r>
      <w:r w:rsidR="00E05AAE">
        <w:rPr>
          <w:szCs w:val="22"/>
        </w:rPr>
        <w:t xml:space="preserve">, </w:t>
      </w:r>
      <w:r w:rsidR="00631419">
        <w:t xml:space="preserve">and </w:t>
      </w:r>
      <w:r w:rsidRPr="1E183249">
        <w:t xml:space="preserve">the Hinton C A T V Company, Inc. (Hinton C A T V) (54.39%) and Communications Equipment Corporation (33.08%), </w:t>
      </w:r>
      <w:r w:rsidR="00B2479F">
        <w:t>both</w:t>
      </w:r>
      <w:r w:rsidRPr="1E183249">
        <w:t xml:space="preserve"> Oklahoma corporations, own AtLink</w:t>
      </w:r>
      <w:r w:rsidRPr="00073D9E">
        <w:rPr>
          <w:szCs w:val="22"/>
        </w:rPr>
        <w:t>.</w:t>
      </w:r>
      <w:r>
        <w:rPr>
          <w:vertAlign w:val="superscript"/>
        </w:rPr>
        <w:footnoteReference w:id="29"/>
      </w:r>
    </w:p>
    <w:p w:rsidR="00073D9E" w:rsidRPr="00073D9E" w:rsidP="00073D9E" w14:paraId="23FF8231" w14:textId="77777777">
      <w:pPr>
        <w:widowControl w:val="0"/>
        <w:autoSpaceDE w:val="0"/>
        <w:autoSpaceDN w:val="0"/>
        <w:adjustRightInd w:val="0"/>
        <w:spacing w:after="120"/>
        <w:ind w:firstLine="720"/>
      </w:pPr>
      <w:r w:rsidRPr="2DCD426A">
        <w:t>Pursuant to the terms of the proposed transaction, AtLink will acquire and assume Redwire’s CAF support and obligations for the Assigned Census Blocks.</w:t>
      </w:r>
      <w:r>
        <w:rPr>
          <w:vertAlign w:val="superscript"/>
        </w:rPr>
        <w:footnoteReference w:id="30"/>
      </w:r>
      <w:r w:rsidRPr="2DCD426A">
        <w:t xml:space="preserve">  Redwire has agreed to assign its CAF support and obligations in the Assigned Census Blocks to AtLink.</w:t>
      </w:r>
      <w:r>
        <w:rPr>
          <w:vertAlign w:val="superscript"/>
        </w:rPr>
        <w:footnoteReference w:id="31"/>
      </w:r>
      <w:r w:rsidRPr="2DCD426A">
        <w:t xml:space="preserve">  The Applicants also request a waiver of the 40% and 60% service milestones to give AtLink additional time to deploy service in the Assigned Census Blocks.</w:t>
      </w:r>
      <w:r>
        <w:rPr>
          <w:vertAlign w:val="superscript"/>
        </w:rPr>
        <w:footnoteReference w:id="32"/>
      </w:r>
      <w:r w:rsidRPr="00073D9E">
        <w:rPr>
          <w:szCs w:val="22"/>
        </w:rPr>
        <w:t xml:space="preserve">  </w:t>
      </w:r>
      <w:r w:rsidRPr="2DCD426A" w:rsidR="00E05AAE">
        <w:t xml:space="preserve">According to </w:t>
      </w:r>
      <w:r w:rsidR="005C0B7C">
        <w:t xml:space="preserve">the </w:t>
      </w:r>
      <w:r w:rsidRPr="2DCD426A" w:rsidR="00E05AAE">
        <w:t>Applicants, t</w:t>
      </w:r>
      <w:r w:rsidRPr="2DCD426A">
        <w:t>he Bureau’s grant of the requested waiver is a condition to the consummation of the proposed transaction.</w:t>
      </w:r>
      <w:r>
        <w:rPr>
          <w:vertAlign w:val="superscript"/>
        </w:rPr>
        <w:footnoteReference w:id="33"/>
      </w:r>
      <w:r w:rsidRPr="2DCD426A">
        <w:t xml:space="preserve">  After consummation of the proposed transaction, in the Assigned Census Blocks, “AtLink will undertake the deployment of the CAF-supported network and integrate such activities and operations into its own ongoing operations and its CAF deployment.”</w:t>
      </w:r>
      <w:r>
        <w:rPr>
          <w:vertAlign w:val="superscript"/>
        </w:rPr>
        <w:footnoteReference w:id="34"/>
      </w:r>
      <w:r w:rsidRPr="00073D9E">
        <w:rPr>
          <w:szCs w:val="22"/>
        </w:rPr>
        <w:t xml:space="preserve">  </w:t>
      </w:r>
      <w:r w:rsidR="004E5238">
        <w:t xml:space="preserve">AtLink </w:t>
      </w:r>
      <w:r w:rsidR="00190544">
        <w:t>“</w:t>
      </w:r>
      <w:r w:rsidR="00C041C8">
        <w:t>c</w:t>
      </w:r>
      <w:r w:rsidR="00190544">
        <w:t>ommits to meeting”</w:t>
      </w:r>
      <w:r w:rsidR="00FE4AF3">
        <w:t xml:space="preserve"> the 80% and 100% Auction 903 service milestones</w:t>
      </w:r>
      <w:r w:rsidR="003113D9">
        <w:t xml:space="preserve"> for the Assigned Census Blocks</w:t>
      </w:r>
      <w:r w:rsidR="008541FE">
        <w:t xml:space="preserve"> as specified in the </w:t>
      </w:r>
      <w:r w:rsidR="008541FE">
        <w:rPr>
          <w:i/>
          <w:iCs/>
        </w:rPr>
        <w:t>Redwire Authorization Public Notice</w:t>
      </w:r>
      <w:r w:rsidR="003113D9">
        <w:t>.</w:t>
      </w:r>
      <w:r>
        <w:rPr>
          <w:rStyle w:val="FootnoteReference"/>
          <w:szCs w:val="22"/>
        </w:rPr>
        <w:footnoteReference w:id="35"/>
      </w:r>
      <w:r w:rsidR="003113D9">
        <w:t xml:space="preserve"> </w:t>
      </w:r>
    </w:p>
    <w:p w:rsidR="00073D9E" w:rsidRPr="00073D9E" w:rsidP="00073D9E" w14:paraId="1C325038" w14:textId="77777777">
      <w:pPr>
        <w:keepNext/>
        <w:autoSpaceDE w:val="0"/>
        <w:autoSpaceDN w:val="0"/>
        <w:adjustRightInd w:val="0"/>
        <w:spacing w:after="120"/>
        <w:rPr>
          <w:b/>
          <w:bCs/>
          <w:snapToGrid w:val="0"/>
          <w:kern w:val="28"/>
          <w:szCs w:val="22"/>
          <w:u w:val="single"/>
        </w:rPr>
      </w:pPr>
      <w:r w:rsidRPr="00073D9E">
        <w:rPr>
          <w:b/>
          <w:bCs/>
          <w:snapToGrid w:val="0"/>
          <w:kern w:val="28"/>
          <w:szCs w:val="22"/>
          <w:u w:val="single"/>
        </w:rPr>
        <w:t>Discussion</w:t>
      </w:r>
    </w:p>
    <w:p w:rsidR="00073D9E" w:rsidP="00073D9E" w14:paraId="513C3395" w14:textId="77777777">
      <w:pPr>
        <w:keepNext/>
        <w:widowControl w:val="0"/>
        <w:numPr>
          <w:ilvl w:val="0"/>
          <w:numId w:val="28"/>
        </w:numPr>
        <w:autoSpaceDE w:val="0"/>
        <w:autoSpaceDN w:val="0"/>
        <w:adjustRightInd w:val="0"/>
        <w:spacing w:after="120"/>
        <w:contextualSpacing/>
        <w:rPr>
          <w:b/>
          <w:snapToGrid w:val="0"/>
          <w:kern w:val="28"/>
          <w:u w:val="single"/>
        </w:rPr>
      </w:pPr>
      <w:r w:rsidRPr="1E183249">
        <w:rPr>
          <w:b/>
          <w:snapToGrid w:val="0"/>
          <w:kern w:val="28"/>
          <w:u w:val="single"/>
        </w:rPr>
        <w:t>Grant of the Domestic Section 214 Application</w:t>
      </w:r>
    </w:p>
    <w:p w:rsidR="00073D9E" w:rsidRPr="00073D9E" w:rsidP="00073D9E" w14:paraId="0D93C0A9" w14:textId="77777777">
      <w:pPr>
        <w:keepNext/>
        <w:widowControl w:val="0"/>
        <w:autoSpaceDE w:val="0"/>
        <w:autoSpaceDN w:val="0"/>
        <w:adjustRightInd w:val="0"/>
        <w:spacing w:after="120"/>
        <w:ind w:left="720"/>
        <w:contextualSpacing/>
        <w:rPr>
          <w:b/>
          <w:bCs/>
          <w:snapToGrid w:val="0"/>
          <w:kern w:val="28"/>
          <w:szCs w:val="22"/>
          <w:u w:val="single"/>
        </w:rPr>
      </w:pPr>
    </w:p>
    <w:p w:rsidR="00073D9E" w:rsidRPr="00073D9E" w:rsidP="00073D9E" w14:paraId="7852CB96" w14:textId="77777777">
      <w:pPr>
        <w:autoSpaceDE w:val="0"/>
        <w:autoSpaceDN w:val="0"/>
        <w:adjustRightInd w:val="0"/>
        <w:spacing w:after="120"/>
        <w:ind w:firstLine="720"/>
        <w:rPr>
          <w:snapToGrid w:val="0"/>
          <w:kern w:val="28"/>
          <w:szCs w:val="22"/>
        </w:rPr>
      </w:pPr>
      <w:r w:rsidRPr="00073D9E">
        <w:rPr>
          <w:snapToGrid w:val="0"/>
          <w:kern w:val="28"/>
          <w:szCs w:val="22"/>
        </w:rPr>
        <w:t>We find, upon consideration of the record, that grant of the Application will serve the public interest, convenience, and necessity.</w:t>
      </w:r>
      <w:r>
        <w:rPr>
          <w:snapToGrid w:val="0"/>
          <w:kern w:val="28"/>
          <w:szCs w:val="22"/>
          <w:vertAlign w:val="superscript"/>
        </w:rPr>
        <w:footnoteReference w:id="36"/>
      </w:r>
      <w:r w:rsidRPr="00073D9E">
        <w:rPr>
          <w:snapToGrid w:val="0"/>
          <w:kern w:val="28"/>
          <w:szCs w:val="22"/>
        </w:rPr>
        <w:t xml:space="preserve">  To make this determination under Commission precedent, we consider whether the proposed transaction could result in public interest harms by substantially frustrating or impairing the objectives or implementation of the Act or related statutes.</w:t>
      </w:r>
      <w:r>
        <w:rPr>
          <w:snapToGrid w:val="0"/>
          <w:kern w:val="28"/>
          <w:szCs w:val="22"/>
          <w:vertAlign w:val="superscript"/>
        </w:rPr>
        <w:footnoteReference w:id="37"/>
      </w:r>
      <w:r w:rsidRPr="00073D9E">
        <w:rPr>
          <w:snapToGrid w:val="0"/>
          <w:kern w:val="28"/>
          <w:szCs w:val="22"/>
        </w:rPr>
        <w:t xml:space="preserve">  We then employ a balancing test weighing any potential public interest harms of the proposed transaction against any potential public interest benefits.</w:t>
      </w:r>
      <w:r>
        <w:rPr>
          <w:snapToGrid w:val="0"/>
          <w:kern w:val="28"/>
          <w:szCs w:val="22"/>
          <w:vertAlign w:val="superscript"/>
        </w:rPr>
        <w:footnoteReference w:id="38"/>
      </w:r>
      <w:r w:rsidRPr="00073D9E">
        <w:rPr>
          <w:snapToGrid w:val="0"/>
          <w:kern w:val="28"/>
          <w:szCs w:val="22"/>
        </w:rPr>
        <w:t xml:space="preserve">  The Applicants bear the burden of proving, by a preponderance of the evidence, that the proposed transaction, on balance, serves the public interest.</w:t>
      </w:r>
      <w:r>
        <w:rPr>
          <w:snapToGrid w:val="0"/>
          <w:kern w:val="28"/>
          <w:szCs w:val="22"/>
          <w:vertAlign w:val="superscript"/>
        </w:rPr>
        <w:footnoteReference w:id="39"/>
      </w:r>
    </w:p>
    <w:p w:rsidR="00073D9E" w:rsidRPr="00073D9E" w:rsidP="00073D9E" w14:paraId="1B59428A" w14:textId="77777777">
      <w:pPr>
        <w:autoSpaceDE w:val="0"/>
        <w:autoSpaceDN w:val="0"/>
        <w:adjustRightInd w:val="0"/>
        <w:spacing w:after="120"/>
        <w:ind w:firstLine="720"/>
        <w:rPr>
          <w:snapToGrid w:val="0"/>
          <w:color w:val="000000"/>
          <w:kern w:val="28"/>
          <w:szCs w:val="22"/>
        </w:rPr>
      </w:pPr>
      <w:r w:rsidRPr="00073D9E">
        <w:rPr>
          <w:snapToGrid w:val="0"/>
          <w:color w:val="000000"/>
          <w:kern w:val="28"/>
          <w:szCs w:val="22"/>
        </w:rPr>
        <w:t xml:space="preserve">We find that there are no potential public interest harms identified in the record, and no commenter has raised any potential harms.  First, the proposed transaction likely </w:t>
      </w:r>
      <w:r w:rsidRPr="00073D9E">
        <w:rPr>
          <w:bCs/>
          <w:snapToGrid w:val="0"/>
          <w:color w:val="000000"/>
          <w:kern w:val="28"/>
          <w:szCs w:val="22"/>
        </w:rPr>
        <w:t xml:space="preserve">will not adversely affect or reduce competition as Redwire is not </w:t>
      </w:r>
      <w:r w:rsidR="00AB7D6E">
        <w:rPr>
          <w:bCs/>
          <w:snapToGrid w:val="0"/>
          <w:color w:val="000000"/>
          <w:kern w:val="28"/>
          <w:szCs w:val="22"/>
        </w:rPr>
        <w:t xml:space="preserve">currently </w:t>
      </w:r>
      <w:r w:rsidRPr="00073D9E">
        <w:rPr>
          <w:bCs/>
          <w:snapToGrid w:val="0"/>
          <w:color w:val="000000"/>
          <w:kern w:val="28"/>
          <w:szCs w:val="22"/>
        </w:rPr>
        <w:t>providing services to any customers and does not have facilities in the CAF-supported areas.</w:t>
      </w:r>
      <w:r>
        <w:rPr>
          <w:bCs/>
          <w:snapToGrid w:val="0"/>
          <w:kern w:val="28"/>
          <w:szCs w:val="22"/>
          <w:vertAlign w:val="superscript"/>
        </w:rPr>
        <w:footnoteReference w:id="40"/>
      </w:r>
      <w:r w:rsidRPr="00073D9E">
        <w:rPr>
          <w:bCs/>
          <w:snapToGrid w:val="0"/>
          <w:color w:val="000000"/>
          <w:kern w:val="28"/>
          <w:szCs w:val="22"/>
        </w:rPr>
        <w:t xml:space="preserve">  Applicants state that, as proposed, “there will be no reduction in competitors in Redwire’s CAF-supported areas, there will be no negative impact on competition in the communications market anywhere in the United States.”</w:t>
      </w:r>
      <w:r>
        <w:rPr>
          <w:bCs/>
          <w:snapToGrid w:val="0"/>
          <w:kern w:val="28"/>
          <w:szCs w:val="22"/>
          <w:vertAlign w:val="superscript"/>
        </w:rPr>
        <w:footnoteReference w:id="41"/>
      </w:r>
      <w:r w:rsidRPr="00073D9E">
        <w:rPr>
          <w:bCs/>
          <w:snapToGrid w:val="0"/>
          <w:color w:val="000000"/>
          <w:kern w:val="28"/>
          <w:szCs w:val="22"/>
        </w:rPr>
        <w:t xml:space="preserve">  Further, Applicants state that the proposed transaction will not result in any harm to existing customers.</w:t>
      </w:r>
      <w:r>
        <w:rPr>
          <w:rStyle w:val="FootnoteReference"/>
          <w:bCs/>
          <w:snapToGrid w:val="0"/>
          <w:color w:val="000000"/>
          <w:kern w:val="28"/>
          <w:szCs w:val="22"/>
        </w:rPr>
        <w:footnoteReference w:id="42"/>
      </w:r>
      <w:r w:rsidR="00B26391">
        <w:rPr>
          <w:bCs/>
          <w:snapToGrid w:val="0"/>
          <w:color w:val="000000"/>
          <w:kern w:val="28"/>
          <w:szCs w:val="22"/>
        </w:rPr>
        <w:t xml:space="preserve">  There is nothing in the record that would cause us to dispute these assertions.</w:t>
      </w:r>
    </w:p>
    <w:p w:rsidR="00073D9E" w:rsidRPr="00073D9E" w:rsidP="00073D9E" w14:paraId="4A5A6426" w14:textId="77777777">
      <w:pPr>
        <w:autoSpaceDE w:val="0"/>
        <w:autoSpaceDN w:val="0"/>
        <w:adjustRightInd w:val="0"/>
        <w:spacing w:after="120"/>
        <w:ind w:firstLine="720"/>
        <w:rPr>
          <w:snapToGrid w:val="0"/>
          <w:color w:val="000000"/>
          <w:kern w:val="28"/>
        </w:rPr>
      </w:pPr>
      <w:r w:rsidRPr="1E183249">
        <w:rPr>
          <w:snapToGrid w:val="0"/>
          <w:color w:val="000000"/>
          <w:kern w:val="28"/>
        </w:rPr>
        <w:t xml:space="preserve">Second, AtLink certifies that, with </w:t>
      </w:r>
      <w:r w:rsidR="00454452">
        <w:rPr>
          <w:snapToGrid w:val="0"/>
          <w:color w:val="000000"/>
          <w:kern w:val="28"/>
        </w:rPr>
        <w:t xml:space="preserve">the </w:t>
      </w:r>
      <w:r w:rsidRPr="1E183249">
        <w:rPr>
          <w:snapToGrid w:val="0"/>
          <w:color w:val="000000"/>
          <w:kern w:val="28"/>
        </w:rPr>
        <w:t xml:space="preserve">exception of the </w:t>
      </w:r>
      <w:r w:rsidRPr="2DCD426A" w:rsidR="008541FE">
        <w:t xml:space="preserve">40% and 60% service milestones </w:t>
      </w:r>
      <w:r w:rsidRPr="1E183249">
        <w:rPr>
          <w:snapToGrid w:val="0"/>
          <w:color w:val="000000"/>
          <w:kern w:val="28"/>
        </w:rPr>
        <w:t>waiver request discussed below, it will meet all obligations associated with the receipt of CAF funding in the Assigned Census Blocks,</w:t>
      </w:r>
      <w:r>
        <w:rPr>
          <w:snapToGrid w:val="0"/>
          <w:kern w:val="28"/>
          <w:vertAlign w:val="superscript"/>
        </w:rPr>
        <w:footnoteReference w:id="43"/>
      </w:r>
      <w:r w:rsidRPr="1E183249">
        <w:rPr>
          <w:snapToGrid w:val="0"/>
          <w:color w:val="000000"/>
          <w:kern w:val="28"/>
        </w:rPr>
        <w:t xml:space="preserve"> and we expect that the proposed transaction will not negatively impact these obligations</w:t>
      </w:r>
      <w:r w:rsidRPr="1E183249" w:rsidR="0001680D">
        <w:rPr>
          <w:snapToGrid w:val="0"/>
          <w:color w:val="000000"/>
          <w:kern w:val="28"/>
        </w:rPr>
        <w:t xml:space="preserve">, </w:t>
      </w:r>
      <w:r w:rsidRPr="00886C02" w:rsidR="0001680D">
        <w:rPr>
          <w:color w:val="000000"/>
        </w:rPr>
        <w:t>including the obligation to deploy to 100</w:t>
      </w:r>
      <w:r w:rsidR="00B3284F">
        <w:rPr>
          <w:color w:val="000000"/>
        </w:rPr>
        <w:t>%</w:t>
      </w:r>
      <w:r w:rsidRPr="00886C02" w:rsidR="0001680D">
        <w:rPr>
          <w:color w:val="000000"/>
        </w:rPr>
        <w:t xml:space="preserve"> of the required locations by the end of 2025</w:t>
      </w:r>
      <w:r w:rsidRPr="1E183249">
        <w:rPr>
          <w:snapToGrid w:val="0"/>
          <w:color w:val="000000"/>
          <w:kern w:val="28"/>
        </w:rPr>
        <w:t>.  Applicants explain that</w:t>
      </w:r>
      <w:r w:rsidRPr="00073D9E">
        <w:rPr>
          <w:szCs w:val="22"/>
        </w:rPr>
        <w:t xml:space="preserve"> “</w:t>
      </w:r>
      <w:r w:rsidRPr="1E183249">
        <w:t>Redwire has continuously but unsuccessfully attempted to obtain a letter of credit for its CAF obligations from the Bank of Oklahoma, and its bank covenants prevent Redwire from obtaining a letter of credit from a bank other than the Bank of Oklahoma.”</w:t>
      </w:r>
      <w:r>
        <w:rPr>
          <w:vertAlign w:val="superscript"/>
        </w:rPr>
        <w:footnoteReference w:id="44"/>
      </w:r>
      <w:r w:rsidRPr="00073D9E">
        <w:rPr>
          <w:szCs w:val="22"/>
        </w:rPr>
        <w:t xml:space="preserve">  </w:t>
      </w:r>
      <w:r w:rsidRPr="1E183249">
        <w:rPr>
          <w:snapToGrid w:val="0"/>
          <w:color w:val="000000"/>
          <w:kern w:val="28"/>
        </w:rPr>
        <w:t>Applicants state that “[w]ithout AtLink to acquire the CAF obligations in the Assigned Census Blocks, it is likely that locations in the Assigned Census Blocks would remain unserved.”</w:t>
      </w:r>
      <w:r>
        <w:rPr>
          <w:snapToGrid w:val="0"/>
          <w:kern w:val="28"/>
          <w:vertAlign w:val="superscript"/>
        </w:rPr>
        <w:footnoteReference w:id="45"/>
      </w:r>
      <w:r w:rsidRPr="1E183249">
        <w:rPr>
          <w:snapToGrid w:val="0"/>
          <w:color w:val="000000"/>
          <w:kern w:val="28"/>
        </w:rPr>
        <w:t xml:space="preserve">  Notably, the Bureau has already found that AtLink is qualified to receive CAF funding</w:t>
      </w:r>
      <w:r w:rsidR="008541FE">
        <w:rPr>
          <w:snapToGrid w:val="0"/>
          <w:color w:val="000000"/>
          <w:kern w:val="28"/>
        </w:rPr>
        <w:t xml:space="preserve">  in its own areas located </w:t>
      </w:r>
      <w:r w:rsidR="000C3830">
        <w:rPr>
          <w:snapToGrid w:val="0"/>
          <w:color w:val="000000"/>
          <w:kern w:val="28"/>
        </w:rPr>
        <w:t>adjacent to or near</w:t>
      </w:r>
      <w:r w:rsidR="008541FE">
        <w:rPr>
          <w:snapToGrid w:val="0"/>
          <w:color w:val="000000"/>
          <w:kern w:val="28"/>
        </w:rPr>
        <w:t xml:space="preserve"> the Assigned Census Blocks</w:t>
      </w:r>
      <w:r w:rsidRPr="1E183249">
        <w:rPr>
          <w:snapToGrid w:val="0"/>
          <w:color w:val="000000"/>
          <w:kern w:val="28"/>
        </w:rPr>
        <w:t xml:space="preserve">, and AtLink maintains </w:t>
      </w:r>
      <w:r w:rsidR="008541FE">
        <w:rPr>
          <w:snapToGrid w:val="0"/>
          <w:color w:val="000000"/>
          <w:kern w:val="28"/>
        </w:rPr>
        <w:t xml:space="preserve">that </w:t>
      </w:r>
      <w:r w:rsidRPr="1E183249">
        <w:rPr>
          <w:snapToGrid w:val="0"/>
          <w:color w:val="000000"/>
          <w:kern w:val="28"/>
        </w:rPr>
        <w:t xml:space="preserve">it expects to </w:t>
      </w:r>
      <w:r w:rsidR="000C3830">
        <w:rPr>
          <w:snapToGrid w:val="0"/>
          <w:color w:val="000000"/>
          <w:kern w:val="28"/>
        </w:rPr>
        <w:t xml:space="preserve">fully </w:t>
      </w:r>
      <w:r w:rsidRPr="1E183249">
        <w:rPr>
          <w:snapToGrid w:val="0"/>
          <w:color w:val="000000"/>
          <w:kern w:val="28"/>
        </w:rPr>
        <w:t xml:space="preserve">meet its existing CAF obligations in </w:t>
      </w:r>
      <w:r w:rsidR="000C3830">
        <w:rPr>
          <w:snapToGrid w:val="0"/>
          <w:color w:val="000000"/>
          <w:kern w:val="28"/>
        </w:rPr>
        <w:t xml:space="preserve">these </w:t>
      </w:r>
      <w:r w:rsidRPr="1E183249">
        <w:rPr>
          <w:snapToGrid w:val="0"/>
          <w:color w:val="000000"/>
          <w:kern w:val="28"/>
        </w:rPr>
        <w:t>areas.</w:t>
      </w:r>
      <w:r>
        <w:rPr>
          <w:snapToGrid w:val="0"/>
          <w:kern w:val="28"/>
          <w:vertAlign w:val="superscript"/>
        </w:rPr>
        <w:footnoteReference w:id="46"/>
      </w:r>
      <w:r w:rsidRPr="1E183249">
        <w:rPr>
          <w:snapToGrid w:val="0"/>
          <w:color w:val="000000"/>
          <w:kern w:val="28"/>
        </w:rPr>
        <w:t xml:space="preserve">  Moreover, AtLink confirmed that it “does not contemplate making any changes to Redwire’s buildout plans for the CAF census blocks being transferred,”</w:t>
      </w:r>
      <w:r>
        <w:rPr>
          <w:snapToGrid w:val="0"/>
          <w:kern w:val="28"/>
          <w:vertAlign w:val="superscript"/>
        </w:rPr>
        <w:footnoteReference w:id="47"/>
      </w:r>
      <w:r w:rsidRPr="1E183249">
        <w:rPr>
          <w:snapToGrid w:val="0"/>
          <w:color w:val="000000"/>
          <w:kern w:val="28"/>
        </w:rPr>
        <w:t xml:space="preserve">  Applicants have confirmed that following consummation of the proposed transaction, AtLink will continue to have the necessary managerial and operational expertise to meet the additional CAF commitments it acquires from Redwire.</w:t>
      </w:r>
      <w:r>
        <w:rPr>
          <w:snapToGrid w:val="0"/>
          <w:color w:val="000000"/>
          <w:kern w:val="28"/>
          <w:vertAlign w:val="superscript"/>
        </w:rPr>
        <w:footnoteReference w:id="48"/>
      </w:r>
      <w:r w:rsidRPr="1E183249">
        <w:rPr>
          <w:snapToGrid w:val="0"/>
          <w:color w:val="000000"/>
          <w:kern w:val="28"/>
        </w:rPr>
        <w:t xml:space="preserve">  They further state that the proposed transaction will not </w:t>
      </w:r>
      <w:r w:rsidRPr="1E183249" w:rsidR="1D9A2D05">
        <w:rPr>
          <w:snapToGrid w:val="0"/>
          <w:color w:val="000000"/>
          <w:kern w:val="28"/>
        </w:rPr>
        <w:t>result in AtLink assuming additional debt that could compromise its</w:t>
      </w:r>
      <w:r w:rsidRPr="1E183249">
        <w:rPr>
          <w:snapToGrid w:val="0"/>
          <w:color w:val="000000"/>
          <w:kern w:val="28"/>
        </w:rPr>
        <w:t xml:space="preserve"> support obligations in either its existing CAF deployment</w:t>
      </w:r>
      <w:r w:rsidRPr="00886C02" w:rsidR="00A247D5">
        <w:rPr>
          <w:color w:val="000000"/>
        </w:rPr>
        <w:t>s</w:t>
      </w:r>
      <w:r w:rsidRPr="1E183249">
        <w:rPr>
          <w:snapToGrid w:val="0"/>
          <w:color w:val="000000"/>
          <w:kern w:val="28"/>
        </w:rPr>
        <w:t xml:space="preserve"> or the deployment in the Assigned Census Blocks</w:t>
      </w:r>
      <w:r w:rsidRPr="1E183249" w:rsidR="1D9A2D05">
        <w:rPr>
          <w:snapToGrid w:val="0"/>
          <w:color w:val="000000"/>
          <w:kern w:val="28"/>
        </w:rPr>
        <w:t>.</w:t>
      </w:r>
      <w:r>
        <w:rPr>
          <w:snapToGrid w:val="0"/>
          <w:kern w:val="28"/>
          <w:vertAlign w:val="superscript"/>
        </w:rPr>
        <w:footnoteReference w:id="49"/>
      </w:r>
      <w:r w:rsidRPr="1E183249">
        <w:rPr>
          <w:snapToGrid w:val="0"/>
          <w:color w:val="000000"/>
          <w:kern w:val="28"/>
        </w:rPr>
        <w:t xml:space="preserve">  In addition, AtLink </w:t>
      </w:r>
      <w:r w:rsidRPr="00073D9E">
        <w:rPr>
          <w:snapToGrid w:val="0"/>
          <w:kern w:val="28"/>
        </w:rPr>
        <w:t>will be subject to ongoing oversight and must comply with annual reporting and certification requirements.</w:t>
      </w:r>
      <w:r w:rsidRPr="1E183249">
        <w:rPr>
          <w:snapToGrid w:val="0"/>
          <w:color w:val="000000"/>
          <w:kern w:val="28"/>
        </w:rPr>
        <w:t xml:space="preserve">  Therefore, we expect no harm to existing customers to result from the proposed transaction.</w:t>
      </w:r>
    </w:p>
    <w:p w:rsidR="00073D9E" w:rsidRPr="00073D9E" w:rsidP="00073D9E" w14:paraId="08C0F29B" w14:textId="77777777">
      <w:pPr>
        <w:autoSpaceDE w:val="0"/>
        <w:autoSpaceDN w:val="0"/>
        <w:adjustRightInd w:val="0"/>
        <w:spacing w:after="120"/>
        <w:ind w:firstLine="720"/>
        <w:rPr>
          <w:snapToGrid w:val="0"/>
          <w:kern w:val="28"/>
          <w:szCs w:val="22"/>
        </w:rPr>
      </w:pPr>
      <w:r w:rsidRPr="00073D9E">
        <w:rPr>
          <w:snapToGrid w:val="0"/>
          <w:kern w:val="28"/>
          <w:szCs w:val="22"/>
        </w:rPr>
        <w:t>We next consider whether the proposed transaction is likely to generate verifiable, transaction-specific public interest benefits.</w:t>
      </w:r>
      <w:r>
        <w:rPr>
          <w:snapToGrid w:val="0"/>
          <w:kern w:val="28"/>
          <w:szCs w:val="22"/>
          <w:vertAlign w:val="superscript"/>
        </w:rPr>
        <w:footnoteReference w:id="50"/>
      </w:r>
      <w:r w:rsidRPr="00073D9E">
        <w:rPr>
          <w:snapToGrid w:val="0"/>
          <w:kern w:val="28"/>
          <w:szCs w:val="22"/>
        </w:rPr>
        <w:t xml:space="preserve">  Applicants must provide evidence of a claimed benefit to allow the Commission to verify its likelihood and magnitude.</w:t>
      </w:r>
      <w:r>
        <w:rPr>
          <w:snapToGrid w:val="0"/>
          <w:kern w:val="28"/>
          <w:szCs w:val="22"/>
          <w:vertAlign w:val="superscript"/>
        </w:rPr>
        <w:footnoteReference w:id="51"/>
      </w:r>
      <w:r w:rsidRPr="00073D9E">
        <w:rPr>
          <w:snapToGrid w:val="0"/>
          <w:kern w:val="28"/>
          <w:szCs w:val="22"/>
        </w:rPr>
        <w:t xml:space="preserve">  Where potential harms appear unlikely, as is the case with the Application before us here, the Commission accepts a lesser degree of magnitude and likelihood than when harms are present.</w:t>
      </w:r>
      <w:r>
        <w:rPr>
          <w:snapToGrid w:val="0"/>
          <w:kern w:val="28"/>
          <w:szCs w:val="22"/>
          <w:vertAlign w:val="superscript"/>
        </w:rPr>
        <w:footnoteReference w:id="52"/>
      </w:r>
      <w:r w:rsidRPr="00073D9E">
        <w:rPr>
          <w:snapToGrid w:val="0"/>
          <w:kern w:val="28"/>
          <w:szCs w:val="22"/>
        </w:rPr>
        <w:t xml:space="preserve">  </w:t>
      </w:r>
    </w:p>
    <w:p w:rsidR="000C3830" w:rsidP="00073D9E" w14:paraId="6D27CDE4" w14:textId="77777777">
      <w:pPr>
        <w:autoSpaceDE w:val="0"/>
        <w:autoSpaceDN w:val="0"/>
        <w:adjustRightInd w:val="0"/>
        <w:spacing w:after="120"/>
        <w:ind w:firstLine="720"/>
      </w:pPr>
      <w:r w:rsidRPr="00073D9E">
        <w:rPr>
          <w:snapToGrid w:val="0"/>
          <w:kern w:val="28"/>
        </w:rPr>
        <w:t xml:space="preserve">The Commission </w:t>
      </w:r>
      <w:r w:rsidR="0013761B">
        <w:rPr>
          <w:snapToGrid w:val="0"/>
          <w:kern w:val="28"/>
        </w:rPr>
        <w:t xml:space="preserve">has </w:t>
      </w:r>
      <w:r w:rsidRPr="00073D9E">
        <w:rPr>
          <w:snapToGrid w:val="0"/>
          <w:kern w:val="28"/>
        </w:rPr>
        <w:t xml:space="preserve">specified that ensuring consumers receive new or additional services is an important public interest </w:t>
      </w:r>
      <w:r w:rsidR="00480629">
        <w:rPr>
          <w:snapToGrid w:val="0"/>
          <w:kern w:val="28"/>
        </w:rPr>
        <w:t>benefit</w:t>
      </w:r>
      <w:r w:rsidR="00F74491">
        <w:rPr>
          <w:snapToGrid w:val="0"/>
          <w:kern w:val="28"/>
        </w:rPr>
        <w:t>,</w:t>
      </w:r>
      <w:r>
        <w:rPr>
          <w:snapToGrid w:val="0"/>
          <w:kern w:val="28"/>
          <w:vertAlign w:val="superscript"/>
        </w:rPr>
        <w:footnoteReference w:id="53"/>
      </w:r>
      <w:r w:rsidRPr="00073D9E">
        <w:rPr>
          <w:snapToGrid w:val="0"/>
          <w:kern w:val="28"/>
        </w:rPr>
        <w:t xml:space="preserve"> and accelerating private sector deployment of advanced services is one of the aims of the Act.</w:t>
      </w:r>
      <w:r>
        <w:rPr>
          <w:snapToGrid w:val="0"/>
          <w:kern w:val="28"/>
          <w:vertAlign w:val="superscript"/>
        </w:rPr>
        <w:footnoteReference w:id="54"/>
      </w:r>
      <w:r w:rsidRPr="00073D9E">
        <w:rPr>
          <w:snapToGrid w:val="0"/>
          <w:kern w:val="28"/>
        </w:rPr>
        <w:t xml:space="preserve">  Applicants “anticipate that with the financial and human resources and operational efficiencies AtLink will provide, consumers will be able to receive CAF services in the Assigned Census Blocks with much greater certainty than Redwire.”</w:t>
      </w:r>
      <w:r>
        <w:rPr>
          <w:snapToGrid w:val="0"/>
          <w:kern w:val="28"/>
          <w:vertAlign w:val="superscript"/>
        </w:rPr>
        <w:footnoteReference w:id="55"/>
      </w:r>
      <w:r w:rsidRPr="00073D9E">
        <w:rPr>
          <w:snapToGrid w:val="0"/>
          <w:kern w:val="28"/>
        </w:rPr>
        <w:t xml:space="preserve">  Applicants state that “because Redwire’s CAF areas are adjacent to or nearby AtLink’s existing operations and AtLink’s existing CAF-supported areas</w:t>
      </w:r>
      <w:r w:rsidRPr="00073D9E">
        <w:t>, AtLink can achieve economies of scale and leverage its labor force, infrastructure and operational capabilities to rapidly and cost-effectively build out the Redwire CAF areas as it expands its broadband operations.”</w:t>
      </w:r>
      <w:r>
        <w:rPr>
          <w:bCs/>
          <w:szCs w:val="22"/>
          <w:vertAlign w:val="superscript"/>
        </w:rPr>
        <w:footnoteReference w:id="56"/>
      </w:r>
      <w:r w:rsidRPr="00073D9E">
        <w:t xml:space="preserve">  Indeed, AtLink states that it “is ahead of schedule on its own CAF deployment and can absorb Redwire’s obligations to deploy voice and broadband service to 80% of the locations in the Assigned Census blocks by December 31, 2024 and 100% of the locations in the Assigned Census Blocks by December 31, 2025.”</w:t>
      </w:r>
      <w:r>
        <w:rPr>
          <w:bCs/>
          <w:szCs w:val="22"/>
          <w:vertAlign w:val="superscript"/>
        </w:rPr>
        <w:footnoteReference w:id="57"/>
      </w:r>
      <w:r w:rsidRPr="00073D9E">
        <w:t xml:space="preserve">  </w:t>
      </w:r>
    </w:p>
    <w:p w:rsidR="00073D9E" w:rsidRPr="00073D9E" w:rsidP="00073D9E" w14:paraId="2B129CC4" w14:textId="77777777">
      <w:pPr>
        <w:autoSpaceDE w:val="0"/>
        <w:autoSpaceDN w:val="0"/>
        <w:adjustRightInd w:val="0"/>
        <w:spacing w:after="120"/>
        <w:ind w:firstLine="720"/>
      </w:pPr>
      <w:r w:rsidRPr="00073D9E">
        <w:t xml:space="preserve">Based on the record of this proceeding, we find it likely that the proposed transaction will result in some public interest benefits, including increased efficiencies for AtLink to expand service offerings more quickly and better compete.  </w:t>
      </w:r>
      <w:r w:rsidR="00BC6014">
        <w:t>C</w:t>
      </w:r>
      <w:r w:rsidRPr="00073D9E">
        <w:t>onsidering that the proposed transaction is likely to yield some benefits</w:t>
      </w:r>
      <w:r w:rsidR="00BC6014">
        <w:t xml:space="preserve"> and </w:t>
      </w:r>
      <w:r w:rsidR="009F0AD4">
        <w:t>cause</w:t>
      </w:r>
      <w:r w:rsidR="00BC6014">
        <w:t xml:space="preserve"> no apparent potential harms</w:t>
      </w:r>
      <w:r w:rsidRPr="00073D9E">
        <w:t>, we find, on balance, that the proposed transaction serves the public interest.</w:t>
      </w:r>
    </w:p>
    <w:p w:rsidR="00073D9E" w:rsidRPr="00036417" w:rsidP="00073D9E" w14:paraId="0414C547" w14:textId="77777777">
      <w:pPr>
        <w:keepNext/>
        <w:widowControl w:val="0"/>
        <w:numPr>
          <w:ilvl w:val="0"/>
          <w:numId w:val="28"/>
        </w:numPr>
        <w:autoSpaceDE w:val="0"/>
        <w:autoSpaceDN w:val="0"/>
        <w:adjustRightInd w:val="0"/>
        <w:spacing w:after="120"/>
        <w:contextualSpacing/>
        <w:rPr>
          <w:b/>
          <w:bCs/>
          <w:snapToGrid w:val="0"/>
          <w:u w:val="single"/>
        </w:rPr>
      </w:pPr>
      <w:r w:rsidRPr="00073D9E">
        <w:rPr>
          <w:b/>
          <w:bCs/>
          <w:u w:val="single"/>
        </w:rPr>
        <w:t>Grant of Redwire’s December 1, 2021 Continuing Waiver Request</w:t>
      </w:r>
      <w:r w:rsidR="00603E37">
        <w:rPr>
          <w:b/>
          <w:bCs/>
          <w:u w:val="single"/>
        </w:rPr>
        <w:t xml:space="preserve"> for the Assigned Census Blocks</w:t>
      </w:r>
    </w:p>
    <w:p w:rsidR="00073D9E" w:rsidRPr="00073D9E" w:rsidP="00073D9E" w14:paraId="2BE0DF81" w14:textId="77777777">
      <w:pPr>
        <w:keepNext/>
        <w:widowControl w:val="0"/>
        <w:autoSpaceDE w:val="0"/>
        <w:autoSpaceDN w:val="0"/>
        <w:adjustRightInd w:val="0"/>
        <w:spacing w:after="120"/>
        <w:ind w:left="720"/>
        <w:contextualSpacing/>
        <w:rPr>
          <w:b/>
          <w:bCs/>
          <w:snapToGrid w:val="0"/>
        </w:rPr>
      </w:pPr>
    </w:p>
    <w:p w:rsidR="00073D9E" w:rsidRPr="00073D9E" w:rsidP="00073D9E" w14:paraId="6CEB1FDE" w14:textId="77777777">
      <w:pPr>
        <w:autoSpaceDE w:val="0"/>
        <w:autoSpaceDN w:val="0"/>
        <w:adjustRightInd w:val="0"/>
        <w:spacing w:after="120"/>
        <w:rPr>
          <w:snapToGrid w:val="0"/>
          <w:kern w:val="28"/>
        </w:rPr>
      </w:pPr>
      <w:r w:rsidRPr="00073D9E">
        <w:rPr>
          <w:snapToGrid w:val="0"/>
          <w:kern w:val="28"/>
        </w:rPr>
        <w:tab/>
      </w:r>
      <w:r w:rsidR="002E4D51">
        <w:rPr>
          <w:snapToGrid w:val="0"/>
          <w:kern w:val="28"/>
        </w:rPr>
        <w:t xml:space="preserve">With respect to the </w:t>
      </w:r>
      <w:r w:rsidR="007C487D">
        <w:rPr>
          <w:snapToGrid w:val="0"/>
          <w:kern w:val="28"/>
        </w:rPr>
        <w:t>A</w:t>
      </w:r>
      <w:r w:rsidR="00C04A08">
        <w:rPr>
          <w:snapToGrid w:val="0"/>
          <w:kern w:val="28"/>
        </w:rPr>
        <w:t xml:space="preserve">ssigned </w:t>
      </w:r>
      <w:r w:rsidR="007C487D">
        <w:rPr>
          <w:snapToGrid w:val="0"/>
          <w:kern w:val="28"/>
        </w:rPr>
        <w:t>C</w:t>
      </w:r>
      <w:r w:rsidR="00C04A08">
        <w:rPr>
          <w:snapToGrid w:val="0"/>
          <w:kern w:val="28"/>
        </w:rPr>
        <w:t xml:space="preserve">ensus </w:t>
      </w:r>
      <w:r w:rsidR="007C487D">
        <w:rPr>
          <w:snapToGrid w:val="0"/>
          <w:kern w:val="28"/>
        </w:rPr>
        <w:t>B</w:t>
      </w:r>
      <w:r w:rsidR="00C04A08">
        <w:rPr>
          <w:snapToGrid w:val="0"/>
          <w:kern w:val="28"/>
        </w:rPr>
        <w:t>locks, w</w:t>
      </w:r>
      <w:r w:rsidRPr="00073D9E">
        <w:rPr>
          <w:snapToGrid w:val="0"/>
          <w:kern w:val="28"/>
        </w:rPr>
        <w:t xml:space="preserve">e find good cause exists to grant Redwire’s December 1, 2021 request for a </w:t>
      </w:r>
      <w:r w:rsidR="005F0A7F">
        <w:rPr>
          <w:snapToGrid w:val="0"/>
          <w:kern w:val="28"/>
        </w:rPr>
        <w:t>“</w:t>
      </w:r>
      <w:r w:rsidRPr="00073D9E">
        <w:rPr>
          <w:snapToGrid w:val="0"/>
          <w:kern w:val="28"/>
        </w:rPr>
        <w:t>continuing waiver</w:t>
      </w:r>
      <w:r w:rsidR="005F0A7F">
        <w:rPr>
          <w:snapToGrid w:val="0"/>
          <w:kern w:val="28"/>
        </w:rPr>
        <w:t>”</w:t>
      </w:r>
      <w:r w:rsidR="001A116B">
        <w:rPr>
          <w:snapToGrid w:val="0"/>
          <w:kern w:val="28"/>
        </w:rPr>
        <w:t xml:space="preserve"> </w:t>
      </w:r>
      <w:r w:rsidR="00361716">
        <w:rPr>
          <w:snapToGrid w:val="0"/>
          <w:kern w:val="28"/>
        </w:rPr>
        <w:t xml:space="preserve">of the letter of credit requirement that the Bureau conditionally granted in the </w:t>
      </w:r>
      <w:r w:rsidRPr="00442A47" w:rsidR="00361716">
        <w:rPr>
          <w:i/>
          <w:iCs/>
          <w:snapToGrid w:val="0"/>
          <w:kern w:val="28"/>
        </w:rPr>
        <w:t>Redwire Second Waiver Order</w:t>
      </w:r>
      <w:r w:rsidRPr="00073D9E">
        <w:rPr>
          <w:snapToGrid w:val="0"/>
          <w:kern w:val="28"/>
        </w:rPr>
        <w:t>.</w:t>
      </w:r>
      <w:r>
        <w:rPr>
          <w:snapToGrid w:val="0"/>
          <w:kern w:val="28"/>
          <w:vertAlign w:val="superscript"/>
        </w:rPr>
        <w:footnoteReference w:id="58"/>
      </w:r>
      <w:r w:rsidRPr="00073D9E">
        <w:rPr>
          <w:snapToGrid w:val="0"/>
          <w:kern w:val="28"/>
        </w:rPr>
        <w:t xml:space="preserve">  As described above, Redwire </w:t>
      </w:r>
      <w:r w:rsidR="00593C96">
        <w:rPr>
          <w:snapToGrid w:val="0"/>
          <w:kern w:val="28"/>
        </w:rPr>
        <w:t>was required</w:t>
      </w:r>
      <w:r w:rsidRPr="00073D9E" w:rsidR="00593C96">
        <w:rPr>
          <w:snapToGrid w:val="0"/>
          <w:kern w:val="28"/>
        </w:rPr>
        <w:t xml:space="preserve"> </w:t>
      </w:r>
      <w:r w:rsidRPr="00073D9E">
        <w:rPr>
          <w:snapToGrid w:val="0"/>
          <w:kern w:val="28"/>
        </w:rPr>
        <w:t xml:space="preserve">to meet certain conditions by December 1, 2021, </w:t>
      </w:r>
      <w:r w:rsidR="00593C96">
        <w:rPr>
          <w:snapToGrid w:val="0"/>
          <w:kern w:val="28"/>
        </w:rPr>
        <w:t>or</w:t>
      </w:r>
      <w:r w:rsidRPr="00073D9E" w:rsidR="00593C96">
        <w:rPr>
          <w:snapToGrid w:val="0"/>
          <w:kern w:val="28"/>
        </w:rPr>
        <w:t xml:space="preserve"> </w:t>
      </w:r>
      <w:r w:rsidRPr="00073D9E">
        <w:rPr>
          <w:snapToGrid w:val="0"/>
          <w:kern w:val="28"/>
        </w:rPr>
        <w:t xml:space="preserve">its waiver would be revoked, </w:t>
      </w:r>
      <w:r w:rsidRPr="00073D9E">
        <w:rPr>
          <w:szCs w:val="22"/>
        </w:rPr>
        <w:t>Redwire would be required to return the Auction 903 support it already received, and Redwire could be subject to additional penalties</w:t>
      </w:r>
      <w:r w:rsidRPr="00073D9E">
        <w:rPr>
          <w:snapToGrid w:val="0"/>
          <w:kern w:val="28"/>
        </w:rPr>
        <w:t>.</w:t>
      </w:r>
      <w:r>
        <w:rPr>
          <w:snapToGrid w:val="0"/>
          <w:kern w:val="28"/>
          <w:vertAlign w:val="superscript"/>
        </w:rPr>
        <w:footnoteReference w:id="59"/>
      </w:r>
      <w:r w:rsidRPr="00073D9E">
        <w:rPr>
          <w:snapToGrid w:val="0"/>
          <w:kern w:val="28"/>
        </w:rPr>
        <w:t xml:space="preserve">  </w:t>
      </w:r>
    </w:p>
    <w:p w:rsidR="00073D9E" w:rsidRPr="00073D9E" w:rsidP="00073D9E" w14:paraId="133276D8" w14:textId="77777777">
      <w:pPr>
        <w:autoSpaceDE w:val="0"/>
        <w:autoSpaceDN w:val="0"/>
        <w:adjustRightInd w:val="0"/>
        <w:spacing w:after="120"/>
        <w:ind w:firstLine="720"/>
        <w:rPr>
          <w:snapToGrid w:val="0"/>
          <w:kern w:val="28"/>
        </w:rPr>
      </w:pPr>
      <w:r w:rsidRPr="00073D9E">
        <w:rPr>
          <w:snapToGrid w:val="0"/>
          <w:kern w:val="28"/>
        </w:rPr>
        <w:t>Generally, the Commission’s rules may be waived for good cause shown.</w:t>
      </w:r>
      <w:r>
        <w:rPr>
          <w:snapToGrid w:val="0"/>
          <w:kern w:val="28"/>
          <w:vertAlign w:val="superscript"/>
        </w:rPr>
        <w:footnoteReference w:id="60"/>
      </w:r>
      <w:r w:rsidRPr="00073D9E">
        <w:rPr>
          <w:snapToGrid w:val="0"/>
          <w:kern w:val="28"/>
        </w:rPr>
        <w:t xml:space="preserve">  The Commission may exercise its discretion to waive a rule where the particular facts make strict compliance inconsistent with the public interest.</w:t>
      </w:r>
      <w:r>
        <w:rPr>
          <w:snapToGrid w:val="0"/>
          <w:kern w:val="28"/>
          <w:vertAlign w:val="superscript"/>
        </w:rPr>
        <w:footnoteReference w:id="61"/>
      </w:r>
      <w:r w:rsidRPr="00073D9E">
        <w:rPr>
          <w:snapToGrid w:val="0"/>
          <w:kern w:val="28"/>
        </w:rPr>
        <w:t xml:space="preserve">  Waiver of the Commission’s rules is therefore </w:t>
      </w:r>
      <w:r w:rsidRPr="00073D9E">
        <w:rPr>
          <w:snapToGrid w:val="0"/>
          <w:kern w:val="28"/>
        </w:rPr>
        <w:t>appropriate only if special circumstances warrant a deviation from the general rule, and such deviation will serve the public interest.</w:t>
      </w:r>
      <w:r>
        <w:rPr>
          <w:snapToGrid w:val="0"/>
          <w:kern w:val="28"/>
          <w:vertAlign w:val="superscript"/>
        </w:rPr>
        <w:footnoteReference w:id="62"/>
      </w:r>
      <w:r w:rsidRPr="00073D9E">
        <w:rPr>
          <w:snapToGrid w:val="0"/>
          <w:kern w:val="28"/>
        </w:rPr>
        <w:tab/>
      </w:r>
    </w:p>
    <w:p w:rsidR="00657888" w:rsidP="00073D9E" w14:paraId="1206053A" w14:textId="77777777">
      <w:pPr>
        <w:autoSpaceDE w:val="0"/>
        <w:autoSpaceDN w:val="0"/>
        <w:adjustRightInd w:val="0"/>
        <w:spacing w:after="120"/>
        <w:ind w:firstLine="720"/>
        <w:rPr>
          <w:snapToGrid w:val="0"/>
          <w:kern w:val="28"/>
        </w:rPr>
      </w:pPr>
      <w:r w:rsidRPr="00073D9E">
        <w:rPr>
          <w:snapToGrid w:val="0"/>
          <w:kern w:val="28"/>
        </w:rPr>
        <w:t xml:space="preserve">We continue to find that the special circumstances identified in the </w:t>
      </w:r>
      <w:r w:rsidRPr="00073D9E">
        <w:rPr>
          <w:i/>
          <w:iCs/>
          <w:snapToGrid w:val="0"/>
          <w:kern w:val="28"/>
        </w:rPr>
        <w:t>Redwire Second Waiver Order</w:t>
      </w:r>
      <w:r w:rsidR="005C6FCC">
        <w:rPr>
          <w:snapToGrid w:val="0"/>
          <w:kern w:val="28"/>
        </w:rPr>
        <w:t>,</w:t>
      </w:r>
      <w:r w:rsidRPr="00073D9E">
        <w:rPr>
          <w:snapToGrid w:val="0"/>
          <w:kern w:val="28"/>
        </w:rPr>
        <w:t xml:space="preserve"> including Redwire’s inability to obtain a letter of credit despite its good faith efforts, warrant a grant of a continuing waiver for the limited purpose of allowing the Applicants to proceed with th</w:t>
      </w:r>
      <w:r w:rsidR="00BD222B">
        <w:rPr>
          <w:snapToGrid w:val="0"/>
          <w:kern w:val="28"/>
        </w:rPr>
        <w:t>e proposed</w:t>
      </w:r>
      <w:r w:rsidRPr="00073D9E">
        <w:rPr>
          <w:snapToGrid w:val="0"/>
          <w:kern w:val="28"/>
        </w:rPr>
        <w:t xml:space="preserve"> transaction.</w:t>
      </w:r>
      <w:r>
        <w:rPr>
          <w:snapToGrid w:val="0"/>
          <w:kern w:val="28"/>
          <w:vertAlign w:val="superscript"/>
        </w:rPr>
        <w:footnoteReference w:id="63"/>
      </w:r>
      <w:r w:rsidRPr="00073D9E">
        <w:rPr>
          <w:snapToGrid w:val="0"/>
          <w:kern w:val="28"/>
        </w:rPr>
        <w:t xml:space="preserve">  </w:t>
      </w:r>
      <w:r w:rsidR="00412DC2">
        <w:rPr>
          <w:snapToGrid w:val="0"/>
          <w:kern w:val="28"/>
        </w:rPr>
        <w:t xml:space="preserve">In the </w:t>
      </w:r>
      <w:r w:rsidR="00C61302">
        <w:rPr>
          <w:snapToGrid w:val="0"/>
          <w:kern w:val="28"/>
        </w:rPr>
        <w:t>initial</w:t>
      </w:r>
      <w:r w:rsidR="00412DC2">
        <w:rPr>
          <w:snapToGrid w:val="0"/>
          <w:kern w:val="28"/>
        </w:rPr>
        <w:t xml:space="preserve"> </w:t>
      </w:r>
      <w:r w:rsidRPr="00CD5BCC" w:rsidR="00412DC2">
        <w:rPr>
          <w:i/>
          <w:iCs/>
          <w:snapToGrid w:val="0"/>
          <w:kern w:val="28"/>
        </w:rPr>
        <w:t>Redwire Waiver Order</w:t>
      </w:r>
      <w:r w:rsidR="00412DC2">
        <w:rPr>
          <w:snapToGrid w:val="0"/>
          <w:kern w:val="28"/>
        </w:rPr>
        <w:t>, t</w:t>
      </w:r>
      <w:r w:rsidR="00C60EF7">
        <w:rPr>
          <w:snapToGrid w:val="0"/>
          <w:kern w:val="28"/>
        </w:rPr>
        <w:t xml:space="preserve">he Bureau found </w:t>
      </w:r>
      <w:r w:rsidR="003D37D7">
        <w:rPr>
          <w:snapToGrid w:val="0"/>
          <w:kern w:val="28"/>
        </w:rPr>
        <w:t xml:space="preserve">that “the unparalleled economic crisis diminishing the Tribe’s livelihood presents special circumstances </w:t>
      </w:r>
      <w:r w:rsidR="008F7607">
        <w:rPr>
          <w:snapToGrid w:val="0"/>
          <w:kern w:val="28"/>
        </w:rPr>
        <w:t>for this Tribe, making it impossible for Redwire to obtain a letter of credit for the first year of its term of support.”</w:t>
      </w:r>
      <w:r>
        <w:rPr>
          <w:rStyle w:val="FootnoteReference"/>
          <w:snapToGrid w:val="0"/>
          <w:kern w:val="28"/>
        </w:rPr>
        <w:footnoteReference w:id="64"/>
      </w:r>
      <w:r w:rsidR="008F7607">
        <w:rPr>
          <w:snapToGrid w:val="0"/>
          <w:kern w:val="28"/>
        </w:rPr>
        <w:t xml:space="preserve">  </w:t>
      </w:r>
      <w:r w:rsidR="00C61302">
        <w:rPr>
          <w:snapToGrid w:val="0"/>
          <w:kern w:val="28"/>
        </w:rPr>
        <w:t>Subsequen</w:t>
      </w:r>
      <w:r w:rsidR="00E95B91">
        <w:rPr>
          <w:snapToGrid w:val="0"/>
          <w:kern w:val="28"/>
        </w:rPr>
        <w:t>tl</w:t>
      </w:r>
      <w:r w:rsidR="00C61302">
        <w:rPr>
          <w:snapToGrid w:val="0"/>
          <w:kern w:val="28"/>
        </w:rPr>
        <w:t>y, i</w:t>
      </w:r>
      <w:r w:rsidR="00412DC2">
        <w:rPr>
          <w:snapToGrid w:val="0"/>
          <w:kern w:val="28"/>
        </w:rPr>
        <w:t xml:space="preserve">n the </w:t>
      </w:r>
      <w:r w:rsidRPr="00CD5BCC" w:rsidR="00412DC2">
        <w:rPr>
          <w:i/>
          <w:iCs/>
          <w:snapToGrid w:val="0"/>
          <w:kern w:val="28"/>
        </w:rPr>
        <w:t>Redwire Second Waiver Order</w:t>
      </w:r>
      <w:r w:rsidR="00412DC2">
        <w:rPr>
          <w:snapToGrid w:val="0"/>
          <w:kern w:val="28"/>
        </w:rPr>
        <w:t>, the Bureau found that these conditions persisted.</w:t>
      </w:r>
      <w:r>
        <w:rPr>
          <w:rStyle w:val="FootnoteReference"/>
          <w:snapToGrid w:val="0"/>
          <w:kern w:val="28"/>
        </w:rPr>
        <w:footnoteReference w:id="65"/>
      </w:r>
      <w:r w:rsidR="00412DC2">
        <w:rPr>
          <w:snapToGrid w:val="0"/>
          <w:kern w:val="28"/>
        </w:rPr>
        <w:t xml:space="preserve">  </w:t>
      </w:r>
      <w:r w:rsidR="009E0DD3">
        <w:rPr>
          <w:snapToGrid w:val="0"/>
          <w:kern w:val="28"/>
        </w:rPr>
        <w:t>In their Application</w:t>
      </w:r>
      <w:r w:rsidR="00D264E6">
        <w:rPr>
          <w:snapToGrid w:val="0"/>
          <w:kern w:val="28"/>
        </w:rPr>
        <w:t>,</w:t>
      </w:r>
      <w:r w:rsidR="009E0DD3">
        <w:rPr>
          <w:snapToGrid w:val="0"/>
          <w:kern w:val="28"/>
        </w:rPr>
        <w:t xml:space="preserve"> the Ap</w:t>
      </w:r>
      <w:r w:rsidR="003D69D0">
        <w:rPr>
          <w:snapToGrid w:val="0"/>
          <w:kern w:val="28"/>
        </w:rPr>
        <w:t>p</w:t>
      </w:r>
      <w:r w:rsidR="009E0DD3">
        <w:rPr>
          <w:snapToGrid w:val="0"/>
          <w:kern w:val="28"/>
        </w:rPr>
        <w:t>licants explain</w:t>
      </w:r>
      <w:r w:rsidR="00754E27">
        <w:rPr>
          <w:snapToGrid w:val="0"/>
          <w:kern w:val="28"/>
        </w:rPr>
        <w:t xml:space="preserve"> that </w:t>
      </w:r>
      <w:r w:rsidR="00CD33BE">
        <w:rPr>
          <w:snapToGrid w:val="0"/>
          <w:kern w:val="28"/>
        </w:rPr>
        <w:t xml:space="preserve">Redwire </w:t>
      </w:r>
      <w:r w:rsidR="00754E27">
        <w:rPr>
          <w:snapToGrid w:val="0"/>
          <w:kern w:val="28"/>
        </w:rPr>
        <w:t>“</w:t>
      </w:r>
      <w:r w:rsidR="00133115">
        <w:rPr>
          <w:snapToGrid w:val="0"/>
          <w:kern w:val="28"/>
        </w:rPr>
        <w:t xml:space="preserve">has continuously but unsuccessfully attempted to obtain a letter of credit for its [Auction 903] obligations from the Bank of Oklahoma, and its bank covenants prevent Redwire </w:t>
      </w:r>
      <w:r w:rsidR="00441A12">
        <w:rPr>
          <w:snapToGrid w:val="0"/>
          <w:kern w:val="28"/>
        </w:rPr>
        <w:t>from obtaining a letter of credit from a bank other than the Bank of Oklahoma.</w:t>
      </w:r>
      <w:r w:rsidR="007E1B05">
        <w:rPr>
          <w:snapToGrid w:val="0"/>
          <w:kern w:val="28"/>
        </w:rPr>
        <w:t>”</w:t>
      </w:r>
      <w:r>
        <w:rPr>
          <w:rStyle w:val="FootnoteReference"/>
          <w:snapToGrid w:val="0"/>
          <w:kern w:val="28"/>
        </w:rPr>
        <w:footnoteReference w:id="66"/>
      </w:r>
      <w:r w:rsidR="009609D2">
        <w:rPr>
          <w:snapToGrid w:val="0"/>
          <w:kern w:val="28"/>
        </w:rPr>
        <w:t xml:space="preserve">  </w:t>
      </w:r>
      <w:r w:rsidR="009E0DD3">
        <w:rPr>
          <w:snapToGrid w:val="0"/>
          <w:kern w:val="28"/>
        </w:rPr>
        <w:t xml:space="preserve">There is nothing in the record that suggests these conditions have changed. </w:t>
      </w:r>
    </w:p>
    <w:p w:rsidR="00073D9E" w:rsidRPr="00073D9E" w:rsidP="00073D9E" w14:paraId="0C0343DC" w14:textId="77777777">
      <w:pPr>
        <w:autoSpaceDE w:val="0"/>
        <w:autoSpaceDN w:val="0"/>
        <w:adjustRightInd w:val="0"/>
        <w:spacing w:after="120"/>
        <w:ind w:firstLine="720"/>
        <w:rPr>
          <w:snapToGrid w:val="0"/>
          <w:kern w:val="28"/>
        </w:rPr>
      </w:pPr>
      <w:r>
        <w:rPr>
          <w:snapToGrid w:val="0"/>
          <w:kern w:val="28"/>
        </w:rPr>
        <w:t>Moreover</w:t>
      </w:r>
      <w:r w:rsidRPr="00073D9E">
        <w:rPr>
          <w:snapToGrid w:val="0"/>
          <w:kern w:val="28"/>
        </w:rPr>
        <w:t>, we find that it serves the public interest to grant the waiver in these limited circumstances for all of the reasons we</w:t>
      </w:r>
      <w:r>
        <w:rPr>
          <w:snapToGrid w:val="0"/>
          <w:kern w:val="28"/>
        </w:rPr>
        <w:t xml:space="preserve"> </w:t>
      </w:r>
      <w:r w:rsidRPr="00073D9E">
        <w:rPr>
          <w:snapToGrid w:val="0"/>
          <w:kern w:val="28"/>
        </w:rPr>
        <w:t xml:space="preserve">articulated </w:t>
      </w:r>
      <w:r>
        <w:rPr>
          <w:snapToGrid w:val="0"/>
          <w:kern w:val="28"/>
        </w:rPr>
        <w:t xml:space="preserve">above </w:t>
      </w:r>
      <w:r w:rsidRPr="00073D9E">
        <w:rPr>
          <w:snapToGrid w:val="0"/>
          <w:kern w:val="28"/>
        </w:rPr>
        <w:t xml:space="preserve">regarding the transfer of the section 214 authorization.  </w:t>
      </w:r>
      <w:r w:rsidRPr="00073D9E">
        <w:rPr>
          <w:snapToGrid w:val="0"/>
          <w:kern w:val="28"/>
        </w:rPr>
        <w:t xml:space="preserve">AtLink </w:t>
      </w:r>
      <w:r>
        <w:rPr>
          <w:snapToGrid w:val="0"/>
          <w:kern w:val="28"/>
        </w:rPr>
        <w:t xml:space="preserve">has </w:t>
      </w:r>
      <w:r w:rsidRPr="00073D9E">
        <w:rPr>
          <w:snapToGrid w:val="0"/>
          <w:kern w:val="28"/>
        </w:rPr>
        <w:t>committed to take on Redwire’s Auction 903 obligations in the Assigned Census Blocks</w:t>
      </w:r>
      <w:r>
        <w:rPr>
          <w:snapToGrid w:val="0"/>
          <w:kern w:val="28"/>
        </w:rPr>
        <w:t xml:space="preserve"> and </w:t>
      </w:r>
      <w:r w:rsidR="00031543">
        <w:rPr>
          <w:snapToGrid w:val="0"/>
          <w:kern w:val="28"/>
        </w:rPr>
        <w:t xml:space="preserve">to </w:t>
      </w:r>
      <w:r>
        <w:rPr>
          <w:snapToGrid w:val="0"/>
          <w:kern w:val="28"/>
        </w:rPr>
        <w:t xml:space="preserve">serve </w:t>
      </w:r>
      <w:r w:rsidR="00031543">
        <w:rPr>
          <w:snapToGrid w:val="0"/>
          <w:kern w:val="28"/>
        </w:rPr>
        <w:t>100</w:t>
      </w:r>
      <w:r w:rsidR="000C3830">
        <w:rPr>
          <w:snapToGrid w:val="0"/>
          <w:kern w:val="28"/>
        </w:rPr>
        <w:t>%</w:t>
      </w:r>
      <w:r w:rsidR="00031543">
        <w:rPr>
          <w:snapToGrid w:val="0"/>
          <w:kern w:val="28"/>
        </w:rPr>
        <w:t xml:space="preserve"> of the</w:t>
      </w:r>
      <w:r>
        <w:rPr>
          <w:snapToGrid w:val="0"/>
          <w:kern w:val="28"/>
        </w:rPr>
        <w:t xml:space="preserve"> required locations by the </w:t>
      </w:r>
      <w:r w:rsidR="00FA014E">
        <w:rPr>
          <w:snapToGrid w:val="0"/>
          <w:kern w:val="28"/>
        </w:rPr>
        <w:t>2025 deadline</w:t>
      </w:r>
      <w:r w:rsidRPr="00073D9E">
        <w:rPr>
          <w:snapToGrid w:val="0"/>
          <w:kern w:val="28"/>
        </w:rPr>
        <w:t xml:space="preserve">, and absent this waiver, </w:t>
      </w:r>
      <w:r w:rsidRPr="00073D9E">
        <w:rPr>
          <w:snapToGrid w:val="0"/>
          <w:color w:val="000000"/>
          <w:kern w:val="28"/>
          <w:szCs w:val="22"/>
        </w:rPr>
        <w:t>it is likely that the locations in the Assigned Census Blocks would remain unserved</w:t>
      </w:r>
      <w:r w:rsidRPr="00073D9E">
        <w:rPr>
          <w:snapToGrid w:val="0"/>
          <w:kern w:val="28"/>
        </w:rPr>
        <w:t>.</w:t>
      </w:r>
      <w:r>
        <w:rPr>
          <w:snapToGrid w:val="0"/>
          <w:kern w:val="28"/>
          <w:vertAlign w:val="superscript"/>
        </w:rPr>
        <w:footnoteReference w:id="67"/>
      </w:r>
      <w:r w:rsidRPr="00073D9E">
        <w:rPr>
          <w:snapToGrid w:val="0"/>
          <w:kern w:val="28"/>
        </w:rPr>
        <w:t xml:space="preserve">  </w:t>
      </w:r>
      <w:r w:rsidR="00FA014E">
        <w:rPr>
          <w:snapToGrid w:val="0"/>
          <w:kern w:val="28"/>
        </w:rPr>
        <w:t xml:space="preserve">Accordingly, </w:t>
      </w:r>
      <w:r w:rsidR="005332C2">
        <w:rPr>
          <w:snapToGrid w:val="0"/>
          <w:kern w:val="28"/>
        </w:rPr>
        <w:t xml:space="preserve">with respect to the Assigned Census Blocks, </w:t>
      </w:r>
      <w:r w:rsidR="00FA014E">
        <w:rPr>
          <w:snapToGrid w:val="0"/>
          <w:kern w:val="28"/>
        </w:rPr>
        <w:t xml:space="preserve">we find good cause to </w:t>
      </w:r>
      <w:r w:rsidR="00CA407C">
        <w:rPr>
          <w:snapToGrid w:val="0"/>
          <w:kern w:val="28"/>
        </w:rPr>
        <w:t>continue the conditional waiver granted in the</w:t>
      </w:r>
      <w:r w:rsidR="00FA014E">
        <w:rPr>
          <w:snapToGrid w:val="0"/>
          <w:kern w:val="28"/>
        </w:rPr>
        <w:t xml:space="preserve"> </w:t>
      </w:r>
      <w:r w:rsidRPr="00CD5BCC" w:rsidR="001E78F8">
        <w:rPr>
          <w:i/>
          <w:iCs/>
          <w:snapToGrid w:val="0"/>
          <w:kern w:val="28"/>
        </w:rPr>
        <w:t>Redwire</w:t>
      </w:r>
      <w:r w:rsidR="001E78F8">
        <w:rPr>
          <w:snapToGrid w:val="0"/>
          <w:kern w:val="28"/>
        </w:rPr>
        <w:t xml:space="preserve"> </w:t>
      </w:r>
      <w:r w:rsidRPr="00CD5BCC" w:rsidR="004E104C">
        <w:rPr>
          <w:i/>
          <w:iCs/>
          <w:snapToGrid w:val="0"/>
          <w:kern w:val="28"/>
        </w:rPr>
        <w:t>Second Waiver Order</w:t>
      </w:r>
      <w:r w:rsidR="004E104C">
        <w:rPr>
          <w:snapToGrid w:val="0"/>
          <w:kern w:val="28"/>
        </w:rPr>
        <w:t xml:space="preserve"> </w:t>
      </w:r>
      <w:r w:rsidRPr="00CD5BCC" w:rsidR="00CA407C">
        <w:rPr>
          <w:i/>
          <w:iCs/>
          <w:snapToGrid w:val="0"/>
          <w:kern w:val="28"/>
        </w:rPr>
        <w:t>nunc pro tunc</w:t>
      </w:r>
      <w:r w:rsidR="00CA407C">
        <w:rPr>
          <w:snapToGrid w:val="0"/>
          <w:kern w:val="28"/>
        </w:rPr>
        <w:t xml:space="preserve"> so that Redwire and Atlink can consummate their transaction for the </w:t>
      </w:r>
      <w:r w:rsidR="00235483">
        <w:rPr>
          <w:snapToGrid w:val="0"/>
          <w:kern w:val="28"/>
        </w:rPr>
        <w:t>A</w:t>
      </w:r>
      <w:r w:rsidR="00CA407C">
        <w:rPr>
          <w:snapToGrid w:val="0"/>
          <w:kern w:val="28"/>
        </w:rPr>
        <w:t xml:space="preserve">ssigned </w:t>
      </w:r>
      <w:r w:rsidR="00235483">
        <w:rPr>
          <w:snapToGrid w:val="0"/>
          <w:kern w:val="28"/>
        </w:rPr>
        <w:t>C</w:t>
      </w:r>
      <w:r w:rsidR="00CA407C">
        <w:rPr>
          <w:snapToGrid w:val="0"/>
          <w:kern w:val="28"/>
        </w:rPr>
        <w:t xml:space="preserve">ensus </w:t>
      </w:r>
      <w:r w:rsidR="00235483">
        <w:rPr>
          <w:snapToGrid w:val="0"/>
          <w:kern w:val="28"/>
        </w:rPr>
        <w:t>B</w:t>
      </w:r>
      <w:r w:rsidR="00CA407C">
        <w:rPr>
          <w:snapToGrid w:val="0"/>
          <w:kern w:val="28"/>
        </w:rPr>
        <w:t>locks</w:t>
      </w:r>
      <w:r w:rsidR="004E104C">
        <w:rPr>
          <w:snapToGrid w:val="0"/>
          <w:kern w:val="28"/>
        </w:rPr>
        <w:t>.</w:t>
      </w:r>
    </w:p>
    <w:p w:rsidR="00073D9E" w:rsidRPr="00073D9E" w:rsidP="00073D9E" w14:paraId="744F14D4" w14:textId="77777777">
      <w:pPr>
        <w:autoSpaceDE w:val="0"/>
        <w:autoSpaceDN w:val="0"/>
        <w:adjustRightInd w:val="0"/>
        <w:spacing w:after="120"/>
        <w:ind w:firstLine="720"/>
        <w:rPr>
          <w:snapToGrid w:val="0"/>
          <w:kern w:val="28"/>
        </w:rPr>
      </w:pPr>
      <w:r w:rsidRPr="00073D9E">
        <w:rPr>
          <w:snapToGrid w:val="0"/>
          <w:kern w:val="28"/>
        </w:rPr>
        <w:t xml:space="preserve">We emphasize that all other conditions of the </w:t>
      </w:r>
      <w:r w:rsidRPr="00073D9E">
        <w:rPr>
          <w:i/>
          <w:iCs/>
          <w:snapToGrid w:val="0"/>
          <w:kern w:val="28"/>
        </w:rPr>
        <w:t>Redwire Second Waiver Order</w:t>
      </w:r>
      <w:r w:rsidRPr="00073D9E">
        <w:rPr>
          <w:snapToGrid w:val="0"/>
          <w:kern w:val="28"/>
        </w:rPr>
        <w:t xml:space="preserve"> remain in effect, including the requirement that AtLink obtain the necessary regulatory approvals, including ETC designation </w:t>
      </w:r>
      <w:r w:rsidRPr="00073D9E">
        <w:rPr>
          <w:szCs w:val="22"/>
        </w:rPr>
        <w:t>from the Oklahoma Corporation Commission for the Assigned Census Blocks,</w:t>
      </w:r>
      <w:r w:rsidRPr="00073D9E">
        <w:rPr>
          <w:snapToGrid w:val="0"/>
          <w:kern w:val="28"/>
        </w:rPr>
        <w:t xml:space="preserve"> and submit a</w:t>
      </w:r>
      <w:r w:rsidR="002B0A73">
        <w:rPr>
          <w:snapToGrid w:val="0"/>
          <w:kern w:val="28"/>
        </w:rPr>
        <w:t>n irrevocable</w:t>
      </w:r>
      <w:r w:rsidRPr="00073D9E">
        <w:rPr>
          <w:snapToGrid w:val="0"/>
          <w:kern w:val="28"/>
        </w:rPr>
        <w:t xml:space="preserve"> letter of credit and bankruptcy opinion letter to USAC meeting the Commission’s requirements by September 2, 2022 and prior to receiving any previously disbursed or future Auction 903 support for the Assigned Census Blocks.</w:t>
      </w:r>
      <w:r>
        <w:rPr>
          <w:snapToGrid w:val="0"/>
          <w:kern w:val="28"/>
          <w:vertAlign w:val="superscript"/>
        </w:rPr>
        <w:footnoteReference w:id="68"/>
      </w:r>
    </w:p>
    <w:p w:rsidR="00073D9E" w:rsidP="00073D9E" w14:paraId="18DEF4EA" w14:textId="77777777">
      <w:pPr>
        <w:keepNext/>
        <w:widowControl w:val="0"/>
        <w:numPr>
          <w:ilvl w:val="0"/>
          <w:numId w:val="28"/>
        </w:numPr>
        <w:autoSpaceDE w:val="0"/>
        <w:autoSpaceDN w:val="0"/>
        <w:adjustRightInd w:val="0"/>
        <w:spacing w:after="120"/>
        <w:contextualSpacing/>
        <w:rPr>
          <w:b/>
          <w:u w:val="single"/>
        </w:rPr>
      </w:pPr>
      <w:r w:rsidRPr="00073D9E">
        <w:rPr>
          <w:b/>
          <w:u w:val="single"/>
        </w:rPr>
        <w:t>Grant of Service Milestones Waiver Request</w:t>
      </w:r>
      <w:r w:rsidR="000C3830">
        <w:rPr>
          <w:b/>
          <w:u w:val="single"/>
        </w:rPr>
        <w:t xml:space="preserve"> in the Assigned Census Blocks</w:t>
      </w:r>
    </w:p>
    <w:p w:rsidR="00073D9E" w:rsidRPr="00073D9E" w:rsidP="00073D9E" w14:paraId="3C667E10" w14:textId="77777777">
      <w:pPr>
        <w:keepNext/>
        <w:widowControl w:val="0"/>
        <w:autoSpaceDE w:val="0"/>
        <w:autoSpaceDN w:val="0"/>
        <w:adjustRightInd w:val="0"/>
        <w:spacing w:after="120"/>
        <w:ind w:left="720"/>
        <w:contextualSpacing/>
        <w:rPr>
          <w:b/>
          <w:u w:val="single"/>
        </w:rPr>
      </w:pPr>
    </w:p>
    <w:p w:rsidR="00073D9E" w:rsidRPr="00073D9E" w:rsidP="00073D9E" w14:paraId="42FF0979" w14:textId="77777777">
      <w:pPr>
        <w:autoSpaceDE w:val="0"/>
        <w:autoSpaceDN w:val="0"/>
        <w:adjustRightInd w:val="0"/>
        <w:spacing w:after="120"/>
        <w:ind w:firstLine="720"/>
        <w:rPr>
          <w:snapToGrid w:val="0"/>
          <w:kern w:val="28"/>
        </w:rPr>
      </w:pPr>
      <w:r w:rsidRPr="00073D9E">
        <w:t xml:space="preserve">We also find good cause to grant the Applicants’ request for waiver of Redwire’s current requirement to “deploy service to 40 percent of locations in its CAF-supported census blocks by the </w:t>
      </w:r>
      <w:r w:rsidRPr="00073D9E">
        <w:t xml:space="preserve">end of this year and to 60 percent of its CAF-supported census </w:t>
      </w:r>
      <w:r w:rsidR="00E13277">
        <w:t xml:space="preserve">[blocks] </w:t>
      </w:r>
      <w:r w:rsidRPr="00073D9E">
        <w:t>by December 31, 2023.”</w:t>
      </w:r>
      <w:r>
        <w:rPr>
          <w:vertAlign w:val="superscript"/>
        </w:rPr>
        <w:footnoteReference w:id="69"/>
      </w:r>
      <w:r w:rsidRPr="00073D9E">
        <w:t xml:space="preserve">  Applicants state that, post-consummation of the proposed transaction, AtLink would have less than a year to meet the 40% service milestone and </w:t>
      </w:r>
      <w:r w:rsidRPr="00073D9E">
        <w:rPr>
          <w:snapToGrid w:val="0"/>
          <w:kern w:val="28"/>
        </w:rPr>
        <w:t>less</w:t>
      </w:r>
      <w:r w:rsidRPr="00073D9E">
        <w:t xml:space="preserve"> than two years to meet the 60% service milestone, </w:t>
      </w:r>
      <w:r w:rsidR="00E73E95">
        <w:t>and would</w:t>
      </w:r>
      <w:r w:rsidRPr="00073D9E">
        <w:t xml:space="preserve"> not be able to meet</w:t>
      </w:r>
      <w:r w:rsidR="00E73E95">
        <w:t xml:space="preserve"> those milestones</w:t>
      </w:r>
      <w:r w:rsidRPr="00073D9E">
        <w:t>.</w:t>
      </w:r>
      <w:r>
        <w:rPr>
          <w:vertAlign w:val="superscript"/>
        </w:rPr>
        <w:footnoteReference w:id="70"/>
      </w:r>
      <w:r w:rsidRPr="00073D9E">
        <w:t xml:space="preserve">  Applicants further state that a grant of the waiver is “a condition to consummation of AtLink’s acquisition and assumption of Redwire’s CAF obligations in the Assigned Census Blocks.”</w:t>
      </w:r>
      <w:r>
        <w:rPr>
          <w:vertAlign w:val="superscript"/>
        </w:rPr>
        <w:footnoteReference w:id="71"/>
      </w:r>
      <w:r w:rsidRPr="00073D9E">
        <w:t xml:space="preserve">  Applicants assert that, absent a grant of the waiver, Oklahomans, including Tribal members, would continue to lack access to broadband services, contrary to the Commission’s goals.</w:t>
      </w:r>
      <w:r>
        <w:rPr>
          <w:vertAlign w:val="superscript"/>
        </w:rPr>
        <w:footnoteReference w:id="72"/>
      </w:r>
      <w:r w:rsidRPr="00073D9E">
        <w:t xml:space="preserve">  Applicants maintain that granting the waiver is in the public interest because AtLink: 1) has the “technical, managerial and operational expertise” to construct the network; 2) has a track record of meeting its own CAF obligations, and 3) will “meet the ultimate requirement to serve 100 percent of the locations by the end of 2025</w:t>
      </w:r>
      <w:r w:rsidRPr="00073D9E">
        <w:rPr>
          <w:szCs w:val="22"/>
        </w:rPr>
        <w:t>”</w:t>
      </w:r>
      <w:r w:rsidR="002412E0">
        <w:rPr>
          <w:szCs w:val="22"/>
        </w:rPr>
        <w:t xml:space="preserve"> </w:t>
      </w:r>
      <w:r w:rsidRPr="00073D9E">
        <w:rPr>
          <w:szCs w:val="22"/>
        </w:rPr>
        <w:t xml:space="preserve">that is </w:t>
      </w:r>
      <w:r w:rsidR="00023238">
        <w:rPr>
          <w:szCs w:val="22"/>
        </w:rPr>
        <w:t>placed on</w:t>
      </w:r>
      <w:r w:rsidRPr="00073D9E">
        <w:rPr>
          <w:szCs w:val="22"/>
        </w:rPr>
        <w:t xml:space="preserve"> all Auction 903 support recipients.</w:t>
      </w:r>
      <w:r>
        <w:rPr>
          <w:szCs w:val="22"/>
          <w:vertAlign w:val="superscript"/>
        </w:rPr>
        <w:footnoteReference w:id="73"/>
      </w:r>
    </w:p>
    <w:p w:rsidR="0083574A" w:rsidP="00073D9E" w14:paraId="4D1B42BE" w14:textId="77777777">
      <w:pPr>
        <w:spacing w:after="120"/>
        <w:rPr>
          <w:snapToGrid w:val="0"/>
          <w:kern w:val="28"/>
        </w:rPr>
      </w:pPr>
      <w:r w:rsidRPr="00073D9E">
        <w:rPr>
          <w:snapToGrid w:val="0"/>
          <w:kern w:val="28"/>
        </w:rPr>
        <w:tab/>
        <w:t xml:space="preserve">We conclude that special circumstances warrant </w:t>
      </w:r>
      <w:r w:rsidR="00023238">
        <w:rPr>
          <w:snapToGrid w:val="0"/>
          <w:kern w:val="28"/>
        </w:rPr>
        <w:t>waiver of</w:t>
      </w:r>
      <w:r w:rsidRPr="00073D9E">
        <w:rPr>
          <w:snapToGrid w:val="0"/>
          <w:kern w:val="28"/>
        </w:rPr>
        <w:t xml:space="preserve"> the 40% and 60% Auction 903 service milestones for the Assigned Census Blocks.  While the Commission has indicated that it does “not expect to routinely grant waiver requests” of service milestones, it</w:t>
      </w:r>
      <w:r w:rsidR="002412E0">
        <w:rPr>
          <w:snapToGrid w:val="0"/>
          <w:kern w:val="28"/>
        </w:rPr>
        <w:t xml:space="preserve"> </w:t>
      </w:r>
      <w:r w:rsidRPr="00073D9E">
        <w:rPr>
          <w:snapToGrid w:val="0"/>
          <w:kern w:val="28"/>
        </w:rPr>
        <w:t>stated that “unique situations” could be addressed “through the waiver process where specific circumstances justify additional flexibility.”</w:t>
      </w:r>
      <w:r>
        <w:rPr>
          <w:snapToGrid w:val="0"/>
          <w:kern w:val="28"/>
          <w:vertAlign w:val="superscript"/>
        </w:rPr>
        <w:footnoteReference w:id="74"/>
      </w:r>
      <w:r w:rsidRPr="00073D9E">
        <w:rPr>
          <w:snapToGrid w:val="0"/>
          <w:kern w:val="28"/>
        </w:rPr>
        <w:t xml:space="preserve">  </w:t>
      </w:r>
      <w:r w:rsidRPr="0557A346">
        <w:rPr>
          <w:snapToGrid w:val="0"/>
          <w:kern w:val="28"/>
        </w:rPr>
        <w:t>Given</w:t>
      </w:r>
      <w:r w:rsidRPr="00073D9E">
        <w:rPr>
          <w:snapToGrid w:val="0"/>
          <w:kern w:val="28"/>
        </w:rPr>
        <w:t xml:space="preserve"> the timing of this transaction, AtLink will have less than one year to meet the 40% service milestone and less than two years to meet the 60% service milestone.</w:t>
      </w:r>
      <w:r>
        <w:rPr>
          <w:snapToGrid w:val="0"/>
          <w:kern w:val="28"/>
          <w:vertAlign w:val="superscript"/>
        </w:rPr>
        <w:footnoteReference w:id="75"/>
      </w:r>
      <w:r w:rsidRPr="00073D9E">
        <w:rPr>
          <w:snapToGrid w:val="0"/>
          <w:kern w:val="28"/>
        </w:rPr>
        <w:t xml:space="preserve">  Although AtLink explains that it will be able to take advantage of efficiencies to quickly deploy service due to the proximity of the areas at issue to its existing network and its familiarity with the Auction 903 requirements,</w:t>
      </w:r>
      <w:r>
        <w:rPr>
          <w:snapToGrid w:val="0"/>
          <w:kern w:val="28"/>
          <w:vertAlign w:val="superscript"/>
        </w:rPr>
        <w:footnoteReference w:id="76"/>
      </w:r>
      <w:r w:rsidRPr="00073D9E">
        <w:rPr>
          <w:snapToGrid w:val="0"/>
          <w:kern w:val="28"/>
        </w:rPr>
        <w:t xml:space="preserve"> it </w:t>
      </w:r>
      <w:r w:rsidRPr="0557A346">
        <w:rPr>
          <w:snapToGrid w:val="0"/>
          <w:kern w:val="28"/>
        </w:rPr>
        <w:t>indicated</w:t>
      </w:r>
      <w:r w:rsidRPr="00073D9E">
        <w:rPr>
          <w:snapToGrid w:val="0"/>
          <w:kern w:val="28"/>
        </w:rPr>
        <w:t xml:space="preserve"> that it </w:t>
      </w:r>
      <w:r w:rsidR="004E5F8A">
        <w:rPr>
          <w:snapToGrid w:val="0"/>
          <w:kern w:val="28"/>
        </w:rPr>
        <w:t xml:space="preserve">still </w:t>
      </w:r>
      <w:r w:rsidRPr="00073D9E">
        <w:rPr>
          <w:snapToGrid w:val="0"/>
          <w:kern w:val="28"/>
        </w:rPr>
        <w:t>needs more time to deploy service to the number of locations required by the 40% and 60% service milestones.</w:t>
      </w:r>
      <w:r>
        <w:rPr>
          <w:rStyle w:val="FootnoteReference"/>
          <w:snapToGrid w:val="0"/>
          <w:kern w:val="28"/>
        </w:rPr>
        <w:footnoteReference w:id="77"/>
      </w:r>
      <w:r w:rsidRPr="00073D9E">
        <w:rPr>
          <w:snapToGrid w:val="0"/>
          <w:kern w:val="28"/>
        </w:rPr>
        <w:t xml:space="preserve">  </w:t>
      </w:r>
    </w:p>
    <w:p w:rsidR="00073D9E" w:rsidRPr="005C6FCC" w:rsidP="0083574A" w14:paraId="29DC606C" w14:textId="77777777">
      <w:pPr>
        <w:spacing w:after="120"/>
        <w:ind w:firstLine="720"/>
        <w:rPr>
          <w:snapToGrid w:val="0"/>
          <w:kern w:val="28"/>
        </w:rPr>
      </w:pPr>
      <w:r w:rsidRPr="00073D9E">
        <w:rPr>
          <w:snapToGrid w:val="0"/>
          <w:kern w:val="28"/>
        </w:rPr>
        <w:t xml:space="preserve">We find that this situation presents special circumstances because AtLink will have significantly less time to plan and deploy its services than all other Auction 903 recipients.  </w:t>
      </w:r>
      <w:r w:rsidR="00456DFA">
        <w:t>Pursuant</w:t>
      </w:r>
      <w:r w:rsidR="00C5789C">
        <w:t xml:space="preserve"> </w:t>
      </w:r>
      <w:r w:rsidR="00C5789C">
        <w:t xml:space="preserve">to the conditions of the </w:t>
      </w:r>
      <w:r w:rsidRPr="5BB85CC1" w:rsidR="00C5789C">
        <w:rPr>
          <w:i/>
        </w:rPr>
        <w:t>Redwire Second Waiver Order</w:t>
      </w:r>
      <w:r w:rsidR="00C5789C">
        <w:t>, Auction 903 support that has already been disbursed for the Assigned Census Blocks cannot be spent</w:t>
      </w:r>
      <w:r w:rsidR="0083574A">
        <w:t>,</w:t>
      </w:r>
      <w:r w:rsidR="00C5789C">
        <w:t xml:space="preserve"> and all future Auction 903 support payments for the Assigned Census Blocks </w:t>
      </w:r>
      <w:r w:rsidR="00235483">
        <w:t>have been</w:t>
      </w:r>
      <w:r w:rsidR="00C5789C">
        <w:t xml:space="preserve"> suspended until AtLink obtains all the necessary regulatory approvals.</w:t>
      </w:r>
      <w:r>
        <w:rPr>
          <w:rStyle w:val="FootnoteReference"/>
          <w:snapToGrid w:val="0"/>
          <w:kern w:val="28"/>
        </w:rPr>
        <w:footnoteReference w:id="78"/>
      </w:r>
      <w:r w:rsidR="00C5789C">
        <w:t xml:space="preserve">  </w:t>
      </w:r>
      <w:r w:rsidR="00C51D53">
        <w:t>Thus</w:t>
      </w:r>
      <w:r w:rsidR="00B5208C">
        <w:t xml:space="preserve">, </w:t>
      </w:r>
      <w:r w:rsidR="008466D5">
        <w:t>Redwire, a Tribal entity subject to unique banking covenants that prevented it from obtaining a letter of credit,</w:t>
      </w:r>
      <w:r>
        <w:rPr>
          <w:vertAlign w:val="superscript"/>
        </w:rPr>
        <w:footnoteReference w:id="79"/>
      </w:r>
      <w:r w:rsidRPr="00CD5BCC" w:rsidR="008466D5">
        <w:rPr>
          <w:vertAlign w:val="superscript"/>
        </w:rPr>
        <w:t xml:space="preserve"> </w:t>
      </w:r>
      <w:r w:rsidR="005A67B6">
        <w:t>could not</w:t>
      </w:r>
      <w:r w:rsidR="00093E8B">
        <w:t xml:space="preserve"> </w:t>
      </w:r>
      <w:r w:rsidR="004F4F65">
        <w:t xml:space="preserve">use </w:t>
      </w:r>
      <w:r w:rsidR="0083574A">
        <w:t xml:space="preserve">the </w:t>
      </w:r>
      <w:r w:rsidR="00093E8B">
        <w:t>Auction 903 support</w:t>
      </w:r>
      <w:r w:rsidR="004F4F65">
        <w:t xml:space="preserve"> </w:t>
      </w:r>
      <w:r w:rsidR="00D51AC0">
        <w:t xml:space="preserve">that had already been disbursed </w:t>
      </w:r>
      <w:r w:rsidR="004F4F65">
        <w:t xml:space="preserve">to make progress on meeting the service milestones while it was </w:t>
      </w:r>
      <w:r w:rsidR="0083574A">
        <w:t xml:space="preserve">still </w:t>
      </w:r>
      <w:r w:rsidR="004F4F65">
        <w:t>searching for a provider t</w:t>
      </w:r>
      <w:r w:rsidR="00A85707">
        <w:t>hat would assume its Auction</w:t>
      </w:r>
      <w:r w:rsidR="005A67B6">
        <w:t xml:space="preserve"> </w:t>
      </w:r>
      <w:r w:rsidR="00A85707">
        <w:t>903 obligation</w:t>
      </w:r>
      <w:r w:rsidR="00C51D53">
        <w:t>s.</w:t>
      </w:r>
      <w:r>
        <w:rPr>
          <w:vertAlign w:val="superscript"/>
        </w:rPr>
        <w:footnoteReference w:id="80"/>
      </w:r>
      <w:r w:rsidR="00C51D53">
        <w:t xml:space="preserve"> </w:t>
      </w:r>
      <w:r w:rsidR="00CD5BCC">
        <w:t xml:space="preserve"> </w:t>
      </w:r>
      <w:r w:rsidR="00A24DAC">
        <w:t xml:space="preserve">AtLink </w:t>
      </w:r>
      <w:r w:rsidR="00A85707">
        <w:t xml:space="preserve">is similarly </w:t>
      </w:r>
      <w:r w:rsidR="000135E4">
        <w:t>unable to use</w:t>
      </w:r>
      <w:r w:rsidR="00A24DAC">
        <w:t xml:space="preserve"> </w:t>
      </w:r>
      <w:r w:rsidR="0083574A">
        <w:t xml:space="preserve">any </w:t>
      </w:r>
      <w:r w:rsidR="00A24DAC">
        <w:t xml:space="preserve">Auction 903 support </w:t>
      </w:r>
      <w:r w:rsidR="004E500B">
        <w:t xml:space="preserve">for the Assigned Census Blocks </w:t>
      </w:r>
      <w:r w:rsidR="00E35DAC">
        <w:t xml:space="preserve">until </w:t>
      </w:r>
      <w:r w:rsidR="00C51D53">
        <w:t xml:space="preserve">it </w:t>
      </w:r>
      <w:r w:rsidR="00E35DAC">
        <w:t>obtains all</w:t>
      </w:r>
      <w:r w:rsidR="009A6053">
        <w:t xml:space="preserve"> </w:t>
      </w:r>
      <w:r w:rsidR="00E35DAC">
        <w:t>the necessary regulatory approvals</w:t>
      </w:r>
      <w:r w:rsidR="00FC3DFB">
        <w:t>.</w:t>
      </w:r>
      <w:r w:rsidR="00246075">
        <w:t xml:space="preserve"> </w:t>
      </w:r>
      <w:r w:rsidR="00A24DAC">
        <w:t xml:space="preserve"> </w:t>
      </w:r>
      <w:r w:rsidR="00C86674">
        <w:t>Moreover, unlike AtLink, a</w:t>
      </w:r>
      <w:r w:rsidRPr="00073D9E">
        <w:rPr>
          <w:snapToGrid w:val="0"/>
          <w:kern w:val="28"/>
        </w:rPr>
        <w:t>ll</w:t>
      </w:r>
      <w:r>
        <w:t xml:space="preserve"> other Auction 903 support recipients have had the benefit of time to plan and start their deployments while bidding in the auction and completing the long-form application process, along with </w:t>
      </w:r>
      <w:r w:rsidR="0083574A">
        <w:t xml:space="preserve">having </w:t>
      </w:r>
      <w:r>
        <w:t>several years post-authorization before having to meet the first service milestone.</w:t>
      </w:r>
    </w:p>
    <w:p w:rsidR="00073D9E" w:rsidRPr="00073D9E" w:rsidP="00073D9E" w14:paraId="066BCA35" w14:textId="77777777">
      <w:pPr>
        <w:spacing w:after="120"/>
        <w:rPr>
          <w:snapToGrid w:val="0"/>
          <w:kern w:val="28"/>
        </w:rPr>
      </w:pPr>
      <w:r w:rsidRPr="00073D9E">
        <w:rPr>
          <w:snapToGrid w:val="0"/>
          <w:kern w:val="28"/>
        </w:rPr>
        <w:tab/>
        <w:t xml:space="preserve">We find that it serves the public interest to waive the 40% and 60% service milestones.  The </w:t>
      </w:r>
      <w:r w:rsidR="00AA168B">
        <w:rPr>
          <w:snapToGrid w:val="0"/>
          <w:kern w:val="28"/>
        </w:rPr>
        <w:t>A</w:t>
      </w:r>
      <w:r w:rsidRPr="00073D9E">
        <w:rPr>
          <w:snapToGrid w:val="0"/>
          <w:kern w:val="28"/>
        </w:rPr>
        <w:t xml:space="preserve">pplicants explain that </w:t>
      </w:r>
      <w:r w:rsidR="00AA168B">
        <w:rPr>
          <w:snapToGrid w:val="0"/>
          <w:kern w:val="28"/>
        </w:rPr>
        <w:t xml:space="preserve">a </w:t>
      </w:r>
      <w:r w:rsidRPr="00073D9E">
        <w:rPr>
          <w:snapToGrid w:val="0"/>
          <w:kern w:val="28"/>
        </w:rPr>
        <w:t>waiver of these service milestones is a condition to this transaction, and we found that this transaction will serve the public interest.</w:t>
      </w:r>
      <w:r>
        <w:rPr>
          <w:snapToGrid w:val="0"/>
          <w:kern w:val="28"/>
          <w:vertAlign w:val="superscript"/>
        </w:rPr>
        <w:footnoteReference w:id="81"/>
      </w:r>
      <w:r w:rsidRPr="00073D9E">
        <w:rPr>
          <w:snapToGrid w:val="0"/>
          <w:kern w:val="28"/>
        </w:rPr>
        <w:t xml:space="preserve">  Moreover, AtLink committed to meet the 80% and 100% service milestones that apply to all other Auction 903 support recipients.  While service may be delayed initially in some areas due to this waiver, ultimately all the requisite locations will be offered the required services by the final service milestone that applies to all Auction 903 support recipients.  On balance, we conclude that </w:t>
      </w:r>
      <w:r w:rsidR="000374E6">
        <w:rPr>
          <w:snapToGrid w:val="0"/>
          <w:kern w:val="28"/>
        </w:rPr>
        <w:t xml:space="preserve">the </w:t>
      </w:r>
      <w:r w:rsidRPr="00073D9E">
        <w:rPr>
          <w:snapToGrid w:val="0"/>
          <w:kern w:val="28"/>
        </w:rPr>
        <w:t xml:space="preserve">benefit of having a qualified service provider commit to deploy service efficiently to all the required locations in these areas outweighs the disadvantage of the initial delay in service to some locations, particularly given the risk that these areas may remain unserved for an even longer period of time if </w:t>
      </w:r>
      <w:r w:rsidR="00CD797A">
        <w:rPr>
          <w:snapToGrid w:val="0"/>
          <w:kern w:val="28"/>
        </w:rPr>
        <w:t xml:space="preserve">our failure to grant a waiver were to jeopardize the transaction between </w:t>
      </w:r>
      <w:r w:rsidR="001C2156">
        <w:rPr>
          <w:snapToGrid w:val="0"/>
          <w:kern w:val="28"/>
        </w:rPr>
        <w:t>Redwire and AtL</w:t>
      </w:r>
      <w:r w:rsidR="008B4C3C">
        <w:rPr>
          <w:snapToGrid w:val="0"/>
          <w:kern w:val="28"/>
        </w:rPr>
        <w:t>i</w:t>
      </w:r>
      <w:r w:rsidR="001C2156">
        <w:rPr>
          <w:snapToGrid w:val="0"/>
          <w:kern w:val="28"/>
        </w:rPr>
        <w:t>nk</w:t>
      </w:r>
      <w:r w:rsidRPr="00073D9E">
        <w:rPr>
          <w:snapToGrid w:val="0"/>
          <w:kern w:val="28"/>
        </w:rPr>
        <w:t xml:space="preserve">. </w:t>
      </w:r>
    </w:p>
    <w:p w:rsidR="00073D9E" w:rsidRPr="00073D9E" w:rsidP="00073D9E" w14:paraId="703904DB" w14:textId="77777777">
      <w:pPr>
        <w:spacing w:after="120"/>
      </w:pPr>
      <w:r w:rsidRPr="00073D9E">
        <w:rPr>
          <w:snapToGrid w:val="0"/>
          <w:kern w:val="28"/>
        </w:rPr>
        <w:tab/>
        <w:t>We direct AtLink to keep the Bureau apprised of its progress in meeting the 80% service milestone for the Assigned Census Blocks.  Specifically, within six months of the release of this Public Notice and on every March 1</w:t>
      </w:r>
      <w:r w:rsidRPr="00073D9E">
        <w:rPr>
          <w:snapToGrid w:val="0"/>
          <w:kern w:val="28"/>
          <w:vertAlign w:val="superscript"/>
        </w:rPr>
        <w:t>st</w:t>
      </w:r>
      <w:r w:rsidRPr="00073D9E">
        <w:rPr>
          <w:snapToGrid w:val="0"/>
          <w:kern w:val="28"/>
        </w:rPr>
        <w:t xml:space="preserve"> thereafter, AtLink must file a report in </w:t>
      </w:r>
      <w:r w:rsidR="001F7626">
        <w:rPr>
          <w:snapToGrid w:val="0"/>
          <w:kern w:val="28"/>
        </w:rPr>
        <w:t xml:space="preserve">AU </w:t>
      </w:r>
      <w:r w:rsidRPr="00073D9E">
        <w:rPr>
          <w:snapToGrid w:val="0"/>
          <w:kern w:val="28"/>
        </w:rPr>
        <w:t xml:space="preserve">Docket </w:t>
      </w:r>
      <w:r w:rsidR="001F7626">
        <w:rPr>
          <w:snapToGrid w:val="0"/>
          <w:kern w:val="28"/>
        </w:rPr>
        <w:t xml:space="preserve">No. </w:t>
      </w:r>
      <w:r w:rsidRPr="00073D9E">
        <w:rPr>
          <w:snapToGrid w:val="0"/>
          <w:kern w:val="28"/>
        </w:rPr>
        <w:t>17</w:t>
      </w:r>
      <w:r w:rsidRPr="00073D9E">
        <w:rPr>
          <w:snapToGrid w:val="0"/>
          <w:kern w:val="28"/>
        </w:rPr>
        <w:noBreakHyphen/>
        <w:t>182 detailing its efforts to meet the 80% service milestone until it certifies that the 80% service milestone has been met for the Assigned Census Blocks.  AtLink will not have to meet a service milestone in these areas until December 31, 2024, and we conclude that it serves the public interest to require AtLink to provide an annual update on its progress until the 80% service milestone has been met so we have some visibility into how the Auction 90</w:t>
      </w:r>
      <w:r w:rsidR="002412E0">
        <w:rPr>
          <w:snapToGrid w:val="0"/>
          <w:kern w:val="28"/>
        </w:rPr>
        <w:t>3</w:t>
      </w:r>
      <w:r w:rsidRPr="00073D9E">
        <w:rPr>
          <w:snapToGrid w:val="0"/>
          <w:kern w:val="28"/>
        </w:rPr>
        <w:t xml:space="preserve"> support is being spent.  As stewards of the public’s funding, it is our responsibility to implement safeguards to ensure that Auction 903 funds are being used for their intended purpose.  </w:t>
      </w:r>
    </w:p>
    <w:p w:rsidR="00073D9E" w:rsidRPr="00036417" w:rsidP="00073D9E" w14:paraId="567C28D6" w14:textId="77777777">
      <w:pPr>
        <w:keepNext/>
        <w:widowControl w:val="0"/>
        <w:numPr>
          <w:ilvl w:val="0"/>
          <w:numId w:val="28"/>
        </w:numPr>
        <w:autoSpaceDE w:val="0"/>
        <w:autoSpaceDN w:val="0"/>
        <w:adjustRightInd w:val="0"/>
        <w:spacing w:after="120"/>
        <w:contextualSpacing/>
        <w:rPr>
          <w:b/>
          <w:bCs/>
          <w:snapToGrid w:val="0"/>
          <w:kern w:val="28"/>
          <w:u w:val="single"/>
        </w:rPr>
      </w:pPr>
      <w:r w:rsidRPr="00073D9E">
        <w:rPr>
          <w:b/>
          <w:bCs/>
          <w:snapToGrid w:val="0"/>
          <w:kern w:val="28"/>
          <w:u w:val="single"/>
        </w:rPr>
        <w:t xml:space="preserve">Denial of Redwire’s </w:t>
      </w:r>
      <w:r w:rsidR="00EA1005">
        <w:rPr>
          <w:b/>
          <w:bCs/>
          <w:snapToGrid w:val="0"/>
          <w:kern w:val="28"/>
          <w:u w:val="single"/>
        </w:rPr>
        <w:t>December 1, 2021</w:t>
      </w:r>
      <w:r w:rsidR="00730484">
        <w:rPr>
          <w:b/>
          <w:bCs/>
          <w:snapToGrid w:val="0"/>
          <w:kern w:val="28"/>
          <w:u w:val="single"/>
        </w:rPr>
        <w:t xml:space="preserve">, </w:t>
      </w:r>
      <w:r w:rsidRPr="00073D9E">
        <w:rPr>
          <w:b/>
          <w:bCs/>
          <w:snapToGrid w:val="0"/>
          <w:kern w:val="28"/>
          <w:u w:val="single"/>
        </w:rPr>
        <w:t>January 31, 2022</w:t>
      </w:r>
      <w:r w:rsidR="00730484">
        <w:rPr>
          <w:b/>
          <w:bCs/>
          <w:snapToGrid w:val="0"/>
          <w:kern w:val="28"/>
          <w:u w:val="single"/>
        </w:rPr>
        <w:t>, and June 1, 2022</w:t>
      </w:r>
      <w:r w:rsidRPr="00073D9E">
        <w:rPr>
          <w:b/>
          <w:bCs/>
          <w:snapToGrid w:val="0"/>
          <w:kern w:val="28"/>
          <w:u w:val="single"/>
        </w:rPr>
        <w:t xml:space="preserve"> Continuing Waiver Request</w:t>
      </w:r>
      <w:r w:rsidR="00EA1005">
        <w:rPr>
          <w:b/>
          <w:bCs/>
          <w:snapToGrid w:val="0"/>
          <w:kern w:val="28"/>
          <w:u w:val="single"/>
        </w:rPr>
        <w:t>s</w:t>
      </w:r>
      <w:r w:rsidRPr="00073D9E">
        <w:rPr>
          <w:b/>
          <w:bCs/>
          <w:snapToGrid w:val="0"/>
          <w:kern w:val="28"/>
          <w:u w:val="single"/>
        </w:rPr>
        <w:t xml:space="preserve"> for Its Remaining Auction 903 Census Blocks</w:t>
      </w:r>
      <w:r w:rsidRPr="00036417" w:rsidR="00AB06DB">
        <w:rPr>
          <w:b/>
          <w:bCs/>
          <w:snapToGrid w:val="0"/>
          <w:kern w:val="28"/>
          <w:u w:val="single"/>
        </w:rPr>
        <w:t xml:space="preserve"> and Revocation of </w:t>
      </w:r>
      <w:r w:rsidR="00AA168B">
        <w:rPr>
          <w:b/>
          <w:bCs/>
          <w:snapToGrid w:val="0"/>
          <w:kern w:val="28"/>
          <w:u w:val="single"/>
        </w:rPr>
        <w:t xml:space="preserve">the </w:t>
      </w:r>
      <w:r w:rsidRPr="00036417" w:rsidR="00AB06DB">
        <w:rPr>
          <w:b/>
          <w:bCs/>
          <w:snapToGrid w:val="0"/>
          <w:kern w:val="28"/>
          <w:u w:val="single"/>
        </w:rPr>
        <w:t xml:space="preserve">Conditional Waiver for </w:t>
      </w:r>
      <w:r w:rsidR="00AA168B">
        <w:rPr>
          <w:b/>
          <w:bCs/>
          <w:snapToGrid w:val="0"/>
          <w:kern w:val="28"/>
          <w:u w:val="single"/>
        </w:rPr>
        <w:t xml:space="preserve">the </w:t>
      </w:r>
      <w:r w:rsidRPr="00036417" w:rsidR="00AB06DB">
        <w:rPr>
          <w:b/>
          <w:bCs/>
          <w:snapToGrid w:val="0"/>
          <w:kern w:val="28"/>
          <w:u w:val="single"/>
        </w:rPr>
        <w:t>Remaining Census Blocks</w:t>
      </w:r>
    </w:p>
    <w:p w:rsidR="00073D9E" w:rsidRPr="00073D9E" w:rsidP="00073D9E" w14:paraId="74378D81" w14:textId="77777777">
      <w:pPr>
        <w:keepNext/>
        <w:widowControl w:val="0"/>
        <w:autoSpaceDE w:val="0"/>
        <w:autoSpaceDN w:val="0"/>
        <w:adjustRightInd w:val="0"/>
        <w:spacing w:after="120"/>
        <w:ind w:left="720"/>
        <w:contextualSpacing/>
        <w:rPr>
          <w:b/>
          <w:bCs/>
          <w:snapToGrid w:val="0"/>
          <w:kern w:val="28"/>
        </w:rPr>
      </w:pPr>
    </w:p>
    <w:p w:rsidR="00073D9E" w:rsidRPr="00073D9E" w:rsidP="00073D9E" w14:paraId="123C800F" w14:textId="77777777">
      <w:pPr>
        <w:autoSpaceDE w:val="0"/>
        <w:autoSpaceDN w:val="0"/>
        <w:adjustRightInd w:val="0"/>
        <w:spacing w:after="120"/>
        <w:ind w:firstLine="720"/>
        <w:rPr>
          <w:i/>
          <w:iCs/>
          <w:snapToGrid w:val="0"/>
          <w:kern w:val="28"/>
        </w:rPr>
      </w:pPr>
      <w:r>
        <w:rPr>
          <w:snapToGrid w:val="0"/>
          <w:kern w:val="28"/>
        </w:rPr>
        <w:t>With respect to the areas covered by Redwire’s Auction 903 authorized bids that are not the subject of the proposed transaction, w</w:t>
      </w:r>
      <w:r w:rsidRPr="00073D9E">
        <w:rPr>
          <w:snapToGrid w:val="0"/>
          <w:kern w:val="28"/>
        </w:rPr>
        <w:t xml:space="preserve">e deny Redwire’s request for a </w:t>
      </w:r>
      <w:r w:rsidR="00745EFE">
        <w:rPr>
          <w:snapToGrid w:val="0"/>
          <w:kern w:val="28"/>
        </w:rPr>
        <w:t>“</w:t>
      </w:r>
      <w:r w:rsidRPr="00073D9E">
        <w:rPr>
          <w:snapToGrid w:val="0"/>
          <w:kern w:val="28"/>
        </w:rPr>
        <w:t>continuing waiver</w:t>
      </w:r>
      <w:r w:rsidR="00745EFE">
        <w:rPr>
          <w:snapToGrid w:val="0"/>
          <w:kern w:val="28"/>
        </w:rPr>
        <w:t>” of the</w:t>
      </w:r>
      <w:r w:rsidRPr="00CF29B8" w:rsidR="00CF29B8">
        <w:rPr>
          <w:snapToGrid w:val="0"/>
          <w:kern w:val="28"/>
        </w:rPr>
        <w:t xml:space="preserve"> </w:t>
      </w:r>
      <w:r w:rsidR="00CF29B8">
        <w:rPr>
          <w:snapToGrid w:val="0"/>
          <w:kern w:val="28"/>
        </w:rPr>
        <w:t xml:space="preserve">conditional waiver granted in the </w:t>
      </w:r>
      <w:r w:rsidRPr="00442A47" w:rsidR="00CF29B8">
        <w:rPr>
          <w:i/>
          <w:iCs/>
          <w:snapToGrid w:val="0"/>
          <w:kern w:val="28"/>
        </w:rPr>
        <w:t>Redwire</w:t>
      </w:r>
      <w:r w:rsidR="00CF29B8">
        <w:rPr>
          <w:snapToGrid w:val="0"/>
          <w:kern w:val="28"/>
        </w:rPr>
        <w:t xml:space="preserve"> </w:t>
      </w:r>
      <w:r w:rsidRPr="00442A47" w:rsidR="00CF29B8">
        <w:rPr>
          <w:i/>
          <w:iCs/>
          <w:snapToGrid w:val="0"/>
          <w:kern w:val="28"/>
        </w:rPr>
        <w:t>Second Waiver Order</w:t>
      </w:r>
      <w:r w:rsidRPr="00073D9E">
        <w:rPr>
          <w:snapToGrid w:val="0"/>
          <w:kern w:val="28"/>
        </w:rPr>
        <w:t xml:space="preserve">.  Consistent with the </w:t>
      </w:r>
      <w:r w:rsidRPr="00073D9E">
        <w:rPr>
          <w:i/>
          <w:iCs/>
          <w:snapToGrid w:val="0"/>
          <w:kern w:val="28"/>
        </w:rPr>
        <w:t>Redwire Second Waiver Order,</w:t>
      </w:r>
      <w:r w:rsidRPr="00073D9E">
        <w:rPr>
          <w:snapToGrid w:val="0"/>
          <w:kern w:val="28"/>
        </w:rPr>
        <w:t xml:space="preserve"> because Redwire failed to meet the conditions outlined in that decision, its conditional waiver for the remaining areas covered by its winning bids is revoked</w:t>
      </w:r>
      <w:r w:rsidR="002412E0">
        <w:rPr>
          <w:snapToGrid w:val="0"/>
          <w:kern w:val="28"/>
        </w:rPr>
        <w:t>,</w:t>
      </w:r>
      <w:r w:rsidRPr="00073D9E">
        <w:rPr>
          <w:snapToGrid w:val="0"/>
          <w:kern w:val="28"/>
        </w:rPr>
        <w:t xml:space="preserve"> and Redwire must return the Auction 903 support received for those areas to USAC</w:t>
      </w:r>
      <w:r w:rsidR="00E42342">
        <w:t xml:space="preserve"> within 30 days </w:t>
      </w:r>
      <w:r w:rsidR="006F656B">
        <w:t>of the release of this Public Notice</w:t>
      </w:r>
      <w:r w:rsidRPr="00073D9E">
        <w:rPr>
          <w:snapToGrid w:val="0"/>
          <w:kern w:val="28"/>
        </w:rPr>
        <w:t>.</w:t>
      </w:r>
      <w:r>
        <w:rPr>
          <w:snapToGrid w:val="0"/>
          <w:kern w:val="28"/>
          <w:vertAlign w:val="superscript"/>
        </w:rPr>
        <w:footnoteReference w:id="82"/>
      </w:r>
      <w:r w:rsidRPr="00073D9E">
        <w:rPr>
          <w:snapToGrid w:val="0"/>
          <w:kern w:val="28"/>
        </w:rPr>
        <w:t xml:space="preserve">  Redwire is well beyond the time period that was allotted in the </w:t>
      </w:r>
      <w:r w:rsidRPr="00073D9E">
        <w:rPr>
          <w:i/>
          <w:iCs/>
          <w:snapToGrid w:val="0"/>
          <w:kern w:val="28"/>
        </w:rPr>
        <w:t>Redwire Second Waiver Order</w:t>
      </w:r>
      <w:r w:rsidRPr="00073D9E">
        <w:rPr>
          <w:snapToGrid w:val="0"/>
          <w:kern w:val="28"/>
        </w:rPr>
        <w:t xml:space="preserve"> to enter into an agreement with another service provider for the remaining areas</w:t>
      </w:r>
      <w:r w:rsidR="006902B1">
        <w:rPr>
          <w:snapToGrid w:val="0"/>
          <w:kern w:val="28"/>
        </w:rPr>
        <w:t>,</w:t>
      </w:r>
      <w:r w:rsidRPr="00073D9E">
        <w:rPr>
          <w:snapToGrid w:val="0"/>
          <w:kern w:val="28"/>
        </w:rPr>
        <w:t xml:space="preserve"> and </w:t>
      </w:r>
      <w:r w:rsidR="006902B1">
        <w:rPr>
          <w:snapToGrid w:val="0"/>
          <w:kern w:val="28"/>
        </w:rPr>
        <w:t xml:space="preserve">it </w:t>
      </w:r>
      <w:r w:rsidRPr="00073D9E">
        <w:rPr>
          <w:snapToGrid w:val="0"/>
          <w:kern w:val="28"/>
        </w:rPr>
        <w:t xml:space="preserve">has not demonstrated that such an agreement is imminent.  </w:t>
      </w:r>
    </w:p>
    <w:p w:rsidR="00073D9E" w:rsidRPr="00073D9E" w:rsidP="00073D9E" w14:paraId="36096C08" w14:textId="77777777">
      <w:pPr>
        <w:autoSpaceDE w:val="0"/>
        <w:autoSpaceDN w:val="0"/>
        <w:adjustRightInd w:val="0"/>
        <w:spacing w:after="120"/>
        <w:rPr>
          <w:snapToGrid w:val="0"/>
          <w:kern w:val="28"/>
        </w:rPr>
      </w:pPr>
      <w:r w:rsidRPr="00073D9E">
        <w:rPr>
          <w:snapToGrid w:val="0"/>
          <w:kern w:val="28"/>
        </w:rPr>
        <w:tab/>
        <w:t>Moreover, Redwire</w:t>
      </w:r>
      <w:r w:rsidR="004C1875">
        <w:rPr>
          <w:snapToGrid w:val="0"/>
          <w:kern w:val="28"/>
        </w:rPr>
        <w:t xml:space="preserve"> has</w:t>
      </w:r>
      <w:r w:rsidRPr="00073D9E">
        <w:rPr>
          <w:snapToGrid w:val="0"/>
          <w:kern w:val="28"/>
        </w:rPr>
        <w:t xml:space="preserve"> failed to demonstrate that it serves the public interest to provide it more time to enter into an agreement with a</w:t>
      </w:r>
      <w:r w:rsidR="002921F2">
        <w:rPr>
          <w:snapToGrid w:val="0"/>
          <w:kern w:val="28"/>
        </w:rPr>
        <w:t>nother</w:t>
      </w:r>
      <w:r w:rsidRPr="00073D9E">
        <w:rPr>
          <w:snapToGrid w:val="0"/>
          <w:kern w:val="28"/>
        </w:rPr>
        <w:t xml:space="preserve"> service provider or providers for the remaining areas.  As explained in the </w:t>
      </w:r>
      <w:r w:rsidRPr="00073D9E">
        <w:rPr>
          <w:i/>
          <w:iCs/>
          <w:snapToGrid w:val="0"/>
          <w:kern w:val="28"/>
        </w:rPr>
        <w:t>Redwire Second Waiver Order</w:t>
      </w:r>
      <w:r w:rsidRPr="00073D9E">
        <w:rPr>
          <w:snapToGrid w:val="0"/>
          <w:kern w:val="28"/>
        </w:rPr>
        <w:t>, the Commission imposed firm deadlines so it could “act quickly to recover support and make these areas eligible for other funding opportunities” if the conditions were not met.</w:t>
      </w:r>
      <w:r>
        <w:rPr>
          <w:snapToGrid w:val="0"/>
          <w:kern w:val="28"/>
          <w:vertAlign w:val="superscript"/>
        </w:rPr>
        <w:footnoteReference w:id="83"/>
      </w:r>
      <w:r w:rsidRPr="00073D9E">
        <w:rPr>
          <w:snapToGrid w:val="0"/>
          <w:kern w:val="28"/>
        </w:rPr>
        <w:t xml:space="preserve">  Although Redwire contends in its March 2022 </w:t>
      </w:r>
      <w:r w:rsidR="00AA168B">
        <w:rPr>
          <w:snapToGrid w:val="0"/>
          <w:kern w:val="28"/>
        </w:rPr>
        <w:t>S</w:t>
      </w:r>
      <w:r w:rsidRPr="00073D9E">
        <w:rPr>
          <w:snapToGrid w:val="0"/>
          <w:kern w:val="28"/>
        </w:rPr>
        <w:t xml:space="preserve">tatus </w:t>
      </w:r>
      <w:r w:rsidR="00AA168B">
        <w:rPr>
          <w:snapToGrid w:val="0"/>
          <w:kern w:val="28"/>
        </w:rPr>
        <w:t>R</w:t>
      </w:r>
      <w:r w:rsidRPr="00073D9E">
        <w:rPr>
          <w:snapToGrid w:val="0"/>
          <w:kern w:val="28"/>
        </w:rPr>
        <w:t>eport that it is “continuing to explore opportunities,”</w:t>
      </w:r>
      <w:r>
        <w:rPr>
          <w:snapToGrid w:val="0"/>
          <w:kern w:val="28"/>
          <w:vertAlign w:val="superscript"/>
        </w:rPr>
        <w:footnoteReference w:id="84"/>
      </w:r>
      <w:r w:rsidRPr="00073D9E">
        <w:rPr>
          <w:snapToGrid w:val="0"/>
          <w:kern w:val="28"/>
        </w:rPr>
        <w:t xml:space="preserve"> there has already been a significant delay in entering into such an agreement.</w:t>
      </w:r>
      <w:r>
        <w:rPr>
          <w:rStyle w:val="FootnoteReference"/>
          <w:snapToGrid w:val="0"/>
          <w:kern w:val="28"/>
        </w:rPr>
        <w:footnoteReference w:id="85"/>
      </w:r>
      <w:r w:rsidRPr="00073D9E">
        <w:rPr>
          <w:snapToGrid w:val="0"/>
          <w:kern w:val="28"/>
        </w:rPr>
        <w:t xml:space="preserve">  Moreover, there is no guarantee that Redwire will successfully enter into such an agreement.  By denying</w:t>
      </w:r>
      <w:r w:rsidR="00933E79">
        <w:t xml:space="preserve"> </w:t>
      </w:r>
      <w:r w:rsidR="001E4F31">
        <w:rPr>
          <w:snapToGrid w:val="0"/>
          <w:kern w:val="28"/>
        </w:rPr>
        <w:t>Redwire’s request</w:t>
      </w:r>
      <w:r w:rsidRPr="00073D9E">
        <w:rPr>
          <w:snapToGrid w:val="0"/>
          <w:kern w:val="28"/>
        </w:rPr>
        <w:t xml:space="preserve">, we will open these areas up to eligibility for future funding programs to the extent they remain unserved.  Redwire </w:t>
      </w:r>
      <w:r w:rsidR="008C353D">
        <w:rPr>
          <w:snapToGrid w:val="0"/>
          <w:kern w:val="28"/>
        </w:rPr>
        <w:t>asserts</w:t>
      </w:r>
      <w:r w:rsidRPr="00073D9E" w:rsidR="008C353D">
        <w:rPr>
          <w:snapToGrid w:val="0"/>
          <w:kern w:val="28"/>
        </w:rPr>
        <w:t xml:space="preserve"> </w:t>
      </w:r>
      <w:r w:rsidRPr="00073D9E">
        <w:rPr>
          <w:snapToGrid w:val="0"/>
          <w:kern w:val="28"/>
        </w:rPr>
        <w:t>that currently there “are no federal or state broadband funding programs in place” that would offer support these areas.</w:t>
      </w:r>
      <w:r>
        <w:rPr>
          <w:snapToGrid w:val="0"/>
          <w:kern w:val="28"/>
          <w:vertAlign w:val="superscript"/>
        </w:rPr>
        <w:footnoteReference w:id="86"/>
      </w:r>
      <w:r w:rsidRPr="00073D9E">
        <w:rPr>
          <w:snapToGrid w:val="0"/>
          <w:kern w:val="28"/>
        </w:rPr>
        <w:t xml:space="preserve">  However, we are not convinced that we should continue to tie up these areas and the funding that has already been disbursed for these areas for an indefinite period of time.  Accordingly, insofar as Redwire failed to obtain a letter of credit for these areas, it failed to comply with section 54.320(c) of the Commission’s rules,</w:t>
      </w:r>
      <w:r>
        <w:rPr>
          <w:rStyle w:val="FootnoteReference"/>
          <w:snapToGrid w:val="0"/>
          <w:kern w:val="28"/>
        </w:rPr>
        <w:footnoteReference w:id="87"/>
      </w:r>
      <w:r w:rsidRPr="00073D9E">
        <w:rPr>
          <w:snapToGrid w:val="0"/>
          <w:kern w:val="28"/>
        </w:rPr>
        <w:t xml:space="preserve"> and consistent with the terms of the </w:t>
      </w:r>
      <w:r w:rsidR="001249F5">
        <w:rPr>
          <w:snapToGrid w:val="0"/>
          <w:kern w:val="28"/>
        </w:rPr>
        <w:t xml:space="preserve">conditional </w:t>
      </w:r>
      <w:r w:rsidRPr="00073D9E">
        <w:rPr>
          <w:snapToGrid w:val="0"/>
          <w:kern w:val="28"/>
        </w:rPr>
        <w:t>waiver it</w:t>
      </w:r>
      <w:r w:rsidR="001249F5">
        <w:rPr>
          <w:snapToGrid w:val="0"/>
          <w:kern w:val="28"/>
        </w:rPr>
        <w:t xml:space="preserve"> was granted,</w:t>
      </w:r>
      <w:r w:rsidRPr="00073D9E">
        <w:rPr>
          <w:snapToGrid w:val="0"/>
          <w:kern w:val="28"/>
        </w:rPr>
        <w:t xml:space="preserve"> it must</w:t>
      </w:r>
      <w:r>
        <w:t xml:space="preserve"> </w:t>
      </w:r>
      <w:r w:rsidRPr="00073D9E">
        <w:rPr>
          <w:snapToGrid w:val="0"/>
          <w:kern w:val="28"/>
        </w:rPr>
        <w:t>return to USAC all of the Auction 903 support it has received for these areas</w:t>
      </w:r>
      <w:r w:rsidR="0029445B">
        <w:t xml:space="preserve"> within 30 days of the release of this Pub</w:t>
      </w:r>
      <w:r w:rsidR="00F21DCF">
        <w:t>l</w:t>
      </w:r>
      <w:r w:rsidR="0029445B">
        <w:t>ic N</w:t>
      </w:r>
      <w:r w:rsidR="00F21DCF">
        <w:t>o</w:t>
      </w:r>
      <w:r w:rsidR="0029445B">
        <w:t>tice</w:t>
      </w:r>
      <w:r w:rsidR="001249F5">
        <w:rPr>
          <w:snapToGrid w:val="0"/>
          <w:kern w:val="28"/>
        </w:rPr>
        <w:t>.</w:t>
      </w:r>
      <w:r w:rsidRPr="00073D9E">
        <w:rPr>
          <w:snapToGrid w:val="0"/>
          <w:kern w:val="28"/>
        </w:rPr>
        <w:t xml:space="preserve"> </w:t>
      </w:r>
      <w:r w:rsidR="001249F5">
        <w:rPr>
          <w:snapToGrid w:val="0"/>
          <w:kern w:val="28"/>
        </w:rPr>
        <w:t>W</w:t>
      </w:r>
      <w:r w:rsidRPr="00073D9E">
        <w:rPr>
          <w:snapToGrid w:val="0"/>
          <w:kern w:val="28"/>
        </w:rPr>
        <w:t xml:space="preserve">e </w:t>
      </w:r>
      <w:r w:rsidR="001249F5">
        <w:rPr>
          <w:snapToGrid w:val="0"/>
          <w:kern w:val="28"/>
        </w:rPr>
        <w:t>also</w:t>
      </w:r>
      <w:r w:rsidRPr="00073D9E">
        <w:rPr>
          <w:snapToGrid w:val="0"/>
          <w:kern w:val="28"/>
        </w:rPr>
        <w:t xml:space="preserve"> refer the matter to Enforcement Bureau to determine if Redwire should be subject to additional penalties.</w:t>
      </w:r>
      <w:r>
        <w:rPr>
          <w:snapToGrid w:val="0"/>
          <w:kern w:val="28"/>
          <w:vertAlign w:val="superscript"/>
        </w:rPr>
        <w:footnoteReference w:id="88"/>
      </w:r>
      <w:r w:rsidRPr="00073D9E">
        <w:rPr>
          <w:snapToGrid w:val="0"/>
          <w:kern w:val="28"/>
        </w:rPr>
        <w:t xml:space="preserve">  Should </w:t>
      </w:r>
      <w:r w:rsidRPr="00073D9E">
        <w:rPr>
          <w:snapToGrid w:val="0"/>
          <w:kern w:val="28"/>
        </w:rPr>
        <w:t xml:space="preserve">Redwire fail to return the support within 30 days, we emphasize that it may be subject to </w:t>
      </w:r>
      <w:r w:rsidR="004C28ED">
        <w:t>additional penalties</w:t>
      </w:r>
      <w:r w:rsidRPr="00073D9E">
        <w:rPr>
          <w:snapToGrid w:val="0"/>
          <w:kern w:val="28"/>
        </w:rPr>
        <w:t>.</w:t>
      </w:r>
      <w:r>
        <w:rPr>
          <w:snapToGrid w:val="0"/>
          <w:kern w:val="28"/>
          <w:vertAlign w:val="superscript"/>
        </w:rPr>
        <w:footnoteReference w:id="89"/>
      </w:r>
    </w:p>
    <w:p w:rsidR="00073D9E" w:rsidRPr="00073D9E" w:rsidP="00073D9E" w14:paraId="22824BAB" w14:textId="77777777">
      <w:pPr>
        <w:autoSpaceDE w:val="0"/>
        <w:autoSpaceDN w:val="0"/>
        <w:adjustRightInd w:val="0"/>
        <w:spacing w:after="120"/>
        <w:rPr>
          <w:b/>
          <w:bCs/>
          <w:snapToGrid w:val="0"/>
          <w:kern w:val="28"/>
          <w:szCs w:val="22"/>
          <w:u w:val="single"/>
        </w:rPr>
      </w:pPr>
      <w:r w:rsidRPr="00073D9E">
        <w:rPr>
          <w:b/>
          <w:bCs/>
          <w:snapToGrid w:val="0"/>
          <w:kern w:val="28"/>
          <w:szCs w:val="22"/>
          <w:u w:val="single"/>
        </w:rPr>
        <w:t>Conclusion</w:t>
      </w:r>
    </w:p>
    <w:p w:rsidR="00073D9E" w:rsidRPr="00073D9E" w:rsidP="00073D9E" w14:paraId="7B9DB403" w14:textId="77777777">
      <w:pPr>
        <w:autoSpaceDE w:val="0"/>
        <w:autoSpaceDN w:val="0"/>
        <w:adjustRightInd w:val="0"/>
        <w:spacing w:after="120"/>
        <w:ind w:firstLine="720"/>
        <w:rPr>
          <w:snapToGrid w:val="0"/>
          <w:kern w:val="28"/>
          <w:szCs w:val="22"/>
        </w:rPr>
      </w:pPr>
      <w:r w:rsidRPr="5BB85CC1">
        <w:rPr>
          <w:snapToGrid w:val="0"/>
          <w:kern w:val="28"/>
        </w:rPr>
        <w:t xml:space="preserve">Pursuant to section 214 of the Act, 47 U.S.C. § 214, and sections 0.91, 0.291, </w:t>
      </w:r>
      <w:r w:rsidRPr="5BB85CC1">
        <w:t>63.03, and 63.04</w:t>
      </w:r>
      <w:r w:rsidRPr="5BB85CC1">
        <w:rPr>
          <w:snapToGrid w:val="0"/>
          <w:kern w:val="28"/>
        </w:rPr>
        <w:t xml:space="preserve"> of the Commission’s rules, 47 CFR §§ 0.91, 0.291, 63.03, and 63.04, the Bureau hereby grants the </w:t>
      </w:r>
      <w:r w:rsidRPr="00073D9E">
        <w:rPr>
          <w:snapToGrid w:val="0"/>
          <w:kern w:val="28"/>
        </w:rPr>
        <w:t>Application</w:t>
      </w:r>
      <w:r w:rsidRPr="5BB85CC1">
        <w:rPr>
          <w:snapToGrid w:val="0"/>
          <w:kern w:val="28"/>
        </w:rPr>
        <w:t xml:space="preserve"> discussed in this Public Notice under which the Auction 903</w:t>
      </w:r>
      <w:r w:rsidRPr="5BB85CC1">
        <w:t xml:space="preserve"> obligations and support for Redwire’s Assigned Census Blocks in Oklahoma may be transferred to AtLink</w:t>
      </w:r>
      <w:r w:rsidRPr="00073D9E">
        <w:rPr>
          <w:snapToGrid w:val="0"/>
        </w:rPr>
        <w:t xml:space="preserve">, </w:t>
      </w:r>
      <w:r w:rsidRPr="5BB85CC1">
        <w:t>after</w:t>
      </w:r>
      <w:r w:rsidRPr="00073D9E">
        <w:rPr>
          <w:snapToGrid w:val="0"/>
        </w:rPr>
        <w:t xml:space="preserve"> AtLink’s compliance with all applicable </w:t>
      </w:r>
      <w:r w:rsidRPr="5BB85CC1">
        <w:t xml:space="preserve">regulatory </w:t>
      </w:r>
      <w:r w:rsidRPr="00073D9E">
        <w:rPr>
          <w:snapToGrid w:val="0"/>
        </w:rPr>
        <w:t>obligations</w:t>
      </w:r>
      <w:r w:rsidRPr="5BB85CC1">
        <w:t xml:space="preserve"> and the conditions adopted in the </w:t>
      </w:r>
      <w:r w:rsidRPr="5BB85CC1">
        <w:rPr>
          <w:i/>
        </w:rPr>
        <w:t>Redwire Second Waiver Order</w:t>
      </w:r>
      <w:r w:rsidR="009A44A1">
        <w:rPr>
          <w:snapToGrid w:val="0"/>
        </w:rPr>
        <w:t>,</w:t>
      </w:r>
      <w:r>
        <w:rPr>
          <w:snapToGrid w:val="0"/>
          <w:vertAlign w:val="superscript"/>
        </w:rPr>
        <w:footnoteReference w:id="90"/>
      </w:r>
      <w:r w:rsidRPr="00073D9E">
        <w:rPr>
          <w:snapToGrid w:val="0"/>
          <w:kern w:val="28"/>
          <w:szCs w:val="22"/>
        </w:rPr>
        <w:t xml:space="preserve"> </w:t>
      </w:r>
      <w:r w:rsidRPr="5BB85CC1" w:rsidR="009A44A1">
        <w:rPr>
          <w:snapToGrid w:val="0"/>
          <w:kern w:val="28"/>
        </w:rPr>
        <w:t xml:space="preserve">and subject to the requirements in this Public Notice and AtLink’s compliance with all applicable </w:t>
      </w:r>
      <w:r w:rsidRPr="5BB85CC1" w:rsidR="00167F17">
        <w:rPr>
          <w:snapToGrid w:val="0"/>
          <w:kern w:val="28"/>
        </w:rPr>
        <w:t xml:space="preserve">Auction 903 </w:t>
      </w:r>
      <w:r w:rsidRPr="5BB85CC1" w:rsidR="009A44A1">
        <w:rPr>
          <w:snapToGrid w:val="0"/>
          <w:kern w:val="28"/>
        </w:rPr>
        <w:t>obligations.</w:t>
      </w:r>
      <w:r w:rsidRPr="00073D9E">
        <w:rPr>
          <w:snapToGrid w:val="0"/>
          <w:kern w:val="28"/>
          <w:szCs w:val="22"/>
        </w:rPr>
        <w:t xml:space="preserve"> </w:t>
      </w:r>
    </w:p>
    <w:p w:rsidR="00073D9E" w:rsidRPr="00073D9E" w:rsidP="00073D9E" w14:paraId="6C0FCF92" w14:textId="77777777">
      <w:pPr>
        <w:spacing w:after="120"/>
        <w:ind w:firstLine="720"/>
        <w:rPr>
          <w:snapToGrid w:val="0"/>
          <w:kern w:val="28"/>
        </w:rPr>
      </w:pPr>
      <w:r w:rsidRPr="00073D9E">
        <w:rPr>
          <w:snapToGrid w:val="0"/>
          <w:kern w:val="28"/>
        </w:rPr>
        <w:t xml:space="preserve">Further, pursuant to sections 1, 4(i), 5(c), 201, 202, and 254 of the Communications Act of 1934, as amended, 47 U.S.C. §§ 151, 154(i), 155(c), 201, 202, and 254, and the authority delegated in sections 0.91, 0.291, and 1.3 of the Commission’s rules, 47 CFR §§ 0.91, 0.291, and 1.3, the Bureau hereby grants the requested waiver of the 40% and 60% service milestones filed by the Applicants, </w:t>
      </w:r>
      <w:r w:rsidR="0007281C">
        <w:rPr>
          <w:snapToGrid w:val="0"/>
          <w:kern w:val="28"/>
        </w:rPr>
        <w:t xml:space="preserve">grants the request </w:t>
      </w:r>
      <w:r w:rsidR="00D12A55">
        <w:rPr>
          <w:snapToGrid w:val="0"/>
          <w:kern w:val="28"/>
        </w:rPr>
        <w:t xml:space="preserve">to continue the conditional waiver granted in the </w:t>
      </w:r>
      <w:r w:rsidRPr="00442A47" w:rsidR="00D12A55">
        <w:rPr>
          <w:i/>
          <w:iCs/>
          <w:snapToGrid w:val="0"/>
          <w:kern w:val="28"/>
        </w:rPr>
        <w:t>Redwire</w:t>
      </w:r>
      <w:r w:rsidR="00D12A55">
        <w:rPr>
          <w:snapToGrid w:val="0"/>
          <w:kern w:val="28"/>
        </w:rPr>
        <w:t xml:space="preserve"> </w:t>
      </w:r>
      <w:r w:rsidRPr="00442A47" w:rsidR="00D12A55">
        <w:rPr>
          <w:i/>
          <w:iCs/>
          <w:snapToGrid w:val="0"/>
          <w:kern w:val="28"/>
        </w:rPr>
        <w:t>Second Waiver Order</w:t>
      </w:r>
      <w:r w:rsidR="00D12A55">
        <w:rPr>
          <w:snapToGrid w:val="0"/>
          <w:kern w:val="28"/>
        </w:rPr>
        <w:t xml:space="preserve"> </w:t>
      </w:r>
      <w:r w:rsidRPr="00442A47" w:rsidR="00D12A55">
        <w:rPr>
          <w:i/>
          <w:iCs/>
          <w:snapToGrid w:val="0"/>
          <w:kern w:val="28"/>
        </w:rPr>
        <w:t>nunc pro tunc</w:t>
      </w:r>
      <w:r w:rsidR="00D12A55">
        <w:rPr>
          <w:snapToGrid w:val="0"/>
          <w:kern w:val="28"/>
        </w:rPr>
        <w:t xml:space="preserve"> so that Redwire and Atlink can consummate their transaction for the Assigned Census Blocks</w:t>
      </w:r>
      <w:r w:rsidRPr="00073D9E">
        <w:rPr>
          <w:snapToGrid w:val="0"/>
          <w:kern w:val="28"/>
        </w:rPr>
        <w:t xml:space="preserve">, and denies the </w:t>
      </w:r>
      <w:r w:rsidR="0007281C">
        <w:rPr>
          <w:snapToGrid w:val="0"/>
          <w:kern w:val="28"/>
        </w:rPr>
        <w:t>same request</w:t>
      </w:r>
      <w:r w:rsidR="006472CC">
        <w:rPr>
          <w:snapToGrid w:val="0"/>
          <w:kern w:val="28"/>
        </w:rPr>
        <w:t>s</w:t>
      </w:r>
      <w:r w:rsidR="0007281C">
        <w:rPr>
          <w:snapToGrid w:val="0"/>
          <w:kern w:val="28"/>
        </w:rPr>
        <w:t xml:space="preserve"> </w:t>
      </w:r>
      <w:r w:rsidR="006472CC">
        <w:rPr>
          <w:snapToGrid w:val="0"/>
          <w:kern w:val="28"/>
        </w:rPr>
        <w:t>to continue the</w:t>
      </w:r>
      <w:r w:rsidR="0007281C">
        <w:rPr>
          <w:snapToGrid w:val="0"/>
          <w:kern w:val="28"/>
        </w:rPr>
        <w:t xml:space="preserve"> waiver </w:t>
      </w:r>
      <w:r w:rsidRPr="00073D9E">
        <w:rPr>
          <w:snapToGrid w:val="0"/>
          <w:kern w:val="28"/>
        </w:rPr>
        <w:t xml:space="preserve">for the remaining areas covered by Redwire’s Auction 903 authorized bids, as discussed herein.  </w:t>
      </w:r>
      <w:r w:rsidR="00C80516">
        <w:rPr>
          <w:snapToGrid w:val="0"/>
          <w:kern w:val="28"/>
        </w:rPr>
        <w:t>Consistent with the terms of the</w:t>
      </w:r>
      <w:r w:rsidRPr="00073D9E">
        <w:rPr>
          <w:szCs w:val="22"/>
        </w:rPr>
        <w:t xml:space="preserve"> </w:t>
      </w:r>
      <w:r w:rsidRPr="00073D9E">
        <w:rPr>
          <w:i/>
          <w:iCs/>
          <w:szCs w:val="22"/>
        </w:rPr>
        <w:t>Redwire Second Waiver Order</w:t>
      </w:r>
      <w:r w:rsidRPr="00073D9E">
        <w:rPr>
          <w:szCs w:val="22"/>
        </w:rPr>
        <w:t xml:space="preserve">, Redwire has 30 days from the release of this Public Notice to return to USAC </w:t>
      </w:r>
      <w:r w:rsidRPr="00073D9E">
        <w:rPr>
          <w:snapToGrid w:val="0"/>
          <w:kern w:val="28"/>
        </w:rPr>
        <w:t>all of the Auction 903 support it has received for the remaining support areas.</w:t>
      </w:r>
      <w:r w:rsidRPr="00073D9E">
        <w:rPr>
          <w:i/>
          <w:iCs/>
          <w:szCs w:val="22"/>
        </w:rPr>
        <w:t xml:space="preserve"> </w:t>
      </w:r>
    </w:p>
    <w:p w:rsidR="00073D9E" w:rsidRPr="00073D9E" w:rsidP="00073D9E" w14:paraId="359B173D" w14:textId="77777777">
      <w:pPr>
        <w:autoSpaceDE w:val="0"/>
        <w:autoSpaceDN w:val="0"/>
        <w:adjustRightInd w:val="0"/>
        <w:spacing w:after="120"/>
        <w:ind w:firstLine="720"/>
        <w:rPr>
          <w:snapToGrid w:val="0"/>
          <w:kern w:val="28"/>
          <w:szCs w:val="22"/>
        </w:rPr>
      </w:pPr>
      <w:r w:rsidRPr="5BB85CC1">
        <w:rPr>
          <w:snapToGrid w:val="0"/>
          <w:kern w:val="28"/>
        </w:rPr>
        <w:t xml:space="preserve">Pursuant to section 1.103 of the Commission’s rules, 47 CFR § 1.103, the </w:t>
      </w:r>
      <w:r w:rsidR="00C60783">
        <w:t>grants herein are</w:t>
      </w:r>
      <w:r w:rsidRPr="5BB85CC1">
        <w:rPr>
          <w:snapToGrid w:val="0"/>
          <w:kern w:val="28"/>
        </w:rPr>
        <w:t xml:space="preserve"> effective upon release of this Public Notice.</w:t>
      </w:r>
      <w:r>
        <w:rPr>
          <w:snapToGrid w:val="0"/>
          <w:kern w:val="28"/>
          <w:vertAlign w:val="superscript"/>
        </w:rPr>
        <w:footnoteReference w:id="91"/>
      </w:r>
      <w:r w:rsidRPr="5BB85CC1">
        <w:rPr>
          <w:snapToGrid w:val="0"/>
          <w:kern w:val="28"/>
        </w:rPr>
        <w:t xml:space="preserve">  Petitions for reconsideration under section 1.106 or applications for review under section 1.115 of the Commission’s rules, 47 CFR §§ 1.106, 1.115, may be filed within 30 days of the date of this Public Notice.</w:t>
      </w:r>
      <w:bookmarkStart w:id="8" w:name="FN[FN9]"/>
      <w:bookmarkStart w:id="9" w:name="sp_999_1"/>
      <w:bookmarkStart w:id="10" w:name="SDU_1"/>
      <w:bookmarkEnd w:id="8"/>
      <w:bookmarkEnd w:id="9"/>
      <w:bookmarkEnd w:id="10"/>
    </w:p>
    <w:p w:rsidR="00073D9E" w:rsidRPr="00073D9E" w:rsidP="00073D9E" w14:paraId="19D75B1A" w14:textId="77777777">
      <w:pPr>
        <w:widowControl w:val="0"/>
        <w:ind w:firstLine="720"/>
        <w:rPr>
          <w:snapToGrid w:val="0"/>
          <w:kern w:val="28"/>
          <w:szCs w:val="22"/>
        </w:rPr>
      </w:pPr>
      <w:bookmarkStart w:id="11" w:name="sp_999_2"/>
      <w:bookmarkStart w:id="12" w:name="SDU_2"/>
      <w:bookmarkEnd w:id="11"/>
      <w:bookmarkEnd w:id="12"/>
      <w:r w:rsidRPr="00073D9E">
        <w:rPr>
          <w:snapToGrid w:val="0"/>
          <w:kern w:val="28"/>
          <w:szCs w:val="22"/>
        </w:rPr>
        <w:t>For further information, please contact Dennis Johnson, Wireline Competition Bureau, Competition Policy Division, (202) 418-0809.</w:t>
      </w:r>
    </w:p>
    <w:p w:rsidR="00073D9E" w:rsidRPr="00073D9E" w:rsidP="00073D9E" w14:paraId="75CEA30C" w14:textId="77777777">
      <w:pPr>
        <w:autoSpaceDE w:val="0"/>
        <w:autoSpaceDN w:val="0"/>
        <w:adjustRightInd w:val="0"/>
        <w:rPr>
          <w:szCs w:val="22"/>
        </w:rPr>
      </w:pPr>
    </w:p>
    <w:p w:rsidR="00073D9E" w:rsidRPr="00073D9E" w:rsidP="00073D9E" w14:paraId="135202D1" w14:textId="77777777">
      <w:pPr>
        <w:autoSpaceDE w:val="0"/>
        <w:autoSpaceDN w:val="0"/>
        <w:adjustRightInd w:val="0"/>
        <w:jc w:val="center"/>
        <w:rPr>
          <w:b/>
          <w:bCs/>
          <w:szCs w:val="22"/>
        </w:rPr>
      </w:pPr>
      <w:r w:rsidRPr="00073D9E">
        <w:rPr>
          <w:b/>
          <w:bCs/>
          <w:szCs w:val="22"/>
        </w:rPr>
        <w:t>-FCC-</w:t>
      </w:r>
    </w:p>
    <w:p w:rsidR="00073D9E" w:rsidP="00A47EA1" w14:paraId="4C42BE5A" w14:textId="77777777">
      <w:pPr>
        <w:jc w:val="center"/>
        <w:rPr>
          <w:b/>
          <w:bCs/>
          <w:szCs w:val="22"/>
        </w:rPr>
      </w:pPr>
    </w:p>
    <w:bookmarkEnd w:id="1"/>
    <w:bookmarkEnd w:id="2"/>
    <w:p w:rsidR="00524D79" w14:paraId="378D65E7" w14:textId="77777777">
      <w:pPr>
        <w:autoSpaceDE w:val="0"/>
        <w:autoSpaceDN w:val="0"/>
        <w:adjustRightInd w:val="0"/>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8EE6E6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302F4">
      <w:rPr>
        <w:rStyle w:val="PageNumber"/>
      </w:rPr>
      <w:fldChar w:fldCharType="separate"/>
    </w:r>
    <w:r>
      <w:rPr>
        <w:rStyle w:val="PageNumber"/>
      </w:rPr>
      <w:fldChar w:fldCharType="end"/>
    </w:r>
  </w:p>
  <w:p w:rsidR="005E21F5" w14:paraId="1E0D5D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D39A92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781A14F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2FC4CE03"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2C20149E" w14:textId="77777777"/>
  <w:p w:rsidR="005E21F5" w14:paraId="65C3CED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29EE" w14:paraId="468B1547" w14:textId="77777777">
      <w:r>
        <w:separator/>
      </w:r>
    </w:p>
  </w:footnote>
  <w:footnote w:type="continuationSeparator" w:id="1">
    <w:p w:rsidR="00E629EE" w14:paraId="29693BA0" w14:textId="77777777">
      <w:r>
        <w:continuationSeparator/>
      </w:r>
    </w:p>
  </w:footnote>
  <w:footnote w:type="continuationNotice" w:id="2">
    <w:p w:rsidR="00E629EE" w14:paraId="233BE725" w14:textId="77777777"/>
  </w:footnote>
  <w:footnote w:id="3">
    <w:p w:rsidR="00073D9E" w:rsidRPr="00D63E03" w:rsidP="00073D9E" w14:paraId="1D98806E" w14:textId="77777777">
      <w:pPr>
        <w:pStyle w:val="FootnoteText"/>
        <w:rPr>
          <w:sz w:val="20"/>
        </w:rPr>
      </w:pPr>
      <w:r w:rsidRPr="00D63E03">
        <w:rPr>
          <w:rStyle w:val="FootnoteReference"/>
          <w:sz w:val="20"/>
        </w:rPr>
        <w:footnoteRef/>
      </w:r>
      <w:r w:rsidRPr="00D63E03">
        <w:rPr>
          <w:sz w:val="20"/>
        </w:rPr>
        <w:t xml:space="preserve"> </w:t>
      </w:r>
      <w:r w:rsidRPr="00D63E03">
        <w:rPr>
          <w:i/>
          <w:sz w:val="20"/>
        </w:rPr>
        <w:t xml:space="preserve">See </w:t>
      </w:r>
      <w:r w:rsidRPr="00D63E03">
        <w:rPr>
          <w:sz w:val="20"/>
        </w:rPr>
        <w:t xml:space="preserve">Domestic Section 214 Application of </w:t>
      </w:r>
      <w:bookmarkStart w:id="4" w:name="_Hlk97565758"/>
      <w:r w:rsidRPr="00D63E03">
        <w:rPr>
          <w:sz w:val="20"/>
        </w:rPr>
        <w:t>Redwire, Inc</w:t>
      </w:r>
      <w:bookmarkEnd w:id="4"/>
      <w:r w:rsidRPr="00D63E03">
        <w:rPr>
          <w:sz w:val="20"/>
        </w:rPr>
        <w:t xml:space="preserve">., Assignor, and AtLink Services, LLC, Assignee, For Consent for the Assignment of Certain Assets of Redwire, Inc. to AtLink Services, LLC Pursuant to Section 214 of the Communications Act of 1934, as Amended, WC Docket No. 22-55 (filed Jan. 31, 2022), </w:t>
      </w:r>
      <w:hyperlink r:id="rId1" w:history="1">
        <w:r w:rsidRPr="00D63E03">
          <w:rPr>
            <w:rStyle w:val="Hyperlink"/>
            <w:sz w:val="20"/>
          </w:rPr>
          <w:t>https://ecfsapi.fcc.gov/file/10131299931816/Redwire%20214%20Application.pdf</w:t>
        </w:r>
      </w:hyperlink>
      <w:r w:rsidRPr="00D63E03">
        <w:rPr>
          <w:sz w:val="20"/>
        </w:rPr>
        <w:t xml:space="preserve"> (Application).  Applicants filed a supplement to their Application on March 9, 2022.  Letter from Stephen E. Coran, Counsel to Applicants, to Marlene H. Dortch, Secretary, FCC, WC Docket No. 22-55 (filed Mar. 9, 2022) (Supplement).  On March 17, 2022, the Bureau released a public notice seeking comment on the Application and did not receive comments or petitions in opposition</w:t>
      </w:r>
      <w:r w:rsidRPr="00D63E03" w:rsidR="00FB34F6">
        <w:rPr>
          <w:sz w:val="20"/>
        </w:rPr>
        <w:t xml:space="preserve">. </w:t>
      </w:r>
      <w:r w:rsidRPr="00D63E03" w:rsidR="008B137E">
        <w:rPr>
          <w:sz w:val="20"/>
        </w:rPr>
        <w:t xml:space="preserve"> </w:t>
      </w:r>
      <w:r w:rsidRPr="00D63E03">
        <w:rPr>
          <w:rFonts w:eastAsia="Calibri"/>
          <w:i/>
          <w:iCs/>
          <w:sz w:val="20"/>
        </w:rPr>
        <w:t>Domestic Section 214 Application Filed for the Transfer of Certain Authorizations of Redwire, Inc. to AtLink Services, LLC</w:t>
      </w:r>
      <w:r w:rsidRPr="00D63E03">
        <w:rPr>
          <w:rFonts w:eastAsia="Calibri"/>
          <w:sz w:val="20"/>
        </w:rPr>
        <w:t>, WC Docket No. 22-55, Public Notice, DA 22-289 (WCB 2022).</w:t>
      </w:r>
    </w:p>
  </w:footnote>
  <w:footnote w:id="4">
    <w:p w:rsidR="00073D9E" w:rsidRPr="00D63E03" w:rsidP="00073D9E" w14:paraId="7E83C0AB"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See</w:t>
      </w:r>
      <w:r w:rsidRPr="00D63E03">
        <w:rPr>
          <w:sz w:val="20"/>
        </w:rPr>
        <w:t xml:space="preserve"> Application at Exh.</w:t>
      </w:r>
      <w:r w:rsidRPr="00D63E03" w:rsidR="005F726C">
        <w:rPr>
          <w:sz w:val="20"/>
        </w:rPr>
        <w:t xml:space="preserve"> </w:t>
      </w:r>
      <w:r w:rsidRPr="00D63E03">
        <w:rPr>
          <w:sz w:val="20"/>
        </w:rPr>
        <w:t>1 (Assigned Census Blocks) and Exh. 2 (Legend and Map).</w:t>
      </w:r>
    </w:p>
  </w:footnote>
  <w:footnote w:id="5">
    <w:p w:rsidR="00073D9E" w:rsidRPr="00D63E03" w:rsidP="00073D9E" w14:paraId="1F834F9E" w14:textId="77777777">
      <w:pPr>
        <w:spacing w:after="120"/>
        <w:rPr>
          <w:sz w:val="20"/>
        </w:rPr>
      </w:pPr>
      <w:r w:rsidRPr="00D63E03">
        <w:rPr>
          <w:rStyle w:val="FootnoteReference"/>
          <w:sz w:val="20"/>
        </w:rPr>
        <w:footnoteRef/>
      </w:r>
      <w:r w:rsidRPr="00D63E03">
        <w:rPr>
          <w:sz w:val="20"/>
        </w:rPr>
        <w:t xml:space="preserve"> </w:t>
      </w:r>
      <w:r w:rsidRPr="00D63E03">
        <w:rPr>
          <w:i/>
          <w:sz w:val="20"/>
        </w:rPr>
        <w:t>See</w:t>
      </w:r>
      <w:r w:rsidRPr="00D63E03">
        <w:rPr>
          <w:sz w:val="20"/>
        </w:rPr>
        <w:t xml:space="preserve"> 47 U.S.C. § 214; 47 CFR §§ 63.03-04. </w:t>
      </w:r>
      <w:r w:rsidRPr="00D63E03" w:rsidR="005F726C">
        <w:rPr>
          <w:sz w:val="20"/>
        </w:rPr>
        <w:t xml:space="preserve"> </w:t>
      </w:r>
      <w:r w:rsidRPr="00D63E03" w:rsidR="00FE7155">
        <w:rPr>
          <w:sz w:val="20"/>
        </w:rPr>
        <w:t>Applicants explain that the Assigned Census Blocks include a portion of the census blocks for which Redwire was authorized to receive Auction 903 support, and that Redwire would convey the pro rata portion of the support it received for the Assigned Census Blocks to AtLink, and AtLink would be entitled to receive pro rata support going forward.  Application at 5.  They state that</w:t>
      </w:r>
      <w:r w:rsidRPr="00D63E03" w:rsidR="003C6972">
        <w:rPr>
          <w:sz w:val="20"/>
        </w:rPr>
        <w:t xml:space="preserve"> the</w:t>
      </w:r>
      <w:r w:rsidRPr="00D63E03" w:rsidR="00FE7155">
        <w:rPr>
          <w:sz w:val="20"/>
        </w:rPr>
        <w:t xml:space="preserve"> pro rata portion of both received and future support, including the pro rata portion of Redwire’s suspended support, represents approximately 41% of the total Redwire support.  </w:t>
      </w:r>
      <w:r w:rsidRPr="00D63E03" w:rsidR="00FE7155">
        <w:rPr>
          <w:i/>
          <w:iCs/>
          <w:sz w:val="20"/>
        </w:rPr>
        <w:t>Id</w:t>
      </w:r>
      <w:r w:rsidRPr="00D63E03" w:rsidR="00FE7155">
        <w:rPr>
          <w:sz w:val="20"/>
        </w:rPr>
        <w:t>.</w:t>
      </w:r>
      <w:r w:rsidRPr="00D63E03">
        <w:rPr>
          <w:sz w:val="20"/>
        </w:rPr>
        <w:t xml:space="preserve"> </w:t>
      </w:r>
    </w:p>
  </w:footnote>
  <w:footnote w:id="6">
    <w:p w:rsidR="00073D9E" w:rsidRPr="00D63E03" w:rsidP="00073D9E" w14:paraId="0B921EAB" w14:textId="77777777">
      <w:pPr>
        <w:pStyle w:val="FootnoteText"/>
        <w:rPr>
          <w:sz w:val="20"/>
        </w:rPr>
      </w:pPr>
      <w:r w:rsidRPr="00D63E03">
        <w:rPr>
          <w:rStyle w:val="FootnoteReference"/>
          <w:sz w:val="20"/>
        </w:rPr>
        <w:footnoteRef/>
      </w:r>
      <w:r w:rsidRPr="00D63E03">
        <w:rPr>
          <w:sz w:val="20"/>
        </w:rPr>
        <w:t xml:space="preserve"> Letter from Stephen E. Coran, Counsel to Redwire, to Kris Anne Monteith, Chief, Wireline Competition Bureau, FCC, AU Docket No. 17-182 et al., at 1-2 (filed Dec. </w:t>
      </w:r>
      <w:r w:rsidRPr="00D63E03" w:rsidR="006B43DD">
        <w:rPr>
          <w:sz w:val="20"/>
        </w:rPr>
        <w:t>1</w:t>
      </w:r>
      <w:r w:rsidRPr="00D63E03">
        <w:rPr>
          <w:sz w:val="20"/>
        </w:rPr>
        <w:t>, 2021) (Redwire Dec. 2021 Status Report) (citing</w:t>
      </w:r>
      <w:r w:rsidRPr="00D63E03">
        <w:rPr>
          <w:i/>
          <w:iCs/>
          <w:sz w:val="20"/>
        </w:rPr>
        <w:t xml:space="preserve"> Connect America Fund et al.</w:t>
      </w:r>
      <w:r w:rsidRPr="00D63E03">
        <w:rPr>
          <w:sz w:val="20"/>
        </w:rPr>
        <w:t>, WC Docket No. 10-90 et al., Order, DA 21-1097 (WCB Sept. 2, 2021) (</w:t>
      </w:r>
      <w:r w:rsidRPr="00D63E03">
        <w:rPr>
          <w:i/>
          <w:iCs/>
          <w:sz w:val="20"/>
        </w:rPr>
        <w:t>Redwire Second Waiver Order</w:t>
      </w:r>
      <w:r w:rsidRPr="00D63E03">
        <w:rPr>
          <w:sz w:val="20"/>
        </w:rPr>
        <w:t xml:space="preserve">)).  </w:t>
      </w:r>
      <w:r w:rsidRPr="00D63E03" w:rsidR="00286F1A">
        <w:rPr>
          <w:sz w:val="20"/>
        </w:rPr>
        <w:t xml:space="preserve">As explained more fully below, in 2020, the Bureau, in conjunction with the Rural Broadband Auctions Task Force and the Office of Economics and Analytics, waived the Auction 903 letter of credit requirement for Redwire for 12 months and authorized Redwire to begin receiving Auction 903 support.  </w:t>
      </w:r>
      <w:r w:rsidRPr="00D63E03" w:rsidR="00286F1A">
        <w:rPr>
          <w:i/>
          <w:iCs/>
          <w:sz w:val="20"/>
        </w:rPr>
        <w:t>Connect America Fund et al.</w:t>
      </w:r>
      <w:r w:rsidRPr="00D63E03" w:rsidR="00286F1A">
        <w:rPr>
          <w:sz w:val="20"/>
        </w:rPr>
        <w:t>, WC Docket No. 10-90 et al., Order, 35 FCC Rcd 5844 (WCB 2020) (</w:t>
      </w:r>
      <w:r w:rsidRPr="00D63E03" w:rsidR="00286F1A">
        <w:rPr>
          <w:i/>
          <w:iCs/>
          <w:sz w:val="20"/>
        </w:rPr>
        <w:t>Redwire Waiver Order</w:t>
      </w:r>
      <w:r w:rsidRPr="00D63E03" w:rsidR="00286F1A">
        <w:rPr>
          <w:sz w:val="20"/>
        </w:rPr>
        <w:t xml:space="preserve">); </w:t>
      </w:r>
      <w:r w:rsidRPr="00D63E03" w:rsidR="00286F1A">
        <w:rPr>
          <w:i/>
          <w:iCs/>
          <w:snapToGrid w:val="0"/>
          <w:sz w:val="20"/>
        </w:rPr>
        <w:t>Connect America Fund Phase II Auction Support Authorized for 169 Winning Bids</w:t>
      </w:r>
      <w:r w:rsidRPr="00D63E03" w:rsidR="00286F1A">
        <w:rPr>
          <w:snapToGrid w:val="0"/>
          <w:sz w:val="20"/>
        </w:rPr>
        <w:t>, AU Docket No. 17-182 et al., Public Notice, 35 FCC Rcd 5849 (WCB 2020) (</w:t>
      </w:r>
      <w:r w:rsidRPr="00D63E03" w:rsidR="00286F1A">
        <w:rPr>
          <w:i/>
          <w:iCs/>
          <w:snapToGrid w:val="0"/>
          <w:sz w:val="20"/>
        </w:rPr>
        <w:t>Redwire Authorization Public Notice</w:t>
      </w:r>
      <w:r w:rsidRPr="00D63E03" w:rsidR="00286F1A">
        <w:rPr>
          <w:snapToGrid w:val="0"/>
          <w:sz w:val="20"/>
        </w:rPr>
        <w:t>).</w:t>
      </w:r>
      <w:r w:rsidRPr="00D63E03" w:rsidR="00286F1A">
        <w:rPr>
          <w:sz w:val="20"/>
        </w:rPr>
        <w:t xml:space="preserve">  The Bureau then granted Redwire a</w:t>
      </w:r>
      <w:r w:rsidRPr="00D63E03" w:rsidR="00F344C4">
        <w:rPr>
          <w:sz w:val="20"/>
        </w:rPr>
        <w:t>n</w:t>
      </w:r>
      <w:r w:rsidRPr="00D63E03" w:rsidR="00286F1A">
        <w:rPr>
          <w:sz w:val="20"/>
        </w:rPr>
        <w:t xml:space="preserve"> extension of this waiver for another 12-month period</w:t>
      </w:r>
      <w:r w:rsidRPr="00D63E03" w:rsidR="0085548C">
        <w:rPr>
          <w:sz w:val="20"/>
        </w:rPr>
        <w:t xml:space="preserve"> conditioned on </w:t>
      </w:r>
      <w:r w:rsidRPr="00D63E03" w:rsidR="0073557F">
        <w:rPr>
          <w:sz w:val="20"/>
        </w:rPr>
        <w:t>Redwire</w:t>
      </w:r>
      <w:r w:rsidRPr="00D63E03" w:rsidR="00795A65">
        <w:rPr>
          <w:sz w:val="20"/>
        </w:rPr>
        <w:t xml:space="preserve"> entering into a binding agreement with another service provider</w:t>
      </w:r>
      <w:r w:rsidRPr="00D63E03" w:rsidR="00AD2A2A">
        <w:rPr>
          <w:sz w:val="20"/>
        </w:rPr>
        <w:t xml:space="preserve"> within 90 days</w:t>
      </w:r>
      <w:r w:rsidRPr="00D63E03" w:rsidR="00795A65">
        <w:rPr>
          <w:sz w:val="20"/>
        </w:rPr>
        <w:t xml:space="preserve"> to assume all of the obligations </w:t>
      </w:r>
      <w:r w:rsidRPr="00D63E03" w:rsidR="00AD2A2A">
        <w:rPr>
          <w:sz w:val="20"/>
        </w:rPr>
        <w:t xml:space="preserve">associated with </w:t>
      </w:r>
      <w:r w:rsidRPr="00D63E03" w:rsidR="0073557F">
        <w:rPr>
          <w:sz w:val="20"/>
        </w:rPr>
        <w:t>its Auction 903 support</w:t>
      </w:r>
      <w:r w:rsidRPr="00D63E03" w:rsidR="00286F1A">
        <w:rPr>
          <w:sz w:val="20"/>
        </w:rPr>
        <w:t xml:space="preserve">.  </w:t>
      </w:r>
      <w:r w:rsidRPr="00D63E03" w:rsidR="00286F1A">
        <w:rPr>
          <w:i/>
          <w:iCs/>
          <w:sz w:val="20"/>
        </w:rPr>
        <w:t>Redwire Second Waiver Order</w:t>
      </w:r>
      <w:r w:rsidRPr="00D63E03" w:rsidR="00286F1A">
        <w:rPr>
          <w:sz w:val="20"/>
        </w:rPr>
        <w:t xml:space="preserve">.  </w:t>
      </w:r>
      <w:r w:rsidRPr="00D63E03" w:rsidR="0073557F">
        <w:rPr>
          <w:sz w:val="20"/>
        </w:rPr>
        <w:t>On the 90</w:t>
      </w:r>
      <w:r w:rsidRPr="00D63E03" w:rsidR="0073557F">
        <w:rPr>
          <w:sz w:val="20"/>
          <w:vertAlign w:val="superscript"/>
        </w:rPr>
        <w:t>th</w:t>
      </w:r>
      <w:r w:rsidRPr="00D63E03" w:rsidR="0073557F">
        <w:rPr>
          <w:sz w:val="20"/>
        </w:rPr>
        <w:t xml:space="preserve"> day, December 1, 2021</w:t>
      </w:r>
      <w:r w:rsidRPr="00D63E03" w:rsidR="00023A71">
        <w:rPr>
          <w:sz w:val="20"/>
        </w:rPr>
        <w:t>,</w:t>
      </w:r>
      <w:r w:rsidRPr="00D63E03" w:rsidR="0073557F">
        <w:rPr>
          <w:sz w:val="20"/>
        </w:rPr>
        <w:t xml:space="preserve"> </w:t>
      </w:r>
      <w:r w:rsidRPr="00D63E03" w:rsidR="00286F1A">
        <w:rPr>
          <w:sz w:val="20"/>
        </w:rPr>
        <w:t>Redwire notified the Bureau that it had not yet met the</w:t>
      </w:r>
      <w:r w:rsidRPr="00D63E03" w:rsidR="00286F1A">
        <w:rPr>
          <w:i/>
          <w:iCs/>
          <w:sz w:val="20"/>
        </w:rPr>
        <w:t xml:space="preserve"> Redwire Second Waiver Order</w:t>
      </w:r>
      <w:r w:rsidRPr="00D63E03" w:rsidR="00286F1A">
        <w:rPr>
          <w:sz w:val="20"/>
        </w:rPr>
        <w:t xml:space="preserve"> condition and requested a “continuing waiver”</w:t>
      </w:r>
      <w:r w:rsidRPr="00D63E03" w:rsidR="00CD5BCC">
        <w:rPr>
          <w:sz w:val="20"/>
        </w:rPr>
        <w:t xml:space="preserve"> </w:t>
      </w:r>
      <w:r w:rsidRPr="00D63E03" w:rsidR="0073557F">
        <w:rPr>
          <w:sz w:val="20"/>
        </w:rPr>
        <w:t xml:space="preserve">in order to enter a binding agreement with another service provider. </w:t>
      </w:r>
      <w:r w:rsidRPr="00D63E03" w:rsidR="00286F1A">
        <w:rPr>
          <w:sz w:val="20"/>
        </w:rPr>
        <w:t xml:space="preserve"> </w:t>
      </w:r>
      <w:r w:rsidRPr="00D63E03" w:rsidR="002A45F2">
        <w:rPr>
          <w:sz w:val="20"/>
        </w:rPr>
        <w:t>Redwire Dec. 2021 Status Report at 1-2</w:t>
      </w:r>
      <w:r w:rsidRPr="00D63E03" w:rsidR="001D0F80">
        <w:rPr>
          <w:sz w:val="20"/>
        </w:rPr>
        <w:t xml:space="preserve">; </w:t>
      </w:r>
      <w:r w:rsidRPr="00D63E03" w:rsidR="001D0F80">
        <w:rPr>
          <w:i/>
          <w:iCs/>
          <w:sz w:val="20"/>
        </w:rPr>
        <w:t>see also</w:t>
      </w:r>
      <w:r w:rsidRPr="00D63E03" w:rsidR="001D0F80">
        <w:rPr>
          <w:sz w:val="20"/>
        </w:rPr>
        <w:t xml:space="preserve"> Letter from Stephen E. Coran, Counsel to Redwire, to Trent Harkrader, Chief, Wireline Competition Bureau, FCC, AU Docket No. 17-182 </w:t>
      </w:r>
      <w:r w:rsidRPr="00D63E03" w:rsidR="001D0F80">
        <w:rPr>
          <w:i/>
          <w:iCs/>
          <w:sz w:val="20"/>
        </w:rPr>
        <w:t>et al.</w:t>
      </w:r>
      <w:r w:rsidRPr="00D63E03" w:rsidR="001D0F80">
        <w:rPr>
          <w:sz w:val="20"/>
        </w:rPr>
        <w:t>, at 1-2 (filed June 1, 2022) (Redwire June 2022 Status Report)</w:t>
      </w:r>
      <w:r w:rsidRPr="00D63E03" w:rsidR="002A45F2">
        <w:rPr>
          <w:sz w:val="20"/>
        </w:rPr>
        <w:t>.</w:t>
      </w:r>
      <w:r w:rsidRPr="00D63E03" w:rsidR="00B52533">
        <w:rPr>
          <w:sz w:val="20"/>
        </w:rPr>
        <w:t xml:space="preserve">  </w:t>
      </w:r>
      <w:r w:rsidRPr="00D63E03" w:rsidR="0073531C">
        <w:rPr>
          <w:sz w:val="20"/>
        </w:rPr>
        <w:t xml:space="preserve">On January 31, 2022, Redwire notified the </w:t>
      </w:r>
      <w:r w:rsidRPr="00D63E03" w:rsidR="0075603F">
        <w:rPr>
          <w:sz w:val="20"/>
        </w:rPr>
        <w:t>Bureau that it had reached an agreement with At</w:t>
      </w:r>
      <w:r w:rsidRPr="00D63E03" w:rsidR="0009694B">
        <w:rPr>
          <w:sz w:val="20"/>
        </w:rPr>
        <w:t>L</w:t>
      </w:r>
      <w:r w:rsidRPr="00D63E03" w:rsidR="0075603F">
        <w:rPr>
          <w:sz w:val="20"/>
        </w:rPr>
        <w:t xml:space="preserve">ink to </w:t>
      </w:r>
      <w:r w:rsidRPr="00D63E03" w:rsidR="0075603F">
        <w:rPr>
          <w:sz w:val="20"/>
        </w:rPr>
        <w:t xml:space="preserve">transfer </w:t>
      </w:r>
      <w:r w:rsidRPr="00D63E03" w:rsidR="0075603F">
        <w:rPr>
          <w:sz w:val="20"/>
        </w:rPr>
        <w:t xml:space="preserve">Redwire’s Auction 903 support obligations for the Assigned Census Blocks from Redwire to AtLink. </w:t>
      </w:r>
      <w:r w:rsidRPr="00D63E03" w:rsidR="002843D2">
        <w:rPr>
          <w:sz w:val="20"/>
        </w:rPr>
        <w:t xml:space="preserve"> </w:t>
      </w:r>
      <w:r w:rsidRPr="00D63E03" w:rsidR="0075603F">
        <w:rPr>
          <w:i/>
          <w:iCs/>
          <w:sz w:val="20"/>
        </w:rPr>
        <w:t>See</w:t>
      </w:r>
      <w:r w:rsidRPr="00D63E03" w:rsidR="0075603F">
        <w:rPr>
          <w:sz w:val="20"/>
        </w:rPr>
        <w:t xml:space="preserve"> Letter from Stephen E. Coran, Counsel to Redwire, Inc., to Kris Anne Monteith, Chief, Wireline Competition Bureau, FCC, WC Docket No. 10-90 et al., at 1-2 (filed Jan. 31, 2022) (Redwire Jan. 2022 Status Report).  </w:t>
      </w:r>
    </w:p>
  </w:footnote>
  <w:footnote w:id="7">
    <w:p w:rsidR="00073D9E" w:rsidRPr="00D63E03" w:rsidP="00073D9E" w14:paraId="7FAF376C" w14:textId="77777777">
      <w:pPr>
        <w:pStyle w:val="FootnoteText"/>
        <w:rPr>
          <w:sz w:val="20"/>
        </w:rPr>
      </w:pPr>
      <w:r w:rsidRPr="00D63E03">
        <w:rPr>
          <w:rStyle w:val="FootnoteReference"/>
          <w:sz w:val="20"/>
        </w:rPr>
        <w:footnoteRef/>
      </w:r>
      <w:r w:rsidRPr="00D63E03">
        <w:rPr>
          <w:sz w:val="20"/>
        </w:rPr>
        <w:t xml:space="preserve"> Application at 9-13.  </w:t>
      </w:r>
      <w:r w:rsidRPr="00D63E03">
        <w:rPr>
          <w:rFonts w:eastAsia="Calibri"/>
          <w:sz w:val="20"/>
        </w:rPr>
        <w:t xml:space="preserve"> </w:t>
      </w:r>
      <w:r w:rsidRPr="00D63E03">
        <w:rPr>
          <w:sz w:val="20"/>
        </w:rPr>
        <w:t xml:space="preserve"> </w:t>
      </w:r>
    </w:p>
  </w:footnote>
  <w:footnote w:id="8">
    <w:p w:rsidR="00073D9E" w:rsidRPr="00D63E03" w:rsidP="00073D9E" w14:paraId="7FEE1800" w14:textId="77777777">
      <w:pPr>
        <w:pStyle w:val="FootnoteText"/>
        <w:rPr>
          <w:sz w:val="20"/>
        </w:rPr>
      </w:pPr>
      <w:r w:rsidRPr="00D63E03">
        <w:rPr>
          <w:rStyle w:val="FootnoteReference"/>
          <w:sz w:val="20"/>
        </w:rPr>
        <w:footnoteRef/>
      </w:r>
      <w:r w:rsidRPr="00D63E03">
        <w:rPr>
          <w:sz w:val="20"/>
        </w:rPr>
        <w:t xml:space="preserve"> </w:t>
      </w:r>
      <w:r w:rsidRPr="00D63E03" w:rsidR="006D3F79">
        <w:rPr>
          <w:i/>
          <w:iCs/>
          <w:sz w:val="20"/>
        </w:rPr>
        <w:t>See</w:t>
      </w:r>
      <w:r w:rsidRPr="00D63E03">
        <w:rPr>
          <w:sz w:val="20"/>
        </w:rPr>
        <w:t xml:space="preserve"> Redwire Jan. 2022 Status Report</w:t>
      </w:r>
      <w:r w:rsidRPr="00D63E03" w:rsidR="0075603F">
        <w:rPr>
          <w:sz w:val="20"/>
        </w:rPr>
        <w:t xml:space="preserve"> at 1-2</w:t>
      </w:r>
      <w:r w:rsidR="0009466D">
        <w:rPr>
          <w:sz w:val="20"/>
        </w:rPr>
        <w:t>; Redwire June 2022 Status Report at 1-2.</w:t>
      </w:r>
      <w:r w:rsidRPr="00D63E03">
        <w:rPr>
          <w:sz w:val="20"/>
        </w:rPr>
        <w:t xml:space="preserve">  </w:t>
      </w:r>
    </w:p>
  </w:footnote>
  <w:footnote w:id="9">
    <w:p w:rsidR="000B6FF5" w:rsidRPr="00D63E03" w:rsidP="000B6FF5" w14:paraId="6C1BBC3F" w14:textId="77777777">
      <w:pPr>
        <w:pStyle w:val="FootnoteText"/>
        <w:rPr>
          <w:sz w:val="20"/>
        </w:rPr>
      </w:pPr>
      <w:r w:rsidRPr="00D63E03">
        <w:rPr>
          <w:rStyle w:val="FootnoteReference"/>
          <w:sz w:val="20"/>
        </w:rPr>
        <w:footnoteRef/>
      </w:r>
      <w:r w:rsidRPr="00D63E03" w:rsidR="007602D2">
        <w:rPr>
          <w:i/>
          <w:iCs/>
          <w:sz w:val="20"/>
        </w:rPr>
        <w:t xml:space="preserve"> </w:t>
      </w:r>
      <w:r w:rsidRPr="00D63E03">
        <w:rPr>
          <w:i/>
          <w:iCs/>
          <w:sz w:val="20"/>
        </w:rPr>
        <w:t>Redwire Second Waiver Order</w:t>
      </w:r>
      <w:r w:rsidRPr="00D63E03">
        <w:rPr>
          <w:sz w:val="20"/>
        </w:rPr>
        <w:t xml:space="preserve"> at 4, para. 11.  </w:t>
      </w:r>
    </w:p>
  </w:footnote>
  <w:footnote w:id="10">
    <w:p w:rsidR="00073D9E" w:rsidRPr="00D63E03" w:rsidP="00073D9E" w14:paraId="7F11ADA6" w14:textId="77777777">
      <w:pPr>
        <w:pStyle w:val="FootnoteText"/>
        <w:rPr>
          <w:sz w:val="20"/>
        </w:rPr>
      </w:pPr>
      <w:r w:rsidRPr="00D63E03">
        <w:rPr>
          <w:rStyle w:val="FootnoteReference"/>
          <w:sz w:val="20"/>
        </w:rPr>
        <w:footnoteRef/>
      </w:r>
      <w:r w:rsidRPr="00D63E03">
        <w:rPr>
          <w:sz w:val="20"/>
        </w:rPr>
        <w:t xml:space="preserve"> Application at 3 (citing Oklahoma Corporation Commission, Cause No. 201900009; Order No. 705772 (Dec. 3, 2019) (designating Redwire as an ETC for the Assigned Census Blocks)). </w:t>
      </w:r>
    </w:p>
  </w:footnote>
  <w:footnote w:id="11">
    <w:p w:rsidR="00073D9E" w:rsidRPr="00D63E03" w:rsidP="00073D9E" w14:paraId="643FC7BE" w14:textId="77777777">
      <w:pPr>
        <w:pStyle w:val="FootnoteText"/>
        <w:rPr>
          <w:sz w:val="20"/>
        </w:rPr>
      </w:pPr>
      <w:r w:rsidRPr="00D63E03">
        <w:rPr>
          <w:rStyle w:val="FootnoteReference"/>
          <w:sz w:val="20"/>
        </w:rPr>
        <w:footnoteRef/>
      </w:r>
      <w:r w:rsidRPr="00D63E03">
        <w:rPr>
          <w:sz w:val="20"/>
        </w:rPr>
        <w:t xml:space="preserve"> </w:t>
      </w:r>
      <w:r w:rsidRPr="00D63E03" w:rsidR="00023A71">
        <w:rPr>
          <w:sz w:val="20"/>
        </w:rPr>
        <w:t xml:space="preserve">Application </w:t>
      </w:r>
      <w:r w:rsidRPr="00D63E03">
        <w:rPr>
          <w:sz w:val="20"/>
        </w:rPr>
        <w:t xml:space="preserve">at 3 (citing </w:t>
      </w:r>
      <w:r w:rsidRPr="00D63E03">
        <w:rPr>
          <w:i/>
          <w:iCs/>
          <w:sz w:val="20"/>
        </w:rPr>
        <w:t>Redwire Authorization Public Notice</w:t>
      </w:r>
      <w:r w:rsidRPr="00D63E03">
        <w:rPr>
          <w:sz w:val="20"/>
        </w:rPr>
        <w:t>, 35 FCC Rcd at 5851, 5855) (stating that ETCs</w:t>
      </w:r>
      <w:r w:rsidRPr="00D63E03">
        <w:rPr>
          <w:color w:val="3D3D3D"/>
          <w:sz w:val="20"/>
          <w:shd w:val="clear" w:color="auto" w:fill="FFFFFF"/>
        </w:rPr>
        <w:t xml:space="preserve"> </w:t>
      </w:r>
      <w:r w:rsidRPr="00D63E03">
        <w:rPr>
          <w:sz w:val="20"/>
          <w:shd w:val="clear" w:color="auto" w:fill="FFFFFF"/>
        </w:rPr>
        <w:t>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sidRPr="00D63E03" w:rsidR="00023A71">
        <w:rPr>
          <w:sz w:val="20"/>
          <w:shd w:val="clear" w:color="auto" w:fill="FFFFFF"/>
        </w:rPr>
        <w:t>)</w:t>
      </w:r>
      <w:r w:rsidRPr="00D63E03">
        <w:rPr>
          <w:sz w:val="20"/>
        </w:rPr>
        <w:t xml:space="preserve">.  </w:t>
      </w:r>
    </w:p>
  </w:footnote>
  <w:footnote w:id="12">
    <w:p w:rsidR="00073D9E" w:rsidRPr="00D63E03" w:rsidP="00073D9E" w14:paraId="7DDEA966" w14:textId="77777777">
      <w:pPr>
        <w:pStyle w:val="FootnoteText"/>
        <w:rPr>
          <w:sz w:val="20"/>
        </w:rPr>
      </w:pPr>
      <w:r w:rsidRPr="00D63E03">
        <w:rPr>
          <w:rStyle w:val="FootnoteReference"/>
          <w:sz w:val="20"/>
        </w:rPr>
        <w:footnoteRef/>
      </w:r>
      <w:r w:rsidRPr="00D63E03">
        <w:rPr>
          <w:sz w:val="20"/>
        </w:rPr>
        <w:t xml:space="preserve"> Application at 3; Letter from Stephen E. Coran, Counsel to Redwire, to Kris Anne Monteith, Chief, Wireline Competition Bureau, FCC, AU Docket No. 17-182 et al., at 2 (filed Mar. 1, 2022) (Redwire Mar. 2022 Status Report)</w:t>
      </w:r>
      <w:r w:rsidRPr="00D63E03" w:rsidR="00DA0F31">
        <w:rPr>
          <w:sz w:val="20"/>
        </w:rPr>
        <w:t>.</w:t>
      </w:r>
    </w:p>
  </w:footnote>
  <w:footnote w:id="13">
    <w:p w:rsidR="00073D9E" w:rsidRPr="00D63E03" w:rsidP="00073D9E" w14:paraId="6215A50A"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Redwire Waiver Order</w:t>
      </w:r>
      <w:r w:rsidRPr="00D63E03">
        <w:rPr>
          <w:sz w:val="20"/>
        </w:rPr>
        <w:t>, 35 FCC Rcd 5844 (finding that “the unprecedented pandemic’s impact on the hospitality industry, which uniquely impacts the Tribe and Redwire . . . has resulted in Redwire’s inability to secure a letter of credit at this time”).</w:t>
      </w:r>
    </w:p>
  </w:footnote>
  <w:footnote w:id="14">
    <w:p w:rsidR="00073D9E" w:rsidRPr="00D63E03" w:rsidP="00073D9E" w14:paraId="73695B8D"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 xml:space="preserve">Redwire Second Waiver Order </w:t>
      </w:r>
      <w:r w:rsidRPr="00D63E03">
        <w:rPr>
          <w:sz w:val="20"/>
        </w:rPr>
        <w:t xml:space="preserve">at 3-5, paras. 8-15. </w:t>
      </w:r>
    </w:p>
  </w:footnote>
  <w:footnote w:id="15">
    <w:p w:rsidR="00073D9E" w:rsidRPr="00D63E03" w:rsidP="00073D9E" w14:paraId="2BEA3825"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Id.</w:t>
      </w:r>
      <w:r w:rsidRPr="00D63E03">
        <w:rPr>
          <w:sz w:val="20"/>
        </w:rPr>
        <w:t xml:space="preserve"> at 3, para. 10.</w:t>
      </w:r>
    </w:p>
  </w:footnote>
  <w:footnote w:id="16">
    <w:p w:rsidR="00073D9E" w:rsidRPr="00D63E03" w:rsidP="00073D9E" w14:paraId="5378AA19"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Id.</w:t>
      </w:r>
      <w:r w:rsidRPr="00D63E03">
        <w:rPr>
          <w:sz w:val="20"/>
        </w:rPr>
        <w:t xml:space="preserve"> at 3-4, para. 10.</w:t>
      </w:r>
    </w:p>
  </w:footnote>
  <w:footnote w:id="17">
    <w:p w:rsidR="00073D9E" w:rsidRPr="00D63E03" w:rsidP="00073D9E" w14:paraId="572265EF"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Id.</w:t>
      </w:r>
      <w:r w:rsidRPr="00D63E03">
        <w:rPr>
          <w:sz w:val="20"/>
        </w:rPr>
        <w:t xml:space="preserve"> at 4, para 10.  Redwire would also no longer have the obligation to serve the areas.  </w:t>
      </w:r>
      <w:r w:rsidRPr="00D63E03">
        <w:rPr>
          <w:i/>
          <w:iCs/>
          <w:sz w:val="20"/>
        </w:rPr>
        <w:t>Id.</w:t>
      </w:r>
      <w:r w:rsidRPr="00D63E03">
        <w:rPr>
          <w:sz w:val="20"/>
        </w:rPr>
        <w:t xml:space="preserve"> </w:t>
      </w:r>
    </w:p>
  </w:footnote>
  <w:footnote w:id="18">
    <w:p w:rsidR="00073D9E" w:rsidRPr="00D63E03" w:rsidP="00073D9E" w14:paraId="5DAD6E65"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Id.</w:t>
      </w:r>
      <w:r w:rsidRPr="00D63E03">
        <w:rPr>
          <w:sz w:val="20"/>
        </w:rPr>
        <w:t xml:space="preserve"> at 4, para. 11.</w:t>
      </w:r>
    </w:p>
  </w:footnote>
  <w:footnote w:id="19">
    <w:p w:rsidR="00073D9E" w:rsidRPr="00D63E03" w:rsidP="00073D9E" w14:paraId="6170FA19"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Id.</w:t>
      </w:r>
      <w:r w:rsidRPr="00D63E03">
        <w:rPr>
          <w:i/>
          <w:sz w:val="20"/>
        </w:rPr>
        <w:t xml:space="preserve"> </w:t>
      </w:r>
      <w:r w:rsidRPr="00D63E03">
        <w:rPr>
          <w:sz w:val="20"/>
        </w:rPr>
        <w:t xml:space="preserve"> </w:t>
      </w:r>
      <w:r w:rsidRPr="00D63E03">
        <w:rPr>
          <w:i/>
          <w:iCs/>
          <w:sz w:val="20"/>
        </w:rPr>
        <w:t>See also</w:t>
      </w:r>
      <w:r w:rsidRPr="00D63E03">
        <w:rPr>
          <w:sz w:val="20"/>
        </w:rPr>
        <w:t xml:space="preserve"> 47 CFR § 54.315(c) (describing the letter of credit and bankruptcy opinion letter requirements). </w:t>
      </w:r>
    </w:p>
  </w:footnote>
  <w:footnote w:id="20">
    <w:p w:rsidR="00073D9E" w:rsidRPr="00D63E03" w:rsidP="00073D9E" w14:paraId="46377004"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 xml:space="preserve">Redwire Second Waiver Order </w:t>
      </w:r>
      <w:r w:rsidRPr="00D63E03">
        <w:rPr>
          <w:sz w:val="20"/>
        </w:rPr>
        <w:t xml:space="preserve">at 4, para. 11. </w:t>
      </w:r>
      <w:r w:rsidRPr="00D63E03">
        <w:rPr>
          <w:i/>
          <w:iCs/>
          <w:sz w:val="20"/>
        </w:rPr>
        <w:t xml:space="preserve"> </w:t>
      </w:r>
      <w:r w:rsidRPr="00D63E03" w:rsidR="00023A71">
        <w:rPr>
          <w:sz w:val="20"/>
        </w:rPr>
        <w:t xml:space="preserve">The Bureau required </w:t>
      </w:r>
      <w:r w:rsidRPr="00D63E03">
        <w:rPr>
          <w:sz w:val="20"/>
        </w:rPr>
        <w:t xml:space="preserve">Redwire to submit quarterly reports </w:t>
      </w:r>
      <w:r w:rsidRPr="00D63E03" w:rsidR="008672FD">
        <w:rPr>
          <w:sz w:val="20"/>
        </w:rPr>
        <w:t>describing</w:t>
      </w:r>
      <w:r w:rsidRPr="00D63E03">
        <w:rPr>
          <w:sz w:val="20"/>
        </w:rPr>
        <w:t xml:space="preserve"> progress in meeting the waiver conditions.  </w:t>
      </w:r>
      <w:r w:rsidRPr="00D63E03">
        <w:rPr>
          <w:i/>
          <w:iCs/>
          <w:sz w:val="20"/>
        </w:rPr>
        <w:t>Id.</w:t>
      </w:r>
      <w:r w:rsidRPr="00D63E03">
        <w:rPr>
          <w:sz w:val="20"/>
        </w:rPr>
        <w:t xml:space="preserve"> </w:t>
      </w:r>
    </w:p>
  </w:footnote>
  <w:footnote w:id="21">
    <w:p w:rsidR="00073D9E" w:rsidRPr="00D63E03" w:rsidP="00073D9E" w14:paraId="57D1289C"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Id.</w:t>
      </w:r>
      <w:r w:rsidRPr="00D63E03">
        <w:rPr>
          <w:sz w:val="20"/>
        </w:rPr>
        <w:t xml:space="preserve"> </w:t>
      </w:r>
    </w:p>
  </w:footnote>
  <w:footnote w:id="22">
    <w:p w:rsidR="00073D9E" w:rsidRPr="00D63E03" w:rsidP="00073D9E" w14:paraId="0E0FDCBD" w14:textId="77777777">
      <w:pPr>
        <w:pStyle w:val="FootnoteText"/>
        <w:rPr>
          <w:sz w:val="20"/>
        </w:rPr>
      </w:pPr>
      <w:r w:rsidRPr="00D63E03">
        <w:rPr>
          <w:rStyle w:val="FootnoteReference"/>
          <w:sz w:val="20"/>
        </w:rPr>
        <w:footnoteRef/>
      </w:r>
      <w:r w:rsidRPr="00D63E03">
        <w:rPr>
          <w:sz w:val="20"/>
        </w:rPr>
        <w:t xml:space="preserve"> Redwire Dec. 2021 Status Report at 1-2.  On January 31, 2022, Redwire filed for approval with the Oklahoma Corporation Commission to relinquish its Oklahoma ETC designation for the Assigned Census Blocks and for AtLink to expand its ETC designation to cover the Assigned Census Blocks.  Redwire Jan. 2022 Status Report at 2.</w:t>
      </w:r>
    </w:p>
  </w:footnote>
  <w:footnote w:id="23">
    <w:p w:rsidR="00073D9E" w:rsidRPr="00D63E03" w:rsidP="00073D9E" w14:paraId="11940000" w14:textId="77777777">
      <w:pPr>
        <w:pStyle w:val="FootnoteText"/>
        <w:rPr>
          <w:sz w:val="20"/>
        </w:rPr>
      </w:pPr>
      <w:r w:rsidRPr="00D63E03">
        <w:rPr>
          <w:rStyle w:val="FootnoteReference"/>
          <w:sz w:val="20"/>
        </w:rPr>
        <w:footnoteRef/>
      </w:r>
      <w:r w:rsidRPr="00D63E03">
        <w:rPr>
          <w:sz w:val="20"/>
        </w:rPr>
        <w:t xml:space="preserve"> Redwire Jan. 2022 Status Report at 1-2.</w:t>
      </w:r>
    </w:p>
  </w:footnote>
  <w:footnote w:id="24">
    <w:p w:rsidR="00073D9E" w:rsidRPr="00D63E03" w:rsidP="00073D9E" w14:paraId="75D0C275"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Id.</w:t>
      </w:r>
      <w:r w:rsidRPr="00D63E03">
        <w:rPr>
          <w:sz w:val="20"/>
        </w:rPr>
        <w:t xml:space="preserve"> </w:t>
      </w:r>
    </w:p>
  </w:footnote>
  <w:footnote w:id="25">
    <w:p w:rsidR="00073D9E" w:rsidRPr="00D63E03" w:rsidP="00073D9E" w14:paraId="64C10720" w14:textId="77777777">
      <w:pPr>
        <w:pStyle w:val="FootnoteText"/>
        <w:rPr>
          <w:sz w:val="20"/>
        </w:rPr>
      </w:pPr>
      <w:r w:rsidRPr="00D63E03">
        <w:rPr>
          <w:rStyle w:val="FootnoteReference"/>
          <w:sz w:val="20"/>
        </w:rPr>
        <w:footnoteRef/>
      </w:r>
      <w:r w:rsidRPr="00D63E03">
        <w:rPr>
          <w:sz w:val="20"/>
        </w:rPr>
        <w:t xml:space="preserve"> Redwire Mar. 2022 Status Report at 1-2. </w:t>
      </w:r>
    </w:p>
  </w:footnote>
  <w:footnote w:id="26">
    <w:p w:rsidR="00073D9E" w:rsidRPr="00D63E03" w:rsidP="00073D9E" w14:paraId="5C3B43F2" w14:textId="77777777">
      <w:pPr>
        <w:pStyle w:val="FootnoteText"/>
        <w:rPr>
          <w:sz w:val="20"/>
        </w:rPr>
      </w:pPr>
      <w:r w:rsidRPr="00D63E03">
        <w:rPr>
          <w:rStyle w:val="FootnoteReference"/>
          <w:sz w:val="20"/>
        </w:rPr>
        <w:footnoteRef/>
      </w:r>
      <w:r w:rsidRPr="00D63E03">
        <w:rPr>
          <w:sz w:val="20"/>
        </w:rPr>
        <w:t xml:space="preserve"> Application at 3 (citing Oklahoma Corporation Commission, Cause No. 201800107, Order No. 690248 (Jan. 24, 2019) (designating AtLink as an ETC)). </w:t>
      </w:r>
    </w:p>
  </w:footnote>
  <w:footnote w:id="27">
    <w:p w:rsidR="00073D9E" w:rsidRPr="00D63E03" w:rsidP="00073D9E" w14:paraId="68AA7547" w14:textId="77777777">
      <w:pPr>
        <w:pStyle w:val="FootnoteText"/>
        <w:rPr>
          <w:sz w:val="20"/>
        </w:rPr>
      </w:pPr>
      <w:r w:rsidRPr="00D63E03">
        <w:rPr>
          <w:rStyle w:val="FootnoteReference"/>
          <w:sz w:val="20"/>
        </w:rPr>
        <w:footnoteRef/>
      </w:r>
      <w:r w:rsidRPr="00D63E03">
        <w:rPr>
          <w:sz w:val="20"/>
        </w:rPr>
        <w:t xml:space="preserve"> Application at 3-4. </w:t>
      </w:r>
    </w:p>
  </w:footnote>
  <w:footnote w:id="28">
    <w:p w:rsidR="00073D9E" w:rsidRPr="00D63E03" w:rsidP="00073D9E" w14:paraId="6E6200E1"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 xml:space="preserve">Id. </w:t>
      </w:r>
      <w:r w:rsidRPr="00D63E03">
        <w:rPr>
          <w:sz w:val="20"/>
        </w:rPr>
        <w:t xml:space="preserve">at 4.  </w:t>
      </w:r>
      <w:r w:rsidRPr="00D63E03">
        <w:rPr>
          <w:i/>
          <w:iCs/>
          <w:sz w:val="20"/>
        </w:rPr>
        <w:t>See Connect America Fund Phase II Auction Support Authorized for 2,413 Winning Bids</w:t>
      </w:r>
      <w:r w:rsidRPr="00D63E03">
        <w:rPr>
          <w:sz w:val="20"/>
        </w:rPr>
        <w:t>, AU Docket No. 17-182, WC Docket No. 10-90, Public Notice, 34 FCC Rcd 5966, Attach. A (Authorized Long Form Applicants and Winning Bids) (WCB/OEA 2019).  AtLink’s assigned</w:t>
      </w:r>
      <w:r w:rsidRPr="00D63E03" w:rsidR="004B424F">
        <w:rPr>
          <w:sz w:val="20"/>
        </w:rPr>
        <w:t xml:space="preserve"> </w:t>
      </w:r>
      <w:r w:rsidRPr="00D63E03">
        <w:rPr>
          <w:sz w:val="20"/>
        </w:rPr>
        <w:t xml:space="preserve">CAF II support amount over 10 years is $4,762,674.20.  Application at 4.  On January 27, 2022, the Bureau granted the domestic 214 application to transfer Cherokee Telephone Company’s Auction 903 obligations and support for </w:t>
      </w:r>
      <w:r w:rsidRPr="00D63E03" w:rsidR="1E183249">
        <w:rPr>
          <w:sz w:val="20"/>
        </w:rPr>
        <w:t xml:space="preserve">additional </w:t>
      </w:r>
      <w:r w:rsidRPr="00D63E03">
        <w:rPr>
          <w:sz w:val="20"/>
        </w:rPr>
        <w:t xml:space="preserve">census blocks in Oklahoma to AtLink.  </w:t>
      </w:r>
      <w:r w:rsidRPr="00D63E03">
        <w:rPr>
          <w:i/>
          <w:iCs/>
          <w:sz w:val="20"/>
        </w:rPr>
        <w:t>Domestic Section 214 Application Granted for the Transfer of Certain Authorizations of Cherokee Telephone Company to AtLink Services, LLC</w:t>
      </w:r>
      <w:r w:rsidRPr="00D63E03">
        <w:rPr>
          <w:sz w:val="20"/>
        </w:rPr>
        <w:t>, WC Docket No. 21-423, Public Notice, DA 22-90 (WCB 2022) (</w:t>
      </w:r>
      <w:r w:rsidRPr="00D63E03">
        <w:rPr>
          <w:i/>
          <w:iCs/>
          <w:sz w:val="20"/>
        </w:rPr>
        <w:t>Cherokee Approval Public Notice</w:t>
      </w:r>
      <w:r w:rsidRPr="00D63E03" w:rsidR="1E183249">
        <w:rPr>
          <w:sz w:val="20"/>
        </w:rPr>
        <w:t xml:space="preserve">). </w:t>
      </w:r>
    </w:p>
  </w:footnote>
  <w:footnote w:id="29">
    <w:p w:rsidR="00073D9E" w:rsidRPr="00D63E03" w:rsidP="00073D9E" w14:paraId="40C89AA5" w14:textId="77777777">
      <w:pPr>
        <w:pStyle w:val="FootnoteText"/>
        <w:rPr>
          <w:sz w:val="20"/>
        </w:rPr>
      </w:pPr>
      <w:r w:rsidRPr="00D63E03">
        <w:rPr>
          <w:rStyle w:val="FootnoteReference"/>
          <w:sz w:val="20"/>
        </w:rPr>
        <w:footnoteRef/>
      </w:r>
      <w:r w:rsidRPr="00D63E03">
        <w:rPr>
          <w:sz w:val="20"/>
        </w:rPr>
        <w:t xml:space="preserve"> Application</w:t>
      </w:r>
      <w:r w:rsidRPr="00D63E03">
        <w:rPr>
          <w:i/>
          <w:iCs/>
          <w:sz w:val="20"/>
        </w:rPr>
        <w:t xml:space="preserve"> </w:t>
      </w:r>
      <w:r w:rsidRPr="00D63E03">
        <w:rPr>
          <w:sz w:val="20"/>
        </w:rPr>
        <w:t xml:space="preserve">at 14-15.  Applicants list four U.S. trusts, and their beneficiaries, each a U.S. citizen, </w:t>
      </w:r>
      <w:r w:rsidRPr="00D63E03" w:rsidR="00E20067">
        <w:rPr>
          <w:sz w:val="20"/>
        </w:rPr>
        <w:t>which</w:t>
      </w:r>
      <w:r w:rsidRPr="00D63E03" w:rsidR="008D3507">
        <w:rPr>
          <w:sz w:val="20"/>
        </w:rPr>
        <w:t xml:space="preserve"> </w:t>
      </w:r>
      <w:r w:rsidRPr="00D63E03">
        <w:rPr>
          <w:sz w:val="20"/>
        </w:rPr>
        <w:t xml:space="preserve">hold interests in Hinton C A T V, as well as four shareholders of Communications Equipment Corporation, each also a U.S. citizen.  </w:t>
      </w:r>
      <w:r w:rsidRPr="00D63E03">
        <w:rPr>
          <w:i/>
          <w:iCs/>
          <w:sz w:val="20"/>
        </w:rPr>
        <w:t>Id.</w:t>
      </w:r>
      <w:r w:rsidRPr="00D63E03">
        <w:rPr>
          <w:sz w:val="20"/>
        </w:rPr>
        <w:t xml:space="preserve"> at 15.  Applicants state that Hinton C A T V holds a 25% interest in Terral Telephone Company, a rural incumbent local exchange carrier serving a single exchange in Terral, Oklahoma.  Supplement at 2.</w:t>
      </w:r>
    </w:p>
  </w:footnote>
  <w:footnote w:id="30">
    <w:p w:rsidR="00073D9E" w:rsidRPr="00D63E03" w:rsidP="00073D9E" w14:paraId="6AE17CC9" w14:textId="77777777">
      <w:pPr>
        <w:pStyle w:val="FootnoteText"/>
        <w:rPr>
          <w:sz w:val="20"/>
        </w:rPr>
      </w:pPr>
      <w:r w:rsidRPr="00D63E03">
        <w:rPr>
          <w:rStyle w:val="FootnoteReference"/>
          <w:sz w:val="20"/>
        </w:rPr>
        <w:footnoteRef/>
      </w:r>
      <w:r w:rsidRPr="00D63E03">
        <w:rPr>
          <w:sz w:val="20"/>
        </w:rPr>
        <w:t xml:space="preserve"> Application at 4; Supplement at 1.</w:t>
      </w:r>
    </w:p>
  </w:footnote>
  <w:footnote w:id="31">
    <w:p w:rsidR="00073D9E" w:rsidRPr="00D63E03" w:rsidP="00073D9E" w14:paraId="677D2AD8" w14:textId="77777777">
      <w:pPr>
        <w:pStyle w:val="FootnoteText"/>
        <w:rPr>
          <w:sz w:val="20"/>
        </w:rPr>
      </w:pPr>
      <w:r w:rsidRPr="00D63E03">
        <w:rPr>
          <w:rStyle w:val="FootnoteReference"/>
          <w:sz w:val="20"/>
        </w:rPr>
        <w:footnoteRef/>
      </w:r>
      <w:r w:rsidRPr="00D63E03">
        <w:rPr>
          <w:sz w:val="20"/>
        </w:rPr>
        <w:t xml:space="preserve"> Application at 5.  </w:t>
      </w:r>
    </w:p>
  </w:footnote>
  <w:footnote w:id="32">
    <w:p w:rsidR="00073D9E" w:rsidRPr="00D63E03" w:rsidP="00073D9E" w14:paraId="47E19C2D"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Id.</w:t>
      </w:r>
      <w:r w:rsidRPr="00D63E03">
        <w:rPr>
          <w:sz w:val="20"/>
        </w:rPr>
        <w:t xml:space="preserve"> at 9-13.</w:t>
      </w:r>
    </w:p>
  </w:footnote>
  <w:footnote w:id="33">
    <w:p w:rsidR="00073D9E" w:rsidRPr="00D63E03" w:rsidP="00073D9E" w14:paraId="35313FEB"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Id.</w:t>
      </w:r>
      <w:r w:rsidRPr="00D63E03">
        <w:rPr>
          <w:sz w:val="20"/>
        </w:rPr>
        <w:t xml:space="preserve"> at 5. </w:t>
      </w:r>
    </w:p>
  </w:footnote>
  <w:footnote w:id="34">
    <w:p w:rsidR="00073D9E" w:rsidRPr="00D63E03" w:rsidP="00073D9E" w14:paraId="3D6DDE7B"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Id</w:t>
      </w:r>
      <w:r w:rsidRPr="00D63E03">
        <w:rPr>
          <w:sz w:val="20"/>
        </w:rPr>
        <w:t xml:space="preserve">. at 6.  </w:t>
      </w:r>
    </w:p>
  </w:footnote>
  <w:footnote w:id="35">
    <w:p w:rsidR="00C04416" w:rsidRPr="00D63E03" w14:paraId="3AFCF2CB" w14:textId="77777777">
      <w:pPr>
        <w:pStyle w:val="FootnoteText"/>
        <w:rPr>
          <w:sz w:val="20"/>
        </w:rPr>
      </w:pPr>
      <w:r w:rsidRPr="00D63E03">
        <w:rPr>
          <w:rStyle w:val="FootnoteReference"/>
          <w:sz w:val="20"/>
        </w:rPr>
        <w:footnoteRef/>
      </w:r>
      <w:r w:rsidRPr="00D63E03">
        <w:rPr>
          <w:sz w:val="20"/>
        </w:rPr>
        <w:t xml:space="preserve"> </w:t>
      </w:r>
      <w:r w:rsidRPr="00D63E03" w:rsidR="008E11A4">
        <w:rPr>
          <w:i/>
          <w:iCs/>
          <w:sz w:val="20"/>
        </w:rPr>
        <w:t>Id.</w:t>
      </w:r>
      <w:r w:rsidRPr="00D63E03" w:rsidR="008E11A4">
        <w:rPr>
          <w:sz w:val="20"/>
        </w:rPr>
        <w:t xml:space="preserve"> at </w:t>
      </w:r>
      <w:r w:rsidRPr="00D63E03" w:rsidR="00190544">
        <w:rPr>
          <w:sz w:val="20"/>
        </w:rPr>
        <w:t>8</w:t>
      </w:r>
      <w:r w:rsidRPr="00D63E03" w:rsidR="008E11A4">
        <w:rPr>
          <w:sz w:val="20"/>
        </w:rPr>
        <w:t xml:space="preserve">. </w:t>
      </w:r>
    </w:p>
  </w:footnote>
  <w:footnote w:id="36">
    <w:p w:rsidR="00073D9E" w:rsidRPr="00D63E03" w:rsidP="00073D9E" w14:paraId="14FB34FC" w14:textId="77777777">
      <w:pPr>
        <w:pStyle w:val="FootnoteText"/>
        <w:rPr>
          <w:sz w:val="20"/>
        </w:rPr>
      </w:pPr>
      <w:r w:rsidRPr="00D63E03">
        <w:rPr>
          <w:rStyle w:val="FootnoteReference"/>
          <w:sz w:val="20"/>
        </w:rPr>
        <w:footnoteRef/>
      </w:r>
      <w:r w:rsidRPr="00D63E03">
        <w:rPr>
          <w:sz w:val="20"/>
        </w:rPr>
        <w:t xml:space="preserve"> 47 U.S.C. § 214(a); 47 CFR § 63.03; </w:t>
      </w:r>
      <w:r w:rsidRPr="00D63E03">
        <w:rPr>
          <w:i/>
          <w:iCs/>
          <w:sz w:val="20"/>
        </w:rPr>
        <w:t>Telecommunications Carriers Eligible for Universal Service Support</w:t>
      </w:r>
      <w:r w:rsidRPr="00D63E03">
        <w:rPr>
          <w:sz w:val="20"/>
        </w:rPr>
        <w:t xml:space="preserve">, WC Docket No. 09-197, </w:t>
      </w:r>
      <w:r w:rsidRPr="00D63E03">
        <w:rPr>
          <w:i/>
          <w:iCs/>
          <w:sz w:val="20"/>
        </w:rPr>
        <w:t>Connect America Fund</w:t>
      </w:r>
      <w:r w:rsidRPr="00D63E03">
        <w:rPr>
          <w:sz w:val="20"/>
        </w:rPr>
        <w:t xml:space="preserve">, WC Docket No. 10-90, Order, </w:t>
      </w:r>
      <w:r w:rsidRPr="00D63E03">
        <w:rPr>
          <w:rStyle w:val="item-value"/>
          <w:sz w:val="20"/>
        </w:rPr>
        <w:t>36 FCC Rcd 9384</w:t>
      </w:r>
      <w:r w:rsidRPr="00D63E03">
        <w:rPr>
          <w:sz w:val="20"/>
        </w:rPr>
        <w:t>, para. 30 (WCB 2021).</w:t>
      </w:r>
    </w:p>
  </w:footnote>
  <w:footnote w:id="37">
    <w:p w:rsidR="00073D9E" w:rsidRPr="00D63E03" w:rsidP="00073D9E" w14:paraId="042C55DB" w14:textId="77777777">
      <w:pPr>
        <w:pStyle w:val="FootnoteText"/>
        <w:widowControl w:val="0"/>
        <w:rPr>
          <w:sz w:val="20"/>
        </w:rPr>
      </w:pPr>
      <w:r w:rsidRPr="00D63E03">
        <w:rPr>
          <w:rStyle w:val="FootnoteReference"/>
          <w:sz w:val="20"/>
        </w:rPr>
        <w:footnoteRef/>
      </w:r>
      <w:r w:rsidRPr="00D63E03">
        <w:rPr>
          <w:sz w:val="20"/>
        </w:rPr>
        <w:t xml:space="preserve"> </w:t>
      </w:r>
      <w:r w:rsidRPr="00D63E03">
        <w:rPr>
          <w:i/>
          <w:sz w:val="20"/>
        </w:rPr>
        <w:t>See, e.g.</w:t>
      </w:r>
      <w:r w:rsidRPr="00D63E03">
        <w:rPr>
          <w:sz w:val="20"/>
        </w:rPr>
        <w:t xml:space="preserve">, </w:t>
      </w:r>
      <w:r w:rsidRPr="00D63E03">
        <w:rPr>
          <w:i/>
          <w:iCs/>
          <w:sz w:val="20"/>
        </w:rPr>
        <w:t>Application of Verizon Communications Inc. and América Móvil S.A.B. de C.V for Consent to Transfer Control of International Section 214 Authorization</w:t>
      </w:r>
      <w:r w:rsidRPr="00D63E03">
        <w:rPr>
          <w:sz w:val="20"/>
        </w:rPr>
        <w:t>, GN Docket No. 21-112; IBFS File No. ITC-T/C-20200930-00173, Memorandum Opinion and Order, FCC 21-121, at para. 21 (rel. Nov. 22, 2021) (</w:t>
      </w:r>
      <w:r w:rsidRPr="00D63E03">
        <w:rPr>
          <w:i/>
          <w:iCs/>
          <w:sz w:val="20"/>
        </w:rPr>
        <w:t>Verizon-TracFone Order</w:t>
      </w:r>
      <w:r w:rsidRPr="00D63E03">
        <w:rPr>
          <w:sz w:val="20"/>
        </w:rPr>
        <w:t xml:space="preserve">) (citing </w:t>
      </w:r>
      <w:r w:rsidRPr="00D63E03">
        <w:rPr>
          <w:i/>
          <w:sz w:val="20"/>
        </w:rPr>
        <w:t>China Mobile International (USA) Inc., Application for Global Facilities-Based and Global Resale International Telecommunications Authority Pursuant to Section 214 of the Communications Act of 1934, as Amended</w:t>
      </w:r>
      <w:r w:rsidRPr="00D63E03">
        <w:rPr>
          <w:sz w:val="20"/>
        </w:rPr>
        <w:t xml:space="preserve">, Memorandum Opinion and Order, 34 FCC Rcd 3361, 3366, para. 9 (2019); </w:t>
      </w:r>
      <w:r w:rsidRPr="00D63E03">
        <w:rPr>
          <w:i/>
          <w:sz w:val="20"/>
        </w:rPr>
        <w:t>Applications for Consent to the Assignment and/or Transfer of Control of Licenses, Adelphia Communications Corporation (and subsidiaries, debtors-in-possession), Assignors, to Time Warner Cable Inc. (subsidiaries), Assignees; Adelphia Communications Corporation, (and subsidiaries, debtors-in-possession), Assignors and Transferors et al</w:t>
      </w:r>
      <w:r w:rsidRPr="00D63E03">
        <w:rPr>
          <w:sz w:val="20"/>
        </w:rPr>
        <w:t>., MB Docket No. 05-192, Memorandum Opinion and Order, 21 FCC Rcd 8203, 8219-21, paras. 27-28 (2006) (</w:t>
      </w:r>
      <w:r w:rsidRPr="00D63E03">
        <w:rPr>
          <w:i/>
          <w:iCs/>
          <w:sz w:val="20"/>
        </w:rPr>
        <w:t>Adelphia-TWC Order</w:t>
      </w:r>
      <w:r w:rsidRPr="00D63E03">
        <w:rPr>
          <w:sz w:val="20"/>
        </w:rPr>
        <w:t>)).</w:t>
      </w:r>
    </w:p>
  </w:footnote>
  <w:footnote w:id="38">
    <w:p w:rsidR="00073D9E" w:rsidRPr="00D63E03" w:rsidP="00073D9E" w14:paraId="33E66FC7" w14:textId="77777777">
      <w:pPr>
        <w:pStyle w:val="FootnoteText"/>
        <w:rPr>
          <w:sz w:val="20"/>
        </w:rPr>
      </w:pPr>
      <w:r w:rsidRPr="00D63E03">
        <w:rPr>
          <w:rStyle w:val="FootnoteReference"/>
          <w:sz w:val="20"/>
        </w:rPr>
        <w:footnoteRef/>
      </w:r>
      <w:r w:rsidRPr="00D63E03">
        <w:rPr>
          <w:sz w:val="20"/>
        </w:rPr>
        <w:t xml:space="preserve"> </w:t>
      </w:r>
      <w:r w:rsidRPr="00D63E03">
        <w:rPr>
          <w:i/>
          <w:sz w:val="20"/>
        </w:rPr>
        <w:t>See Verizon-TracFone Order</w:t>
      </w:r>
      <w:r w:rsidRPr="00D63E03">
        <w:rPr>
          <w:iCs/>
          <w:sz w:val="20"/>
        </w:rPr>
        <w:t xml:space="preserve"> at para. 21 (citing </w:t>
      </w:r>
      <w:r w:rsidRPr="00D63E03">
        <w:rPr>
          <w:i/>
          <w:sz w:val="20"/>
        </w:rPr>
        <w:t xml:space="preserve">Applications of </w:t>
      </w:r>
      <w:r w:rsidRPr="00D63E03">
        <w:rPr>
          <w:i/>
          <w:iCs/>
          <w:sz w:val="20"/>
        </w:rPr>
        <w:t>AT&amp;T</w:t>
      </w:r>
      <w:r w:rsidRPr="00D63E03">
        <w:rPr>
          <w:i/>
          <w:sz w:val="20"/>
        </w:rPr>
        <w:t xml:space="preserve"> Inc. and </w:t>
      </w:r>
      <w:r w:rsidRPr="00D63E03">
        <w:rPr>
          <w:i/>
          <w:iCs/>
          <w:sz w:val="20"/>
        </w:rPr>
        <w:t xml:space="preserve">DIRECTV </w:t>
      </w:r>
      <w:r w:rsidRPr="00D63E03">
        <w:rPr>
          <w:i/>
          <w:sz w:val="20"/>
        </w:rPr>
        <w:t>for Consent to Assign or Transfer Control of Licenses and Authorizations</w:t>
      </w:r>
      <w:r w:rsidRPr="00D63E03">
        <w:rPr>
          <w:sz w:val="20"/>
        </w:rPr>
        <w:t xml:space="preserve">, MB Docket No. 14-90, Memorandum Opinion and Order, 30 </w:t>
      </w:r>
      <w:r w:rsidRPr="00D63E03">
        <w:rPr>
          <w:iCs/>
          <w:sz w:val="20"/>
        </w:rPr>
        <w:t xml:space="preserve">FCC Rcd </w:t>
      </w:r>
      <w:r w:rsidRPr="00D63E03">
        <w:rPr>
          <w:sz w:val="20"/>
        </w:rPr>
        <w:t>9131,</w:t>
      </w:r>
      <w:r w:rsidRPr="00D63E03">
        <w:rPr>
          <w:iCs/>
          <w:sz w:val="20"/>
        </w:rPr>
        <w:t xml:space="preserve"> 9140, para. 18</w:t>
      </w:r>
      <w:r w:rsidRPr="00D63E03">
        <w:rPr>
          <w:sz w:val="20"/>
        </w:rPr>
        <w:t xml:space="preserve"> (2015) (</w:t>
      </w:r>
      <w:r w:rsidRPr="00D63E03">
        <w:rPr>
          <w:i/>
          <w:iCs/>
          <w:sz w:val="20"/>
        </w:rPr>
        <w:t>AT&amp;T-DIRECTV Order</w:t>
      </w:r>
      <w:r w:rsidRPr="00D63E03">
        <w:rPr>
          <w:iCs/>
          <w:sz w:val="20"/>
        </w:rPr>
        <w:t>) (further internal citations omitted)</w:t>
      </w:r>
      <w:r w:rsidRPr="00D63E03" w:rsidR="001A2D0D">
        <w:rPr>
          <w:iCs/>
          <w:sz w:val="20"/>
        </w:rPr>
        <w:t>)</w:t>
      </w:r>
      <w:r w:rsidRPr="00D63E03">
        <w:rPr>
          <w:iCs/>
          <w:sz w:val="20"/>
        </w:rPr>
        <w:t>.</w:t>
      </w:r>
    </w:p>
  </w:footnote>
  <w:footnote w:id="39">
    <w:p w:rsidR="00073D9E" w:rsidRPr="00D63E03" w:rsidP="00073D9E" w14:paraId="2A5AE821" w14:textId="77777777">
      <w:pPr>
        <w:pStyle w:val="FootnoteText"/>
        <w:rPr>
          <w:sz w:val="20"/>
        </w:rPr>
      </w:pPr>
      <w:r w:rsidRPr="00D63E03">
        <w:rPr>
          <w:rStyle w:val="FootnoteReference"/>
          <w:sz w:val="20"/>
        </w:rPr>
        <w:footnoteRef/>
      </w:r>
      <w:r w:rsidRPr="00D63E03">
        <w:rPr>
          <w:sz w:val="20"/>
        </w:rPr>
        <w:t xml:space="preserve"> </w:t>
      </w:r>
      <w:r w:rsidRPr="00D63E03">
        <w:rPr>
          <w:i/>
          <w:sz w:val="20"/>
        </w:rPr>
        <w:t>See Verizon-TracFone Order</w:t>
      </w:r>
      <w:r w:rsidRPr="00D63E03">
        <w:rPr>
          <w:iCs/>
          <w:sz w:val="20"/>
        </w:rPr>
        <w:t xml:space="preserve"> at para. 21 (citing</w:t>
      </w:r>
      <w:r w:rsidRPr="00D63E03">
        <w:rPr>
          <w:sz w:val="20"/>
        </w:rPr>
        <w:t xml:space="preserve"> </w:t>
      </w:r>
      <w:r w:rsidRPr="00D63E03">
        <w:rPr>
          <w:i/>
          <w:iCs/>
          <w:sz w:val="20"/>
        </w:rPr>
        <w:t>AT&amp;T-DIRECTV Order</w:t>
      </w:r>
      <w:r w:rsidRPr="00D63E03">
        <w:rPr>
          <w:iCs/>
          <w:sz w:val="20"/>
        </w:rPr>
        <w:t xml:space="preserve">, </w:t>
      </w:r>
      <w:r w:rsidRPr="00D63E03">
        <w:rPr>
          <w:sz w:val="20"/>
        </w:rPr>
        <w:t xml:space="preserve">30 </w:t>
      </w:r>
      <w:r w:rsidRPr="00D63E03">
        <w:rPr>
          <w:iCs/>
          <w:sz w:val="20"/>
        </w:rPr>
        <w:t xml:space="preserve">FCC Rcd at 9140, para. 18; </w:t>
      </w:r>
      <w:r w:rsidRPr="00D63E03">
        <w:rPr>
          <w:i/>
          <w:sz w:val="20"/>
        </w:rPr>
        <w:t>Adelphia-TWC Order</w:t>
      </w:r>
      <w:r w:rsidRPr="00D63E03">
        <w:rPr>
          <w:sz w:val="20"/>
        </w:rPr>
        <w:t xml:space="preserve">, 21 FCC Rcd at 8217, para. 23; </w:t>
      </w:r>
      <w:r w:rsidRPr="00D63E03">
        <w:rPr>
          <w:i/>
          <w:sz w:val="20"/>
        </w:rPr>
        <w:t>Application of EchoStar Communications Corp., General Motors Corp., and Hughes Electronics Corp., Transferors, and EchoStar Communications Corp., Transferee</w:t>
      </w:r>
      <w:r w:rsidRPr="00D63E03">
        <w:rPr>
          <w:sz w:val="20"/>
        </w:rPr>
        <w:t xml:space="preserve">, CS Docket No. 01-348, Hearing Designation Order, 17 FCC Rcd 20559, </w:t>
      </w:r>
      <w:r w:rsidRPr="00D63E03">
        <w:rPr>
          <w:snapToGrid w:val="0"/>
          <w:sz w:val="20"/>
        </w:rPr>
        <w:t>20574, para.</w:t>
      </w:r>
      <w:r w:rsidRPr="00D63E03">
        <w:rPr>
          <w:sz w:val="20"/>
        </w:rPr>
        <w:t xml:space="preserve"> 25 (2002) (</w:t>
      </w:r>
      <w:r w:rsidRPr="00D63E03">
        <w:rPr>
          <w:i/>
          <w:sz w:val="20"/>
        </w:rPr>
        <w:t>EchoStar-DIRECTV HDO</w:t>
      </w:r>
      <w:r w:rsidRPr="00D63E03">
        <w:rPr>
          <w:iCs/>
          <w:sz w:val="20"/>
        </w:rPr>
        <w:t>) (further internal citations omitted)</w:t>
      </w:r>
      <w:r w:rsidRPr="00D63E03" w:rsidR="001A2D0D">
        <w:rPr>
          <w:iCs/>
          <w:sz w:val="20"/>
        </w:rPr>
        <w:t>)</w:t>
      </w:r>
      <w:r w:rsidRPr="00D63E03">
        <w:rPr>
          <w:sz w:val="20"/>
        </w:rPr>
        <w:t>.</w:t>
      </w:r>
    </w:p>
  </w:footnote>
  <w:footnote w:id="40">
    <w:p w:rsidR="00073D9E" w:rsidRPr="00D63E03" w:rsidP="00073D9E" w14:paraId="7C8814B9" w14:textId="77777777">
      <w:pPr>
        <w:pStyle w:val="FootnoteText"/>
        <w:rPr>
          <w:sz w:val="20"/>
        </w:rPr>
      </w:pPr>
      <w:r w:rsidRPr="00D63E03">
        <w:rPr>
          <w:rStyle w:val="FootnoteReference"/>
          <w:sz w:val="20"/>
        </w:rPr>
        <w:footnoteRef/>
      </w:r>
      <w:r w:rsidRPr="00D63E03">
        <w:rPr>
          <w:sz w:val="20"/>
        </w:rPr>
        <w:t xml:space="preserve"> Application at 2.</w:t>
      </w:r>
    </w:p>
  </w:footnote>
  <w:footnote w:id="41">
    <w:p w:rsidR="00073D9E" w:rsidRPr="00D63E03" w:rsidP="00073D9E" w14:paraId="0B8FFC24"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Id</w:t>
      </w:r>
      <w:r w:rsidRPr="00D63E03">
        <w:rPr>
          <w:sz w:val="20"/>
        </w:rPr>
        <w:t>. at 9.</w:t>
      </w:r>
    </w:p>
  </w:footnote>
  <w:footnote w:id="42">
    <w:p w:rsidR="00F74491" w:rsidRPr="00D63E03" w14:paraId="2DC8992B"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Id</w:t>
      </w:r>
      <w:r w:rsidRPr="00D63E03">
        <w:rPr>
          <w:sz w:val="20"/>
        </w:rPr>
        <w:t>. at 6, 9.</w:t>
      </w:r>
    </w:p>
  </w:footnote>
  <w:footnote w:id="43">
    <w:p w:rsidR="00073D9E" w:rsidRPr="00D63E03" w:rsidP="00073D9E" w14:paraId="03A8C0EB" w14:textId="77777777">
      <w:pPr>
        <w:pStyle w:val="FootnoteText"/>
        <w:rPr>
          <w:sz w:val="20"/>
        </w:rPr>
      </w:pPr>
      <w:r w:rsidRPr="00D63E03">
        <w:rPr>
          <w:rStyle w:val="FootnoteReference"/>
          <w:sz w:val="20"/>
        </w:rPr>
        <w:footnoteRef/>
      </w:r>
      <w:r w:rsidRPr="00D63E03">
        <w:rPr>
          <w:sz w:val="20"/>
        </w:rPr>
        <w:t xml:space="preserve"> Supplement at 1 (Certification of Samual T. Curtis, AtLink President &amp; Manager).</w:t>
      </w:r>
    </w:p>
  </w:footnote>
  <w:footnote w:id="44">
    <w:p w:rsidR="00073D9E" w:rsidRPr="00D63E03" w:rsidP="00073D9E" w14:paraId="7BFDB6FB" w14:textId="77777777">
      <w:pPr>
        <w:pStyle w:val="FootnoteText"/>
        <w:rPr>
          <w:sz w:val="20"/>
        </w:rPr>
      </w:pPr>
      <w:r w:rsidRPr="00D63E03">
        <w:rPr>
          <w:rStyle w:val="FootnoteReference"/>
          <w:sz w:val="20"/>
        </w:rPr>
        <w:footnoteRef/>
      </w:r>
      <w:r w:rsidRPr="00D63E03">
        <w:rPr>
          <w:sz w:val="20"/>
        </w:rPr>
        <w:t xml:space="preserve"> Application at 8; </w:t>
      </w:r>
      <w:bookmarkStart w:id="5" w:name="_Hlk97831364"/>
      <w:r w:rsidRPr="00D63E03">
        <w:rPr>
          <w:i/>
          <w:iCs/>
          <w:sz w:val="20"/>
        </w:rPr>
        <w:t>see Redwire Waiver Order</w:t>
      </w:r>
      <w:r w:rsidRPr="00D63E03">
        <w:rPr>
          <w:sz w:val="20"/>
        </w:rPr>
        <w:t>, 35 FCC Rcd at 584</w:t>
      </w:r>
      <w:bookmarkEnd w:id="5"/>
      <w:r w:rsidRPr="00D63E03">
        <w:rPr>
          <w:sz w:val="20"/>
        </w:rPr>
        <w:t xml:space="preserve">5-46 </w:t>
      </w:r>
      <w:bookmarkStart w:id="6" w:name="_Hlk97833375"/>
      <w:r w:rsidRPr="00D63E03">
        <w:rPr>
          <w:sz w:val="20"/>
        </w:rPr>
        <w:t>(granting, in part, Redwire’s first waiver petition for a letter of credit for the first twelve months of its support term)</w:t>
      </w:r>
      <w:bookmarkEnd w:id="6"/>
      <w:r w:rsidRPr="00D63E03">
        <w:rPr>
          <w:sz w:val="20"/>
        </w:rPr>
        <w:t xml:space="preserve">; </w:t>
      </w:r>
      <w:bookmarkStart w:id="7" w:name="_Hlk98339353"/>
      <w:r w:rsidRPr="00D63E03">
        <w:rPr>
          <w:i/>
          <w:iCs/>
          <w:sz w:val="20"/>
        </w:rPr>
        <w:t>Redwire Second Waiver Order</w:t>
      </w:r>
      <w:r w:rsidRPr="00D63E03">
        <w:rPr>
          <w:sz w:val="20"/>
        </w:rPr>
        <w:t xml:space="preserve"> at </w:t>
      </w:r>
      <w:r w:rsidRPr="00D63E03" w:rsidR="001A2D0D">
        <w:rPr>
          <w:sz w:val="20"/>
        </w:rPr>
        <w:t xml:space="preserve">2-3, </w:t>
      </w:r>
      <w:r w:rsidRPr="00D63E03">
        <w:rPr>
          <w:sz w:val="20"/>
        </w:rPr>
        <w:t>paras. 5-6.</w:t>
      </w:r>
      <w:bookmarkEnd w:id="7"/>
    </w:p>
  </w:footnote>
  <w:footnote w:id="45">
    <w:p w:rsidR="00073D9E" w:rsidRPr="00D63E03" w:rsidP="00073D9E" w14:paraId="4F61C38D" w14:textId="77777777">
      <w:pPr>
        <w:pStyle w:val="FootnoteText"/>
        <w:rPr>
          <w:sz w:val="20"/>
        </w:rPr>
      </w:pPr>
      <w:r w:rsidRPr="00D63E03">
        <w:rPr>
          <w:rStyle w:val="FootnoteReference"/>
          <w:sz w:val="20"/>
        </w:rPr>
        <w:footnoteRef/>
      </w:r>
      <w:r w:rsidRPr="00D63E03">
        <w:rPr>
          <w:sz w:val="20"/>
        </w:rPr>
        <w:t xml:space="preserve"> Application at 8.</w:t>
      </w:r>
    </w:p>
  </w:footnote>
  <w:footnote w:id="46">
    <w:p w:rsidR="00073D9E" w:rsidRPr="00D63E03" w:rsidP="00073D9E" w14:paraId="7497E88A" w14:textId="77777777">
      <w:pPr>
        <w:pStyle w:val="FootnoteText"/>
        <w:rPr>
          <w:sz w:val="20"/>
        </w:rPr>
      </w:pPr>
      <w:r w:rsidRPr="00D63E03">
        <w:rPr>
          <w:rStyle w:val="FootnoteReference"/>
          <w:sz w:val="20"/>
        </w:rPr>
        <w:footnoteRef/>
      </w:r>
      <w:r w:rsidRPr="00D63E03">
        <w:rPr>
          <w:sz w:val="20"/>
        </w:rPr>
        <w:t xml:space="preserve"> </w:t>
      </w:r>
      <w:r w:rsidRPr="00D63E03" w:rsidR="00164832">
        <w:rPr>
          <w:i/>
          <w:iCs/>
          <w:sz w:val="20"/>
        </w:rPr>
        <w:t xml:space="preserve">See </w:t>
      </w:r>
      <w:r w:rsidRPr="00D63E03">
        <w:rPr>
          <w:i/>
          <w:iCs/>
          <w:sz w:val="20"/>
        </w:rPr>
        <w:t>Cherokee Approval Public Notice</w:t>
      </w:r>
      <w:r w:rsidRPr="00D63E03">
        <w:rPr>
          <w:sz w:val="20"/>
        </w:rPr>
        <w:t xml:space="preserve"> at 4-5; Application at 4, 7-8 (stating that “AtLink has expended CAF support funds in connection with deployment in its CAF-supported area, and expects to meet its upcoming 40 percent buildout milestone well ahead of the December 31, 2022 milestone deadline.”).</w:t>
      </w:r>
    </w:p>
  </w:footnote>
  <w:footnote w:id="47">
    <w:p w:rsidR="00073D9E" w:rsidRPr="00D63E03" w:rsidP="00073D9E" w14:paraId="02C0DAB1" w14:textId="77777777">
      <w:pPr>
        <w:pStyle w:val="FootnoteText"/>
        <w:rPr>
          <w:sz w:val="20"/>
        </w:rPr>
      </w:pPr>
      <w:r w:rsidRPr="00D63E03">
        <w:rPr>
          <w:rStyle w:val="FootnoteReference"/>
          <w:sz w:val="20"/>
        </w:rPr>
        <w:footnoteRef/>
      </w:r>
      <w:r w:rsidRPr="00D63E03">
        <w:rPr>
          <w:sz w:val="20"/>
        </w:rPr>
        <w:t xml:space="preserve"> Supplement at 1.</w:t>
      </w:r>
    </w:p>
  </w:footnote>
  <w:footnote w:id="48">
    <w:p w:rsidR="00073D9E" w:rsidRPr="00D63E03" w:rsidP="00073D9E" w14:paraId="3B9262C9" w14:textId="77777777">
      <w:pPr>
        <w:pStyle w:val="FootnoteText"/>
        <w:rPr>
          <w:sz w:val="20"/>
        </w:rPr>
      </w:pPr>
      <w:r w:rsidRPr="00D63E03">
        <w:rPr>
          <w:rStyle w:val="FootnoteReference"/>
          <w:sz w:val="20"/>
        </w:rPr>
        <w:footnoteRef/>
      </w:r>
      <w:r w:rsidRPr="00D63E03">
        <w:rPr>
          <w:sz w:val="20"/>
        </w:rPr>
        <w:t xml:space="preserve"> </w:t>
      </w:r>
      <w:r w:rsidRPr="00D63E03">
        <w:rPr>
          <w:i/>
          <w:sz w:val="20"/>
        </w:rPr>
        <w:t xml:space="preserve">See </w:t>
      </w:r>
      <w:r w:rsidRPr="00D63E03">
        <w:rPr>
          <w:sz w:val="20"/>
        </w:rPr>
        <w:t xml:space="preserve">Application at 7; Supplement at </w:t>
      </w:r>
      <w:r w:rsidRPr="00D63E03" w:rsidR="00164832">
        <w:rPr>
          <w:sz w:val="20"/>
        </w:rPr>
        <w:t xml:space="preserve">Attachs. </w:t>
      </w:r>
      <w:r w:rsidRPr="00D63E03">
        <w:rPr>
          <w:sz w:val="20"/>
        </w:rPr>
        <w:t>(Certification of Matthew Larsen).</w:t>
      </w:r>
    </w:p>
  </w:footnote>
  <w:footnote w:id="49">
    <w:p w:rsidR="00073D9E" w:rsidRPr="00D63E03" w:rsidP="00073D9E" w14:paraId="79E4927C" w14:textId="77777777">
      <w:pPr>
        <w:pStyle w:val="FootnoteText"/>
        <w:rPr>
          <w:sz w:val="20"/>
        </w:rPr>
      </w:pPr>
      <w:r w:rsidRPr="00D63E03">
        <w:rPr>
          <w:rStyle w:val="FootnoteReference"/>
          <w:sz w:val="20"/>
        </w:rPr>
        <w:footnoteRef/>
      </w:r>
      <w:r w:rsidRPr="00D63E03">
        <w:rPr>
          <w:sz w:val="20"/>
        </w:rPr>
        <w:t xml:space="preserve"> Application at 9.  AtLink acknowledges that it will need to submit and have approved by USAC an irrevocable letter of credit and bankruptcy opinion letter for the Assigned Census Blocks.  </w:t>
      </w:r>
      <w:r w:rsidRPr="00D63E03">
        <w:rPr>
          <w:i/>
          <w:iCs/>
          <w:sz w:val="20"/>
        </w:rPr>
        <w:t>Id.</w:t>
      </w:r>
      <w:r w:rsidRPr="00D63E03">
        <w:rPr>
          <w:sz w:val="20"/>
        </w:rPr>
        <w:t xml:space="preserve"> at 6.</w:t>
      </w:r>
    </w:p>
  </w:footnote>
  <w:footnote w:id="50">
    <w:p w:rsidR="00073D9E" w:rsidRPr="00D63E03" w:rsidP="00073D9E" w14:paraId="50D48B3E"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See AT&amp;T/DIRECTV Order</w:t>
      </w:r>
      <w:r w:rsidRPr="00D63E03">
        <w:rPr>
          <w:sz w:val="20"/>
        </w:rPr>
        <w:t>, 30 FCC Rcd at 9237, para. 273-74.</w:t>
      </w:r>
    </w:p>
  </w:footnote>
  <w:footnote w:id="51">
    <w:p w:rsidR="00073D9E" w:rsidRPr="00D63E03" w:rsidP="00073D9E" w14:paraId="04EEAE75"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See id</w:t>
      </w:r>
      <w:r w:rsidRPr="00D63E03">
        <w:rPr>
          <w:sz w:val="20"/>
        </w:rPr>
        <w:t>. at 9237-38, paras. 275-76.</w:t>
      </w:r>
    </w:p>
  </w:footnote>
  <w:footnote w:id="52">
    <w:p w:rsidR="00073D9E" w:rsidRPr="00D63E03" w:rsidP="00073D9E" w14:paraId="53A76551"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See id</w:t>
      </w:r>
      <w:r w:rsidRPr="00D63E03">
        <w:rPr>
          <w:sz w:val="20"/>
        </w:rPr>
        <w:t>.</w:t>
      </w:r>
    </w:p>
  </w:footnote>
  <w:footnote w:id="53">
    <w:p w:rsidR="00073D9E" w:rsidRPr="00D63E03" w:rsidP="00073D9E" w14:paraId="57E6B1B6"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See, e.g.</w:t>
      </w:r>
      <w:r w:rsidRPr="00D63E03">
        <w:rPr>
          <w:sz w:val="20"/>
        </w:rPr>
        <w:t xml:space="preserve">, </w:t>
      </w:r>
      <w:r w:rsidRPr="00D63E03">
        <w:rPr>
          <w:i/>
          <w:iCs/>
          <w:sz w:val="20"/>
        </w:rPr>
        <w:t>AT&amp;T-DIRECTV Order</w:t>
      </w:r>
      <w:r w:rsidRPr="00D63E03">
        <w:rPr>
          <w:iCs/>
          <w:sz w:val="20"/>
        </w:rPr>
        <w:t xml:space="preserve">, </w:t>
      </w:r>
      <w:r w:rsidRPr="00D63E03">
        <w:rPr>
          <w:sz w:val="20"/>
        </w:rPr>
        <w:t xml:space="preserve">30 </w:t>
      </w:r>
      <w:r w:rsidRPr="00D63E03">
        <w:rPr>
          <w:iCs/>
          <w:sz w:val="20"/>
        </w:rPr>
        <w:t>FCC Rcd at 9140, para. 19.</w:t>
      </w:r>
    </w:p>
  </w:footnote>
  <w:footnote w:id="54">
    <w:p w:rsidR="00073D9E" w:rsidRPr="00D63E03" w:rsidP="00073D9E" w14:paraId="483C726D" w14:textId="77777777">
      <w:pPr>
        <w:pStyle w:val="FootnoteText"/>
        <w:rPr>
          <w:sz w:val="20"/>
        </w:rPr>
      </w:pPr>
      <w:r w:rsidRPr="00D63E03">
        <w:rPr>
          <w:rStyle w:val="FootnoteReference"/>
          <w:sz w:val="20"/>
        </w:rPr>
        <w:footnoteRef/>
      </w:r>
      <w:r w:rsidRPr="00D63E03">
        <w:rPr>
          <w:sz w:val="20"/>
        </w:rPr>
        <w:t xml:space="preserve"> </w:t>
      </w:r>
      <w:r w:rsidRPr="00D63E03">
        <w:rPr>
          <w:i/>
          <w:sz w:val="20"/>
        </w:rPr>
        <w:t>See Verizon-TracFone Order</w:t>
      </w:r>
      <w:r w:rsidRPr="00D63E03">
        <w:rPr>
          <w:iCs/>
          <w:sz w:val="20"/>
        </w:rPr>
        <w:t xml:space="preserve"> at para. 22 (citing </w:t>
      </w:r>
      <w:r w:rsidRPr="00D63E03">
        <w:rPr>
          <w:sz w:val="20"/>
        </w:rPr>
        <w:t>47 U.S.C. §§ 254, 332(c)(7), 1302; Telecommunications Act of 1996, Preamble, Pub. L. No. 104-104, 110 Stat. 56 (1996) (one purpose of the Act is to “accelerate rapidly private sector deployment of advanced telecommunications and information technologies and services”)).</w:t>
      </w:r>
    </w:p>
  </w:footnote>
  <w:footnote w:id="55">
    <w:p w:rsidR="00073D9E" w:rsidRPr="00D63E03" w:rsidP="00073D9E" w14:paraId="51FE9B3C" w14:textId="77777777">
      <w:pPr>
        <w:pStyle w:val="FootnoteText"/>
        <w:rPr>
          <w:sz w:val="20"/>
        </w:rPr>
      </w:pPr>
      <w:r w:rsidRPr="00D63E03">
        <w:rPr>
          <w:rStyle w:val="FootnoteReference"/>
          <w:sz w:val="20"/>
        </w:rPr>
        <w:footnoteRef/>
      </w:r>
      <w:r w:rsidRPr="00D63E03">
        <w:rPr>
          <w:sz w:val="20"/>
        </w:rPr>
        <w:t xml:space="preserve"> Application at 8.</w:t>
      </w:r>
    </w:p>
  </w:footnote>
  <w:footnote w:id="56">
    <w:p w:rsidR="00073D9E" w:rsidRPr="00D63E03" w:rsidP="00073D9E" w14:paraId="2F962C42"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Id.</w:t>
      </w:r>
      <w:r w:rsidRPr="00D63E03">
        <w:rPr>
          <w:sz w:val="20"/>
        </w:rPr>
        <w:t xml:space="preserve"> at 8.</w:t>
      </w:r>
    </w:p>
  </w:footnote>
  <w:footnote w:id="57">
    <w:p w:rsidR="00073D9E" w:rsidRPr="00D63E03" w:rsidP="00073D9E" w14:paraId="2F2CA330"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Id</w:t>
      </w:r>
      <w:r w:rsidRPr="00D63E03">
        <w:rPr>
          <w:sz w:val="20"/>
        </w:rPr>
        <w:t>. at 16.</w:t>
      </w:r>
    </w:p>
  </w:footnote>
  <w:footnote w:id="58">
    <w:p w:rsidR="00073D9E" w:rsidRPr="00D63E03" w:rsidP="00073D9E" w14:paraId="5E7D3FA7" w14:textId="77777777">
      <w:pPr>
        <w:pStyle w:val="FootnoteText"/>
        <w:rPr>
          <w:sz w:val="20"/>
        </w:rPr>
      </w:pPr>
      <w:r w:rsidRPr="00D63E03">
        <w:rPr>
          <w:rStyle w:val="FootnoteReference"/>
          <w:sz w:val="20"/>
        </w:rPr>
        <w:footnoteRef/>
      </w:r>
      <w:r w:rsidRPr="00D63E03">
        <w:rPr>
          <w:sz w:val="20"/>
        </w:rPr>
        <w:t xml:space="preserve"> Redwire Dec. 2021 Status Report at 2. </w:t>
      </w:r>
    </w:p>
  </w:footnote>
  <w:footnote w:id="59">
    <w:p w:rsidR="00073D9E" w:rsidRPr="00D63E03" w:rsidP="00073D9E" w14:paraId="05FFD3FF"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Redwire Second Waiver Order</w:t>
      </w:r>
      <w:r w:rsidRPr="00D63E03">
        <w:rPr>
          <w:sz w:val="20"/>
        </w:rPr>
        <w:t xml:space="preserve"> at 4, para 10.</w:t>
      </w:r>
    </w:p>
  </w:footnote>
  <w:footnote w:id="60">
    <w:p w:rsidR="00073D9E" w:rsidRPr="00D63E03" w:rsidP="00073D9E" w14:paraId="42748772" w14:textId="77777777">
      <w:pPr>
        <w:pStyle w:val="FootnoteText"/>
        <w:rPr>
          <w:sz w:val="20"/>
        </w:rPr>
      </w:pPr>
      <w:r w:rsidRPr="00D63E03">
        <w:rPr>
          <w:rStyle w:val="FootnoteReference"/>
          <w:sz w:val="20"/>
        </w:rPr>
        <w:footnoteRef/>
      </w:r>
      <w:r w:rsidRPr="00D63E03">
        <w:rPr>
          <w:sz w:val="20"/>
        </w:rPr>
        <w:t xml:space="preserve"> 47 CFR § 1.3.</w:t>
      </w:r>
    </w:p>
  </w:footnote>
  <w:footnote w:id="61">
    <w:p w:rsidR="00073D9E" w:rsidRPr="00D63E03" w:rsidP="00073D9E" w14:paraId="0B7D07E5" w14:textId="77777777">
      <w:pPr>
        <w:pStyle w:val="FootnoteText"/>
        <w:rPr>
          <w:sz w:val="20"/>
        </w:rPr>
      </w:pPr>
      <w:r w:rsidRPr="00D63E03">
        <w:rPr>
          <w:rStyle w:val="FootnoteReference"/>
          <w:sz w:val="20"/>
        </w:rPr>
        <w:footnoteRef/>
      </w:r>
      <w:r w:rsidRPr="00D63E03">
        <w:rPr>
          <w:sz w:val="20"/>
        </w:rPr>
        <w:t xml:space="preserve"> </w:t>
      </w:r>
      <w:r w:rsidRPr="00D63E03">
        <w:rPr>
          <w:i/>
          <w:sz w:val="20"/>
        </w:rPr>
        <w:t>Northeast Cellular Telephone Co. v. FCC</w:t>
      </w:r>
      <w:r w:rsidRPr="00D63E03">
        <w:rPr>
          <w:sz w:val="20"/>
        </w:rPr>
        <w:t>, 897 F.2d 1164, 1166 (D.C. Cir. 1990) (</w:t>
      </w:r>
      <w:r w:rsidRPr="00D63E03">
        <w:rPr>
          <w:i/>
          <w:sz w:val="20"/>
        </w:rPr>
        <w:t>Northeast Cellular</w:t>
      </w:r>
      <w:r w:rsidRPr="00D63E03">
        <w:rPr>
          <w:sz w:val="20"/>
        </w:rPr>
        <w:t>).</w:t>
      </w:r>
    </w:p>
  </w:footnote>
  <w:footnote w:id="62">
    <w:p w:rsidR="00073D9E" w:rsidRPr="00D63E03" w:rsidP="00073D9E" w14:paraId="56A489BF" w14:textId="77777777">
      <w:pPr>
        <w:pStyle w:val="FootnoteText"/>
        <w:rPr>
          <w:sz w:val="20"/>
        </w:rPr>
      </w:pPr>
      <w:r w:rsidRPr="00D63E03">
        <w:rPr>
          <w:rStyle w:val="FootnoteReference"/>
          <w:sz w:val="20"/>
        </w:rPr>
        <w:footnoteRef/>
      </w:r>
      <w:r w:rsidR="001250FC">
        <w:rPr>
          <w:i/>
          <w:sz w:val="20"/>
        </w:rPr>
        <w:t xml:space="preserve"> Id</w:t>
      </w:r>
      <w:r w:rsidRPr="00D63E03">
        <w:rPr>
          <w:sz w:val="20"/>
        </w:rPr>
        <w:t>.</w:t>
      </w:r>
    </w:p>
  </w:footnote>
  <w:footnote w:id="63">
    <w:p w:rsidR="00073D9E" w:rsidRPr="00D63E03" w:rsidP="00073D9E" w14:paraId="01454F04"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Redwire Second Waiver Order</w:t>
      </w:r>
      <w:r w:rsidRPr="00D63E03">
        <w:rPr>
          <w:sz w:val="20"/>
        </w:rPr>
        <w:t xml:space="preserve"> at 4, para. 12. </w:t>
      </w:r>
    </w:p>
  </w:footnote>
  <w:footnote w:id="64">
    <w:p w:rsidR="005434B4" w:rsidRPr="00D63E03" w14:paraId="5AF4EBC6" w14:textId="77777777">
      <w:pPr>
        <w:pStyle w:val="FootnoteText"/>
        <w:rPr>
          <w:sz w:val="20"/>
        </w:rPr>
      </w:pPr>
      <w:r w:rsidRPr="00D63E03">
        <w:rPr>
          <w:rStyle w:val="FootnoteReference"/>
          <w:sz w:val="20"/>
        </w:rPr>
        <w:footnoteRef/>
      </w:r>
      <w:r w:rsidRPr="00D63E03">
        <w:rPr>
          <w:sz w:val="20"/>
        </w:rPr>
        <w:t xml:space="preserve"> </w:t>
      </w:r>
      <w:r w:rsidRPr="00D63E03" w:rsidR="00E952E9">
        <w:rPr>
          <w:i/>
          <w:iCs/>
          <w:sz w:val="20"/>
        </w:rPr>
        <w:t>Redwire Waiver Order</w:t>
      </w:r>
      <w:r w:rsidRPr="00D63E03" w:rsidR="00E952E9">
        <w:rPr>
          <w:sz w:val="20"/>
        </w:rPr>
        <w:t>, 35 FCC Rcd at 5845-46, paras. 7-8.</w:t>
      </w:r>
    </w:p>
  </w:footnote>
  <w:footnote w:id="65">
    <w:p w:rsidR="00412DC2" w:rsidRPr="00D63E03" w14:paraId="0105E1ED" w14:textId="77777777">
      <w:pPr>
        <w:pStyle w:val="FootnoteText"/>
        <w:rPr>
          <w:sz w:val="20"/>
        </w:rPr>
      </w:pPr>
      <w:r w:rsidRPr="00D63E03">
        <w:rPr>
          <w:rStyle w:val="FootnoteReference"/>
          <w:sz w:val="20"/>
        </w:rPr>
        <w:footnoteRef/>
      </w:r>
      <w:r w:rsidRPr="00D63E03">
        <w:rPr>
          <w:sz w:val="20"/>
        </w:rPr>
        <w:t xml:space="preserve"> </w:t>
      </w:r>
      <w:r w:rsidRPr="00D63E03" w:rsidR="009E0DD3">
        <w:rPr>
          <w:i/>
          <w:iCs/>
          <w:sz w:val="20"/>
        </w:rPr>
        <w:t>Redwire Second Waiver Order</w:t>
      </w:r>
      <w:r w:rsidRPr="00D63E03" w:rsidR="009E0DD3">
        <w:rPr>
          <w:sz w:val="20"/>
        </w:rPr>
        <w:t xml:space="preserve"> at 4, para. 12. </w:t>
      </w:r>
    </w:p>
  </w:footnote>
  <w:footnote w:id="66">
    <w:p w:rsidR="009609D2" w:rsidRPr="00D63E03" w14:paraId="59B8FB9E" w14:textId="77777777">
      <w:pPr>
        <w:pStyle w:val="FootnoteText"/>
        <w:rPr>
          <w:sz w:val="20"/>
        </w:rPr>
      </w:pPr>
      <w:r w:rsidRPr="00D63E03">
        <w:rPr>
          <w:rStyle w:val="FootnoteReference"/>
          <w:sz w:val="20"/>
        </w:rPr>
        <w:footnoteRef/>
      </w:r>
      <w:r w:rsidRPr="00D63E03">
        <w:rPr>
          <w:sz w:val="20"/>
        </w:rPr>
        <w:t xml:space="preserve"> </w:t>
      </w:r>
      <w:r w:rsidRPr="00D63E03" w:rsidR="005434B4">
        <w:rPr>
          <w:sz w:val="20"/>
        </w:rPr>
        <w:t xml:space="preserve">Application at </w:t>
      </w:r>
      <w:r w:rsidRPr="00D63E03" w:rsidR="00411D7B">
        <w:rPr>
          <w:sz w:val="20"/>
        </w:rPr>
        <w:t>8</w:t>
      </w:r>
      <w:r w:rsidRPr="00D63E03" w:rsidR="005434B4">
        <w:rPr>
          <w:sz w:val="20"/>
        </w:rPr>
        <w:t>.</w:t>
      </w:r>
      <w:r w:rsidRPr="00D63E03" w:rsidR="00411D7B">
        <w:rPr>
          <w:sz w:val="20"/>
        </w:rPr>
        <w:t xml:space="preserve">  </w:t>
      </w:r>
      <w:r w:rsidRPr="00D63E03" w:rsidR="00411D7B">
        <w:rPr>
          <w:i/>
          <w:iCs/>
          <w:sz w:val="20"/>
        </w:rPr>
        <w:t>See also id.</w:t>
      </w:r>
      <w:r w:rsidRPr="00D63E03" w:rsidR="00411D7B">
        <w:rPr>
          <w:sz w:val="20"/>
        </w:rPr>
        <w:t xml:space="preserve"> at 2 (explaining that Redwire “</w:t>
      </w:r>
      <w:r w:rsidRPr="00D63E03" w:rsidR="00411D7B">
        <w:rPr>
          <w:snapToGrid w:val="0"/>
          <w:kern w:val="28"/>
          <w:sz w:val="20"/>
        </w:rPr>
        <w:t>has no means to obtain its letter of credit, leaving it with the sole alternative of assigning its [Auction 903] obligations to third parties”).</w:t>
      </w:r>
    </w:p>
  </w:footnote>
  <w:footnote w:id="67">
    <w:p w:rsidR="00073D9E" w:rsidRPr="00D63E03" w:rsidP="00073D9E" w14:paraId="2899B0EC" w14:textId="77777777">
      <w:pPr>
        <w:pStyle w:val="FootnoteText"/>
        <w:rPr>
          <w:sz w:val="20"/>
        </w:rPr>
      </w:pPr>
      <w:r w:rsidRPr="00D63E03">
        <w:rPr>
          <w:rStyle w:val="FootnoteReference"/>
          <w:sz w:val="20"/>
        </w:rPr>
        <w:footnoteRef/>
      </w:r>
      <w:r w:rsidRPr="00D63E03">
        <w:rPr>
          <w:sz w:val="20"/>
        </w:rPr>
        <w:t xml:space="preserve"> </w:t>
      </w:r>
      <w:r w:rsidRPr="00D63E03" w:rsidR="00AA29CC">
        <w:rPr>
          <w:i/>
          <w:iCs/>
          <w:sz w:val="20"/>
        </w:rPr>
        <w:t>Redwire Second Waiver Order</w:t>
      </w:r>
      <w:r w:rsidRPr="00D63E03" w:rsidR="00AA29CC">
        <w:rPr>
          <w:sz w:val="20"/>
        </w:rPr>
        <w:t xml:space="preserve"> </w:t>
      </w:r>
      <w:r w:rsidRPr="00D63E03">
        <w:rPr>
          <w:sz w:val="20"/>
        </w:rPr>
        <w:t>at 4, para. 11 (requiring that the acquiring service provider obtain ETC and section 214 transactional approvals, in addition to any required state approvals).</w:t>
      </w:r>
    </w:p>
  </w:footnote>
  <w:footnote w:id="68">
    <w:p w:rsidR="00073D9E" w:rsidRPr="00D63E03" w:rsidP="00073D9E" w14:paraId="2B25087B"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Id.</w:t>
      </w:r>
    </w:p>
  </w:footnote>
  <w:footnote w:id="69">
    <w:p w:rsidR="00073D9E" w:rsidRPr="00D63E03" w:rsidP="00073D9E" w14:paraId="46C319BF" w14:textId="77777777">
      <w:pPr>
        <w:pStyle w:val="FootnoteText"/>
        <w:rPr>
          <w:sz w:val="20"/>
        </w:rPr>
      </w:pPr>
      <w:r w:rsidRPr="00D63E03">
        <w:rPr>
          <w:rStyle w:val="FootnoteReference"/>
          <w:sz w:val="20"/>
        </w:rPr>
        <w:footnoteRef/>
      </w:r>
      <w:r w:rsidRPr="00D63E03">
        <w:rPr>
          <w:sz w:val="20"/>
        </w:rPr>
        <w:t xml:space="preserve"> </w:t>
      </w:r>
      <w:r w:rsidRPr="00D63E03" w:rsidR="00E13277">
        <w:rPr>
          <w:sz w:val="20"/>
        </w:rPr>
        <w:t>Application</w:t>
      </w:r>
      <w:r w:rsidRPr="00D63E03">
        <w:rPr>
          <w:sz w:val="20"/>
        </w:rPr>
        <w:t xml:space="preserve"> at 9; </w:t>
      </w:r>
      <w:r w:rsidRPr="00D63E03">
        <w:rPr>
          <w:i/>
          <w:iCs/>
          <w:sz w:val="20"/>
        </w:rPr>
        <w:t>Redwire Authorization Public Notice</w:t>
      </w:r>
      <w:r w:rsidRPr="00D63E03">
        <w:rPr>
          <w:sz w:val="20"/>
        </w:rPr>
        <w:t xml:space="preserve">, 35 FCC Rcd at 5851.  The Commission adopted service milestones that require each Auction 903 support recipient to offer service to a portion of the number of locations associated with the eligible census blocks included in its authorized winning bids in a state.  47 CFR § 54.310(c); </w:t>
      </w:r>
      <w:r w:rsidRPr="00D63E03">
        <w:rPr>
          <w:i/>
          <w:iCs/>
          <w:sz w:val="20"/>
        </w:rPr>
        <w:t>Connect America Fund et al.</w:t>
      </w:r>
      <w:r w:rsidRPr="00D63E03">
        <w:rPr>
          <w:sz w:val="20"/>
        </w:rPr>
        <w:t>, WC Docket No. 10-90 et al., Report and Order and Further Notice of Proposed Rulemaking, 31 FCC Rcd 5949, 5964, paras. 40-41 (2016) (</w:t>
      </w:r>
      <w:r w:rsidRPr="00D63E03">
        <w:rPr>
          <w:i/>
          <w:iCs/>
          <w:sz w:val="20"/>
        </w:rPr>
        <w:t>Phase II Auction Order</w:t>
      </w:r>
      <w:r w:rsidRPr="00D63E03">
        <w:rPr>
          <w:sz w:val="20"/>
        </w:rPr>
        <w:t xml:space="preserve">).  Specifically, all Auction 903 support recipients are required to build out to 40% of the requisite number of locations in a state by December 31, 2022; 60% by December 31, 2023; 80% by December 31, 2024; and 100% by December 31, 2025.  </w:t>
      </w:r>
      <w:r w:rsidRPr="00D63E03">
        <w:rPr>
          <w:i/>
          <w:iCs/>
          <w:sz w:val="20"/>
        </w:rPr>
        <w:t>Phase II Auction Order</w:t>
      </w:r>
      <w:r w:rsidRPr="00D63E03">
        <w:rPr>
          <w:sz w:val="20"/>
        </w:rPr>
        <w:t xml:space="preserve">, 31 FCC Rcd at 5964, paras. 40-41; </w:t>
      </w:r>
      <w:r w:rsidRPr="00D63E03">
        <w:rPr>
          <w:i/>
          <w:iCs/>
          <w:sz w:val="20"/>
        </w:rPr>
        <w:t>Connect America Fund et al</w:t>
      </w:r>
      <w:r w:rsidRPr="00D63E03">
        <w:rPr>
          <w:sz w:val="20"/>
        </w:rPr>
        <w:t>., WC Docket No. 10-90 et al., Order, 35 FCC Rcd 109 (WCB 2020).</w:t>
      </w:r>
    </w:p>
  </w:footnote>
  <w:footnote w:id="70">
    <w:p w:rsidR="00073D9E" w:rsidRPr="00D63E03" w:rsidP="00073D9E" w14:paraId="45BF7DAB" w14:textId="77777777">
      <w:pPr>
        <w:pStyle w:val="FootnoteText"/>
        <w:rPr>
          <w:sz w:val="20"/>
        </w:rPr>
      </w:pPr>
      <w:r w:rsidRPr="00D63E03">
        <w:rPr>
          <w:rStyle w:val="FootnoteReference"/>
          <w:sz w:val="20"/>
        </w:rPr>
        <w:footnoteRef/>
      </w:r>
      <w:r w:rsidRPr="00D63E03">
        <w:rPr>
          <w:sz w:val="20"/>
        </w:rPr>
        <w:t xml:space="preserve"> Application at 10.</w:t>
      </w:r>
    </w:p>
  </w:footnote>
  <w:footnote w:id="71">
    <w:p w:rsidR="00073D9E" w:rsidRPr="00D63E03" w:rsidP="00073D9E" w14:paraId="5E44D552"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Id</w:t>
      </w:r>
      <w:r w:rsidRPr="00D63E03">
        <w:rPr>
          <w:sz w:val="20"/>
        </w:rPr>
        <w:t>. at 11.</w:t>
      </w:r>
    </w:p>
  </w:footnote>
  <w:footnote w:id="72">
    <w:p w:rsidR="00073D9E" w:rsidRPr="00D63E03" w:rsidP="00073D9E" w14:paraId="11B8A094"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Id.</w:t>
      </w:r>
    </w:p>
  </w:footnote>
  <w:footnote w:id="73">
    <w:p w:rsidR="00073D9E" w:rsidRPr="00D63E03" w:rsidP="00073D9E" w14:paraId="72F515EB"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Id.</w:t>
      </w:r>
      <w:r w:rsidRPr="00D63E03">
        <w:rPr>
          <w:sz w:val="20"/>
        </w:rPr>
        <w:t xml:space="preserve"> at 13.</w:t>
      </w:r>
    </w:p>
  </w:footnote>
  <w:footnote w:id="74">
    <w:p w:rsidR="00073D9E" w:rsidRPr="00D63E03" w:rsidP="00073D9E" w14:paraId="3F56D580" w14:textId="77777777">
      <w:pPr>
        <w:pStyle w:val="FootnoteText"/>
        <w:rPr>
          <w:sz w:val="20"/>
        </w:rPr>
      </w:pPr>
      <w:r w:rsidRPr="00D63E03">
        <w:rPr>
          <w:rStyle w:val="FootnoteReference"/>
          <w:sz w:val="20"/>
        </w:rPr>
        <w:footnoteRef/>
      </w:r>
      <w:r w:rsidRPr="00D63E03">
        <w:rPr>
          <w:sz w:val="20"/>
        </w:rPr>
        <w:t xml:space="preserve"> </w:t>
      </w:r>
      <w:r w:rsidRPr="00D63E03">
        <w:rPr>
          <w:i/>
          <w:sz w:val="20"/>
        </w:rPr>
        <w:t xml:space="preserve">Connect America </w:t>
      </w:r>
      <w:r w:rsidRPr="00D63E03">
        <w:rPr>
          <w:i/>
          <w:iCs/>
          <w:sz w:val="20"/>
        </w:rPr>
        <w:t>Fund et al.</w:t>
      </w:r>
      <w:r w:rsidRPr="00D63E03">
        <w:rPr>
          <w:sz w:val="20"/>
        </w:rPr>
        <w:t xml:space="preserve">, WC Docket No. 10-90 et al., Report and Order, 29 FCC Rcd 15644, 15660, para. 40 &amp; n.93 (2014). </w:t>
      </w:r>
    </w:p>
  </w:footnote>
  <w:footnote w:id="75">
    <w:p w:rsidR="00073D9E" w:rsidRPr="00D63E03" w:rsidP="00073D9E" w14:paraId="01497688" w14:textId="77777777">
      <w:pPr>
        <w:pStyle w:val="FootnoteText"/>
        <w:rPr>
          <w:sz w:val="20"/>
        </w:rPr>
      </w:pPr>
      <w:r w:rsidRPr="00D63E03">
        <w:rPr>
          <w:rStyle w:val="FootnoteReference"/>
          <w:sz w:val="20"/>
        </w:rPr>
        <w:footnoteRef/>
      </w:r>
      <w:r w:rsidRPr="00D63E03">
        <w:rPr>
          <w:sz w:val="20"/>
        </w:rPr>
        <w:t xml:space="preserve"> Application at 10.</w:t>
      </w:r>
    </w:p>
  </w:footnote>
  <w:footnote w:id="76">
    <w:p w:rsidR="00073D9E" w:rsidRPr="00D63E03" w:rsidP="00073D9E" w14:paraId="7A54E983"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Id.</w:t>
      </w:r>
      <w:r w:rsidRPr="00D63E03">
        <w:rPr>
          <w:sz w:val="20"/>
        </w:rPr>
        <w:t xml:space="preserve"> at 12-13.</w:t>
      </w:r>
    </w:p>
  </w:footnote>
  <w:footnote w:id="77">
    <w:p w:rsidR="0083574A" w:rsidRPr="00D63E03" w14:paraId="268F49F1"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Id.</w:t>
      </w:r>
      <w:r w:rsidRPr="00D63E03">
        <w:rPr>
          <w:sz w:val="20"/>
        </w:rPr>
        <w:t xml:space="preserve"> at 10-13.</w:t>
      </w:r>
    </w:p>
  </w:footnote>
  <w:footnote w:id="78">
    <w:p w:rsidR="00C5789C" w:rsidRPr="00D63E03" w:rsidP="00C5789C" w14:paraId="62147199"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Redwire Second Waiver Order</w:t>
      </w:r>
      <w:r w:rsidRPr="00D63E03">
        <w:rPr>
          <w:sz w:val="20"/>
        </w:rPr>
        <w:t xml:space="preserve"> at 4, para. 11.</w:t>
      </w:r>
    </w:p>
  </w:footnote>
  <w:footnote w:id="79">
    <w:p w:rsidR="5BB85CC1" w:rsidRPr="00D63E03" w:rsidP="00CD5BCC" w14:paraId="4556EC9F" w14:textId="77777777">
      <w:pPr>
        <w:pStyle w:val="FootnoteText"/>
        <w:rPr>
          <w:sz w:val="20"/>
        </w:rPr>
      </w:pPr>
      <w:r w:rsidRPr="00D63E03">
        <w:rPr>
          <w:sz w:val="20"/>
          <w:vertAlign w:val="superscript"/>
        </w:rPr>
        <w:footnoteRef/>
      </w:r>
      <w:r w:rsidRPr="00D63E03">
        <w:rPr>
          <w:sz w:val="20"/>
          <w:vertAlign w:val="superscript"/>
        </w:rPr>
        <w:t xml:space="preserve"> </w:t>
      </w:r>
      <w:r w:rsidRPr="00D63E03" w:rsidR="00EE2B70">
        <w:rPr>
          <w:i/>
          <w:iCs/>
          <w:sz w:val="20"/>
        </w:rPr>
        <w:t>Id.</w:t>
      </w:r>
      <w:r w:rsidRPr="00D63E03">
        <w:rPr>
          <w:sz w:val="20"/>
        </w:rPr>
        <w:t xml:space="preserve"> at 2, para. 5 (explaining that during Redwire’s first year of support, the Tribe continued to face financial hardship because of the ongoing pandemic, the Bank of Oklahoma refused to issue it a letter of credit, and that due to the Tribe’s covenants with the Bank of Oklahoma, it was prevented from obtaining a letter of credit from another bank).</w:t>
      </w:r>
    </w:p>
  </w:footnote>
  <w:footnote w:id="80">
    <w:p w:rsidR="5BB85CC1" w:rsidRPr="00D63E03" w:rsidP="00CD5BCC" w14:paraId="32C07B23" w14:textId="77777777">
      <w:pPr>
        <w:pStyle w:val="FootnoteText"/>
        <w:rPr>
          <w:sz w:val="20"/>
        </w:rPr>
      </w:pPr>
      <w:r w:rsidRPr="00D63E03">
        <w:rPr>
          <w:sz w:val="20"/>
          <w:vertAlign w:val="superscript"/>
        </w:rPr>
        <w:footnoteRef/>
      </w:r>
      <w:r w:rsidRPr="00D63E03">
        <w:rPr>
          <w:sz w:val="20"/>
        </w:rPr>
        <w:t xml:space="preserve"> Because the Bureau prohibited Redwire from expending the CAF support necessary to begin meeting its buildout milestones, this circumstance differs from situations in which the Commission may deny a transferring party’s request to extend </w:t>
      </w:r>
      <w:r w:rsidRPr="00D63E03" w:rsidR="000038A4">
        <w:rPr>
          <w:sz w:val="20"/>
        </w:rPr>
        <w:t xml:space="preserve">or waive </w:t>
      </w:r>
      <w:r w:rsidRPr="00D63E03">
        <w:rPr>
          <w:sz w:val="20"/>
        </w:rPr>
        <w:t xml:space="preserve">mandated construction </w:t>
      </w:r>
      <w:r w:rsidRPr="00D63E03" w:rsidR="000038A4">
        <w:rPr>
          <w:sz w:val="20"/>
        </w:rPr>
        <w:t>milestones</w:t>
      </w:r>
      <w:r w:rsidRPr="00D63E03">
        <w:rPr>
          <w:sz w:val="20"/>
        </w:rPr>
        <w:t xml:space="preserve"> in order to enable it to assign its license to a third party.  </w:t>
      </w:r>
      <w:r w:rsidRPr="00D63E03">
        <w:rPr>
          <w:i/>
          <w:iCs/>
          <w:sz w:val="20"/>
        </w:rPr>
        <w:t>See Wireless Telecommunications Bureau Reminds Wireless Licensees of Construction Obligations</w:t>
      </w:r>
      <w:r w:rsidRPr="00D63E03">
        <w:rPr>
          <w:sz w:val="20"/>
        </w:rPr>
        <w:t>, Public Notice, 32 FCC Rcd 4802, 4802-05 (WTB 2017); 47 CFR § 1.946(e)(3) (outlining enforcement of wireless construction requirements and the consideration of extension requests).</w:t>
      </w:r>
    </w:p>
  </w:footnote>
  <w:footnote w:id="81">
    <w:p w:rsidR="00073D9E" w:rsidRPr="00D63E03" w:rsidP="00073D9E" w14:paraId="1D40AC5B" w14:textId="77777777">
      <w:pPr>
        <w:pStyle w:val="FootnoteText"/>
        <w:rPr>
          <w:sz w:val="20"/>
        </w:rPr>
      </w:pPr>
      <w:r w:rsidRPr="00D63E03">
        <w:rPr>
          <w:rStyle w:val="FootnoteReference"/>
          <w:sz w:val="20"/>
        </w:rPr>
        <w:footnoteRef/>
      </w:r>
      <w:r w:rsidRPr="00D63E03">
        <w:rPr>
          <w:sz w:val="20"/>
        </w:rPr>
        <w:t xml:space="preserve"> </w:t>
      </w:r>
      <w:r w:rsidRPr="00D63E03" w:rsidR="00B045B0">
        <w:rPr>
          <w:sz w:val="20"/>
        </w:rPr>
        <w:t>Application</w:t>
      </w:r>
      <w:r w:rsidRPr="00D63E03">
        <w:rPr>
          <w:sz w:val="20"/>
        </w:rPr>
        <w:t xml:space="preserve"> at 11.</w:t>
      </w:r>
    </w:p>
  </w:footnote>
  <w:footnote w:id="82">
    <w:p w:rsidR="00073D9E" w:rsidRPr="00D63E03" w:rsidP="00073D9E" w14:paraId="5520F334" w14:textId="77777777">
      <w:pPr>
        <w:pStyle w:val="FootnoteText"/>
        <w:rPr>
          <w:sz w:val="20"/>
        </w:rPr>
      </w:pPr>
      <w:r w:rsidRPr="00D63E03">
        <w:rPr>
          <w:rStyle w:val="FootnoteReference"/>
          <w:sz w:val="20"/>
        </w:rPr>
        <w:footnoteRef/>
      </w:r>
      <w:r w:rsidRPr="00D63E03">
        <w:rPr>
          <w:sz w:val="20"/>
        </w:rPr>
        <w:t xml:space="preserve"> Redwire Jan. 2022 Status Report at 1-2; Redwire Mar. 2022 Status Report at 1-2.</w:t>
      </w:r>
    </w:p>
  </w:footnote>
  <w:footnote w:id="83">
    <w:p w:rsidR="00073D9E" w:rsidRPr="00D63E03" w:rsidP="00073D9E" w14:paraId="6C1EEB0E"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Second Redwire Waiver Order</w:t>
      </w:r>
      <w:r w:rsidRPr="00D63E03">
        <w:rPr>
          <w:sz w:val="20"/>
        </w:rPr>
        <w:t xml:space="preserve"> at 5, para. 14. </w:t>
      </w:r>
    </w:p>
  </w:footnote>
  <w:footnote w:id="84">
    <w:p w:rsidR="00073D9E" w:rsidRPr="00D63E03" w:rsidP="00073D9E" w14:paraId="792C57C4" w14:textId="77777777">
      <w:pPr>
        <w:pStyle w:val="FootnoteText"/>
        <w:rPr>
          <w:sz w:val="20"/>
        </w:rPr>
      </w:pPr>
      <w:r w:rsidRPr="00D63E03">
        <w:rPr>
          <w:rStyle w:val="FootnoteReference"/>
          <w:sz w:val="20"/>
        </w:rPr>
        <w:footnoteRef/>
      </w:r>
      <w:r w:rsidRPr="00D63E03">
        <w:rPr>
          <w:sz w:val="20"/>
        </w:rPr>
        <w:t xml:space="preserve"> Redwire Mar. 2022 Status Report at 1.  </w:t>
      </w:r>
      <w:r w:rsidRPr="00D63E03">
        <w:rPr>
          <w:i/>
          <w:iCs/>
          <w:sz w:val="20"/>
        </w:rPr>
        <w:t>See also</w:t>
      </w:r>
      <w:r w:rsidRPr="00D63E03">
        <w:rPr>
          <w:sz w:val="20"/>
        </w:rPr>
        <w:t xml:space="preserve"> Redwire Jan. 2022 Status Report at 2 (stating that Redwire was “confident” it would “enter into a second binding agreement” with a service provider “by the time its next quarterly status report” was due in March). </w:t>
      </w:r>
    </w:p>
  </w:footnote>
  <w:footnote w:id="85">
    <w:p w:rsidR="001D0F80" w:rsidRPr="00D63E03" w14:paraId="352FF8C2" w14:textId="77777777">
      <w:pPr>
        <w:pStyle w:val="FootnoteText"/>
        <w:rPr>
          <w:i/>
          <w:iCs/>
          <w:sz w:val="20"/>
        </w:rPr>
      </w:pPr>
      <w:r w:rsidRPr="00D63E03">
        <w:rPr>
          <w:rStyle w:val="FootnoteReference"/>
          <w:sz w:val="20"/>
        </w:rPr>
        <w:footnoteRef/>
      </w:r>
      <w:r w:rsidRPr="00D63E03">
        <w:rPr>
          <w:sz w:val="20"/>
        </w:rPr>
        <w:t xml:space="preserve"> </w:t>
      </w:r>
      <w:r w:rsidRPr="00D63E03">
        <w:rPr>
          <w:i/>
          <w:iCs/>
          <w:sz w:val="20"/>
        </w:rPr>
        <w:t xml:space="preserve">See </w:t>
      </w:r>
      <w:r w:rsidRPr="00D63E03" w:rsidR="00D63E03">
        <w:rPr>
          <w:sz w:val="20"/>
        </w:rPr>
        <w:t>Redwire June 2022 Status Report at 1-2 (indicating that as of June 1, 2022 Redwire has not entered into agreements with any other service providers to assume its Auction 903 support obligations for the remaining areas).</w:t>
      </w:r>
      <w:r w:rsidRPr="00D63E03" w:rsidR="00D63E03">
        <w:rPr>
          <w:i/>
          <w:iCs/>
          <w:sz w:val="20"/>
        </w:rPr>
        <w:t xml:space="preserve"> </w:t>
      </w:r>
    </w:p>
  </w:footnote>
  <w:footnote w:id="86">
    <w:p w:rsidR="00073D9E" w:rsidRPr="001250FC" w:rsidP="00073D9E" w14:paraId="0C66FC60" w14:textId="77777777">
      <w:pPr>
        <w:pStyle w:val="FootnoteText"/>
        <w:rPr>
          <w:sz w:val="20"/>
        </w:rPr>
      </w:pPr>
      <w:r w:rsidRPr="00D63E03">
        <w:rPr>
          <w:rStyle w:val="FootnoteReference"/>
          <w:sz w:val="20"/>
        </w:rPr>
        <w:footnoteRef/>
      </w:r>
      <w:r w:rsidRPr="00D63E03">
        <w:rPr>
          <w:sz w:val="20"/>
        </w:rPr>
        <w:t xml:space="preserve"> </w:t>
      </w:r>
      <w:r w:rsidRPr="001250FC">
        <w:rPr>
          <w:sz w:val="20"/>
        </w:rPr>
        <w:t>Redwire Mar. 2022 Status Report at 2.</w:t>
      </w:r>
    </w:p>
  </w:footnote>
  <w:footnote w:id="87">
    <w:p w:rsidR="001250FC" w:rsidRPr="001250FC" w14:paraId="65ECB6CE" w14:textId="77777777">
      <w:pPr>
        <w:pStyle w:val="FootnoteText"/>
        <w:rPr>
          <w:sz w:val="20"/>
        </w:rPr>
      </w:pPr>
      <w:r w:rsidRPr="001250FC">
        <w:rPr>
          <w:rStyle w:val="FootnoteReference"/>
          <w:sz w:val="20"/>
        </w:rPr>
        <w:footnoteRef/>
      </w:r>
      <w:r w:rsidRPr="001250FC">
        <w:rPr>
          <w:sz w:val="20"/>
        </w:rPr>
        <w:t xml:space="preserve"> </w:t>
      </w:r>
      <w:r w:rsidRPr="001250FC">
        <w:rPr>
          <w:snapToGrid w:val="0"/>
          <w:kern w:val="28"/>
          <w:sz w:val="20"/>
        </w:rPr>
        <w:t>47 CFR § 54.320(c).</w:t>
      </w:r>
    </w:p>
  </w:footnote>
  <w:footnote w:id="88">
    <w:p w:rsidR="00073D9E" w:rsidRPr="00D63E03" w:rsidP="00073D9E" w14:paraId="452DE510" w14:textId="77777777">
      <w:pPr>
        <w:pStyle w:val="FootnoteText"/>
        <w:rPr>
          <w:sz w:val="20"/>
        </w:rPr>
      </w:pPr>
      <w:r w:rsidRPr="00D63E03">
        <w:rPr>
          <w:rStyle w:val="FootnoteReference"/>
          <w:sz w:val="20"/>
        </w:rPr>
        <w:footnoteRef/>
      </w:r>
      <w:r w:rsidRPr="00D63E03">
        <w:rPr>
          <w:sz w:val="20"/>
        </w:rPr>
        <w:t xml:space="preserve"> </w:t>
      </w:r>
      <w:r w:rsidRPr="001250FC" w:rsidR="001250FC">
        <w:rPr>
          <w:i/>
          <w:iCs/>
          <w:sz w:val="20"/>
        </w:rPr>
        <w:t>Id</w:t>
      </w:r>
      <w:r w:rsidR="001250FC">
        <w:rPr>
          <w:sz w:val="20"/>
        </w:rPr>
        <w:t>.</w:t>
      </w:r>
      <w:r w:rsidRPr="00D63E03">
        <w:rPr>
          <w:sz w:val="20"/>
        </w:rPr>
        <w:t xml:space="preserve">; </w:t>
      </w:r>
      <w:r w:rsidRPr="00D63E03">
        <w:rPr>
          <w:i/>
          <w:iCs/>
          <w:sz w:val="20"/>
        </w:rPr>
        <w:t>see</w:t>
      </w:r>
      <w:r w:rsidR="001250FC">
        <w:rPr>
          <w:i/>
          <w:iCs/>
          <w:sz w:val="20"/>
        </w:rPr>
        <w:t xml:space="preserve"> </w:t>
      </w:r>
      <w:r w:rsidRPr="00D63E03">
        <w:rPr>
          <w:i/>
          <w:iCs/>
          <w:sz w:val="20"/>
        </w:rPr>
        <w:t>Redwire Second Waiver Order</w:t>
      </w:r>
      <w:r w:rsidRPr="00D63E03">
        <w:rPr>
          <w:sz w:val="20"/>
        </w:rPr>
        <w:t xml:space="preserve"> at 4, para. 10.  As explained in the </w:t>
      </w:r>
      <w:r w:rsidRPr="00D63E03">
        <w:rPr>
          <w:i/>
          <w:iCs/>
          <w:sz w:val="20"/>
        </w:rPr>
        <w:t>Redwire Second Waiver Order</w:t>
      </w:r>
      <w:r w:rsidRPr="00D63E03">
        <w:rPr>
          <w:sz w:val="20"/>
        </w:rPr>
        <w:t>, the grant of the wa</w:t>
      </w:r>
      <w:r w:rsidRPr="00D63E03" w:rsidR="007204B1">
        <w:rPr>
          <w:sz w:val="20"/>
        </w:rPr>
        <w:t>i</w:t>
      </w:r>
      <w:r w:rsidRPr="00D63E03">
        <w:rPr>
          <w:sz w:val="20"/>
        </w:rPr>
        <w:t xml:space="preserve">ver was conditioned </w:t>
      </w:r>
      <w:r w:rsidRPr="00D63E03" w:rsidR="000655D2">
        <w:rPr>
          <w:sz w:val="20"/>
        </w:rPr>
        <w:t xml:space="preserve">on </w:t>
      </w:r>
      <w:r w:rsidRPr="00D63E03">
        <w:rPr>
          <w:sz w:val="20"/>
        </w:rPr>
        <w:t>the fact that none of the disbursed support could be spent until the necessary regulatory approvals had been obtained.  The Bureau therefore concluded that because Redwire had not spent any of the funds distributed to it and because the Bureau had “suspended</w:t>
      </w:r>
      <w:r w:rsidRPr="00D63E03">
        <w:rPr>
          <w:i/>
          <w:iCs/>
          <w:sz w:val="20"/>
        </w:rPr>
        <w:t xml:space="preserve"> </w:t>
      </w:r>
      <w:r w:rsidRPr="00D63E03">
        <w:rPr>
          <w:sz w:val="20"/>
        </w:rPr>
        <w:t xml:space="preserve">further Auction 903 payments and would not resume payments until and acceptable letter of credit” was in place, the Commission had mitigated the financial risk of being able to recover all of the support distributed.  </w:t>
      </w:r>
      <w:r w:rsidRPr="00D63E03">
        <w:rPr>
          <w:i/>
          <w:iCs/>
          <w:sz w:val="20"/>
        </w:rPr>
        <w:t>Redwire Second Waiver Order</w:t>
      </w:r>
      <w:r w:rsidRPr="00D63E03">
        <w:rPr>
          <w:sz w:val="20"/>
        </w:rPr>
        <w:t xml:space="preserve"> at 5, paras. 14-15.  </w:t>
      </w:r>
    </w:p>
  </w:footnote>
  <w:footnote w:id="89">
    <w:p w:rsidR="00073D9E" w:rsidRPr="00D63E03" w:rsidP="00073D9E" w14:paraId="0CB963B1" w14:textId="77777777">
      <w:pPr>
        <w:pStyle w:val="FootnoteText"/>
        <w:rPr>
          <w:sz w:val="20"/>
        </w:rPr>
      </w:pPr>
      <w:r w:rsidRPr="00D63E03">
        <w:rPr>
          <w:rStyle w:val="FootnoteReference"/>
          <w:sz w:val="20"/>
        </w:rPr>
        <w:footnoteRef/>
      </w:r>
      <w:r w:rsidRPr="00D63E03">
        <w:rPr>
          <w:sz w:val="20"/>
        </w:rPr>
        <w:t xml:space="preserve"> </w:t>
      </w:r>
      <w:r w:rsidRPr="00D63E03" w:rsidR="004C28ED">
        <w:rPr>
          <w:sz w:val="20"/>
        </w:rPr>
        <w:t>47 CFR § 54.320(c).</w:t>
      </w:r>
    </w:p>
  </w:footnote>
  <w:footnote w:id="90">
    <w:p w:rsidR="00073D9E" w:rsidRPr="00D63E03" w:rsidP="00073D9E" w14:paraId="3F323EB7" w14:textId="77777777">
      <w:pPr>
        <w:pStyle w:val="FootnoteText"/>
        <w:rPr>
          <w:sz w:val="20"/>
        </w:rPr>
      </w:pPr>
      <w:r w:rsidRPr="00D63E03">
        <w:rPr>
          <w:rStyle w:val="FootnoteReference"/>
          <w:sz w:val="20"/>
        </w:rPr>
        <w:footnoteRef/>
      </w:r>
      <w:r w:rsidRPr="00D63E03">
        <w:rPr>
          <w:sz w:val="20"/>
        </w:rPr>
        <w:t xml:space="preserve"> </w:t>
      </w:r>
      <w:r w:rsidRPr="00D63E03">
        <w:rPr>
          <w:i/>
          <w:iCs/>
          <w:sz w:val="20"/>
        </w:rPr>
        <w:t>See Redwire Authorization Public Notice</w:t>
      </w:r>
      <w:r w:rsidRPr="00D63E03">
        <w:rPr>
          <w:sz w:val="20"/>
        </w:rPr>
        <w:t xml:space="preserve">, 35 FCC Rcd at 5850-55 (listing obligations for authorized Auction 903 recipients); </w:t>
      </w:r>
      <w:r w:rsidRPr="00D63E03">
        <w:rPr>
          <w:i/>
          <w:iCs/>
          <w:sz w:val="20"/>
        </w:rPr>
        <w:t>Redwire Second Waiver Order</w:t>
      </w:r>
      <w:r w:rsidRPr="00D63E03">
        <w:rPr>
          <w:sz w:val="20"/>
        </w:rPr>
        <w:t xml:space="preserve"> at 3-5, paras. 8-15.</w:t>
      </w:r>
    </w:p>
  </w:footnote>
  <w:footnote w:id="91">
    <w:p w:rsidR="00073D9E" w:rsidRPr="00D63E03" w:rsidP="00073D9E" w14:paraId="059CBBEA" w14:textId="77777777">
      <w:pPr>
        <w:rPr>
          <w:sz w:val="20"/>
        </w:rPr>
      </w:pPr>
      <w:r w:rsidRPr="00D63E03">
        <w:rPr>
          <w:rStyle w:val="FootnoteReference"/>
          <w:sz w:val="20"/>
        </w:rPr>
        <w:footnoteRef/>
      </w:r>
      <w:r w:rsidRPr="00D63E03">
        <w:rPr>
          <w:color w:val="000000"/>
          <w:sz w:val="20"/>
        </w:rPr>
        <w:t xml:space="preserve"> </w:t>
      </w:r>
      <w:r w:rsidRPr="00D63E03">
        <w:rPr>
          <w:sz w:val="20"/>
        </w:rPr>
        <w:t>We direct Applicants to submit, within 30 days of closing the proposed transaction, a notice in WC Docket No. 22-5</w:t>
      </w:r>
      <w:r w:rsidRPr="00D63E03" w:rsidR="00DC6F7B">
        <w:rPr>
          <w:sz w:val="20"/>
        </w:rPr>
        <w:t>5</w:t>
      </w:r>
      <w:r w:rsidRPr="00D63E03">
        <w:rPr>
          <w:sz w:val="20"/>
        </w:rPr>
        <w:t xml:space="preserve"> that the proposed transaction has closed with the consummation date, and also provide a courtesy copy of the notice to </w:t>
      </w:r>
      <w:hyperlink r:id="rId2" w:history="1">
        <w:r w:rsidRPr="00D63E03">
          <w:rPr>
            <w:sz w:val="20"/>
          </w:rPr>
          <w:t>hcinfo@usac.org</w:t>
        </w:r>
      </w:hyperlink>
      <w:r w:rsidRPr="00D63E03">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FBDA45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mso-wrap-edited:f;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mso-wrap-edited:f;position:absolute;visibility:visible;z-index:251658240" o:allowincell="f" stroked="f">
          <v:textbox>
            <w:txbxContent>
              <w:p w:rsidR="005E21F5" w14:paraId="35BAED34" w14:textId="77777777">
                <w:pPr>
                  <w:rPr>
                    <w:rFonts w:ascii="Arial" w:hAnsi="Arial"/>
                    <w:b/>
                  </w:rPr>
                </w:pPr>
                <w:r>
                  <w:rPr>
                    <w:rFonts w:ascii="Arial" w:hAnsi="Arial"/>
                    <w:b/>
                  </w:rPr>
                  <w:t>Federal Communications Commission</w:t>
                </w:r>
              </w:p>
              <w:p w:rsidR="005E21F5" w14:paraId="5F2AACCB" w14:textId="77777777">
                <w:pPr>
                  <w:rPr>
                    <w:rFonts w:ascii="Arial" w:hAnsi="Arial"/>
                    <w:b/>
                  </w:rPr>
                </w:pPr>
                <w:r>
                  <w:rPr>
                    <w:rFonts w:ascii="Arial" w:hAnsi="Arial"/>
                    <w:b/>
                  </w:rPr>
                  <w:t>45 L St., N.E.</w:t>
                </w:r>
              </w:p>
              <w:p w:rsidR="005E21F5" w14:paraId="0333DDD6" w14:textId="77777777">
                <w:pPr>
                  <w:rPr>
                    <w:rFonts w:ascii="Arial" w:hAnsi="Arial"/>
                    <w:sz w:val="24"/>
                  </w:rPr>
                </w:pPr>
                <w:r>
                  <w:rPr>
                    <w:rFonts w:ascii="Arial" w:hAnsi="Arial"/>
                    <w:b/>
                  </w:rPr>
                  <w:t>Washington, D.C. 20554</w:t>
                </w:r>
              </w:p>
            </w:txbxContent>
          </v:textbox>
        </v:shape>
      </w:pict>
    </w:r>
    <w:r w:rsidR="00BC3124">
      <w:rPr>
        <w:rFonts w:ascii="News Gothic MT" w:hAnsi="News Gothic MT"/>
        <w:b/>
        <w:kern w:val="28"/>
        <w:sz w:val="96"/>
      </w:rPr>
      <w:t>PUBLIC NOTICE</w:t>
    </w:r>
  </w:p>
  <w:p w:rsidR="005E21F5" w14:paraId="39573F6E"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mso-wrap-edited:f;position:absolute;visibility:visible;z-index:251659264" from="0,54.95pt" to="540pt,55.15pt" o:allowincell="f"/>
      </w:pict>
    </w:r>
    <w:r>
      <w:rPr>
        <w:noProof/>
      </w:rPr>
      <w:pict>
        <v:shape id="Text Box 3" o:spid="_x0000_s2052" type="#_x0000_t202" style="width:207.95pt;height:43.2pt;margin-top:10.25pt;margin-left:336.7pt;mso-wrap-edited:f;position:absolute;visibility:visible;z-index:251660288" o:allowincell="f" stroked="f">
          <v:textbox inset=",0,,0">
            <w:txbxContent>
              <w:p w:rsidR="005E21F5" w14:paraId="51FF3A6E" w14:textId="77777777">
                <w:pPr>
                  <w:spacing w:before="40"/>
                  <w:jc w:val="right"/>
                  <w:rPr>
                    <w:rFonts w:ascii="Arial" w:hAnsi="Arial"/>
                    <w:b/>
                    <w:sz w:val="16"/>
                  </w:rPr>
                </w:pPr>
                <w:r>
                  <w:rPr>
                    <w:rFonts w:ascii="Arial" w:hAnsi="Arial"/>
                    <w:b/>
                    <w:sz w:val="16"/>
                  </w:rPr>
                  <w:t>News Media Information 202 / 418-0500</w:t>
                </w:r>
              </w:p>
              <w:p w:rsidR="005E21F5" w14:paraId="4771670D"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648B3670" w14:textId="77777777">
                <w:pPr>
                  <w:jc w:val="right"/>
                  <w:rPr>
                    <w:rFonts w:ascii="Arial" w:hAnsi="Arial"/>
                    <w:b/>
                    <w:sz w:val="16"/>
                  </w:rPr>
                </w:pPr>
              </w:p>
              <w:p w:rsidR="005E21F5" w14:paraId="4BB442ED" w14:textId="77777777">
                <w:pPr>
                  <w:jc w:val="right"/>
                </w:pPr>
              </w:p>
            </w:txbxContent>
          </v:textbox>
        </v:shape>
      </w:pict>
    </w:r>
  </w:p>
  <w:p w:rsidR="005E21F5" w14:paraId="632928E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A520385"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8004B39"/>
    <w:multiLevelType w:val="hybridMultilevel"/>
    <w:tmpl w:val="8E82753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3"/>
  </w:num>
  <w:num w:numId="2">
    <w:abstractNumId w:val="11"/>
  </w:num>
  <w:num w:numId="3">
    <w:abstractNumId w:val="14"/>
  </w:num>
  <w:num w:numId="4">
    <w:abstractNumId w:val="3"/>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0"/>
  </w:num>
  <w:num w:numId="12">
    <w:abstractNumId w:val="7"/>
  </w:num>
  <w:num w:numId="13">
    <w:abstractNumId w:val="9"/>
  </w:num>
  <w:num w:numId="14">
    <w:abstractNumId w:val="15"/>
  </w:num>
  <w:num w:numId="15">
    <w:abstractNumId w:val="0"/>
  </w:num>
  <w:num w:numId="16">
    <w:abstractNumId w:val="20"/>
  </w:num>
  <w:num w:numId="17">
    <w:abstractNumId w:val="6"/>
  </w:num>
  <w:num w:numId="18">
    <w:abstractNumId w:val="17"/>
  </w:num>
  <w:num w:numId="19">
    <w:abstractNumId w:val="5"/>
  </w:num>
  <w:num w:numId="20">
    <w:abstractNumId w:val="2"/>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1"/>
  </w:num>
  <w:num w:numId="26">
    <w:abstractNumId w:val="8"/>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38A4"/>
    <w:rsid w:val="000064CD"/>
    <w:rsid w:val="00007AF5"/>
    <w:rsid w:val="0001023F"/>
    <w:rsid w:val="000103C1"/>
    <w:rsid w:val="000110B9"/>
    <w:rsid w:val="00011132"/>
    <w:rsid w:val="000112FA"/>
    <w:rsid w:val="0001135F"/>
    <w:rsid w:val="0001280D"/>
    <w:rsid w:val="00012E42"/>
    <w:rsid w:val="000135E4"/>
    <w:rsid w:val="00014BC8"/>
    <w:rsid w:val="000159F4"/>
    <w:rsid w:val="00015C00"/>
    <w:rsid w:val="0001608E"/>
    <w:rsid w:val="0001680D"/>
    <w:rsid w:val="00017A3A"/>
    <w:rsid w:val="00020FC6"/>
    <w:rsid w:val="000219E2"/>
    <w:rsid w:val="000227D6"/>
    <w:rsid w:val="00023238"/>
    <w:rsid w:val="00023A71"/>
    <w:rsid w:val="00024494"/>
    <w:rsid w:val="00024CAC"/>
    <w:rsid w:val="0002566C"/>
    <w:rsid w:val="00025A42"/>
    <w:rsid w:val="00026695"/>
    <w:rsid w:val="00026F70"/>
    <w:rsid w:val="00027342"/>
    <w:rsid w:val="000274B5"/>
    <w:rsid w:val="00027E5B"/>
    <w:rsid w:val="00030298"/>
    <w:rsid w:val="0003099A"/>
    <w:rsid w:val="00031395"/>
    <w:rsid w:val="00031543"/>
    <w:rsid w:val="00031C8B"/>
    <w:rsid w:val="00031F38"/>
    <w:rsid w:val="00032A4A"/>
    <w:rsid w:val="000330E3"/>
    <w:rsid w:val="000350BB"/>
    <w:rsid w:val="00035419"/>
    <w:rsid w:val="00035F32"/>
    <w:rsid w:val="00036417"/>
    <w:rsid w:val="000374E6"/>
    <w:rsid w:val="00040610"/>
    <w:rsid w:val="00040678"/>
    <w:rsid w:val="00040756"/>
    <w:rsid w:val="00040B01"/>
    <w:rsid w:val="00040BA0"/>
    <w:rsid w:val="00040DAF"/>
    <w:rsid w:val="00041B38"/>
    <w:rsid w:val="00041C01"/>
    <w:rsid w:val="000427A3"/>
    <w:rsid w:val="00043692"/>
    <w:rsid w:val="00045563"/>
    <w:rsid w:val="0004575B"/>
    <w:rsid w:val="0004648D"/>
    <w:rsid w:val="00046F50"/>
    <w:rsid w:val="00047FAE"/>
    <w:rsid w:val="00050A3A"/>
    <w:rsid w:val="000534AC"/>
    <w:rsid w:val="00054183"/>
    <w:rsid w:val="000575E7"/>
    <w:rsid w:val="00057881"/>
    <w:rsid w:val="00057E12"/>
    <w:rsid w:val="00060139"/>
    <w:rsid w:val="00062792"/>
    <w:rsid w:val="000629CF"/>
    <w:rsid w:val="000639C7"/>
    <w:rsid w:val="00063CA5"/>
    <w:rsid w:val="00064C7D"/>
    <w:rsid w:val="000655D2"/>
    <w:rsid w:val="000656F9"/>
    <w:rsid w:val="0006624C"/>
    <w:rsid w:val="00066D12"/>
    <w:rsid w:val="0007281C"/>
    <w:rsid w:val="00073173"/>
    <w:rsid w:val="000735C8"/>
    <w:rsid w:val="00073959"/>
    <w:rsid w:val="00073D9E"/>
    <w:rsid w:val="00075D57"/>
    <w:rsid w:val="0007782E"/>
    <w:rsid w:val="00080F60"/>
    <w:rsid w:val="00081B2E"/>
    <w:rsid w:val="00082055"/>
    <w:rsid w:val="00082F95"/>
    <w:rsid w:val="00083370"/>
    <w:rsid w:val="0008381D"/>
    <w:rsid w:val="00086D16"/>
    <w:rsid w:val="00087205"/>
    <w:rsid w:val="00092409"/>
    <w:rsid w:val="00092A4E"/>
    <w:rsid w:val="00093E8B"/>
    <w:rsid w:val="0009466D"/>
    <w:rsid w:val="000946FB"/>
    <w:rsid w:val="00095040"/>
    <w:rsid w:val="0009534A"/>
    <w:rsid w:val="0009694B"/>
    <w:rsid w:val="00097AB0"/>
    <w:rsid w:val="000A24AA"/>
    <w:rsid w:val="000A2B55"/>
    <w:rsid w:val="000A2EEF"/>
    <w:rsid w:val="000A4CD7"/>
    <w:rsid w:val="000A6096"/>
    <w:rsid w:val="000A671D"/>
    <w:rsid w:val="000A7521"/>
    <w:rsid w:val="000B0795"/>
    <w:rsid w:val="000B1C31"/>
    <w:rsid w:val="000B2362"/>
    <w:rsid w:val="000B23EB"/>
    <w:rsid w:val="000B3146"/>
    <w:rsid w:val="000B37A1"/>
    <w:rsid w:val="000B390D"/>
    <w:rsid w:val="000B48A6"/>
    <w:rsid w:val="000B4EDD"/>
    <w:rsid w:val="000B5008"/>
    <w:rsid w:val="000B5635"/>
    <w:rsid w:val="000B60F4"/>
    <w:rsid w:val="000B6839"/>
    <w:rsid w:val="000B6F4B"/>
    <w:rsid w:val="000B6FF5"/>
    <w:rsid w:val="000C00B4"/>
    <w:rsid w:val="000C051C"/>
    <w:rsid w:val="000C3830"/>
    <w:rsid w:val="000C466B"/>
    <w:rsid w:val="000C7CA4"/>
    <w:rsid w:val="000D09A6"/>
    <w:rsid w:val="000D3A8B"/>
    <w:rsid w:val="000D4098"/>
    <w:rsid w:val="000D49D8"/>
    <w:rsid w:val="000D6114"/>
    <w:rsid w:val="000D7E4D"/>
    <w:rsid w:val="000E14B7"/>
    <w:rsid w:val="000E1546"/>
    <w:rsid w:val="000E35A7"/>
    <w:rsid w:val="000E4938"/>
    <w:rsid w:val="000E538C"/>
    <w:rsid w:val="000E5955"/>
    <w:rsid w:val="000E5ED8"/>
    <w:rsid w:val="000F02F7"/>
    <w:rsid w:val="000F233E"/>
    <w:rsid w:val="000F43AB"/>
    <w:rsid w:val="000F467E"/>
    <w:rsid w:val="000F570E"/>
    <w:rsid w:val="000F5E94"/>
    <w:rsid w:val="00100061"/>
    <w:rsid w:val="001008FB"/>
    <w:rsid w:val="00100ED3"/>
    <w:rsid w:val="001019E2"/>
    <w:rsid w:val="00101D0B"/>
    <w:rsid w:val="00104DAE"/>
    <w:rsid w:val="00106F5A"/>
    <w:rsid w:val="001070F7"/>
    <w:rsid w:val="001117EC"/>
    <w:rsid w:val="00112DD4"/>
    <w:rsid w:val="00113F2A"/>
    <w:rsid w:val="001150BA"/>
    <w:rsid w:val="0011599F"/>
    <w:rsid w:val="00117529"/>
    <w:rsid w:val="00121646"/>
    <w:rsid w:val="001226CB"/>
    <w:rsid w:val="0012329A"/>
    <w:rsid w:val="0012437D"/>
    <w:rsid w:val="001249F5"/>
    <w:rsid w:val="001250FC"/>
    <w:rsid w:val="00126B9D"/>
    <w:rsid w:val="00126DDB"/>
    <w:rsid w:val="00127973"/>
    <w:rsid w:val="00127D18"/>
    <w:rsid w:val="00130793"/>
    <w:rsid w:val="00131952"/>
    <w:rsid w:val="00132529"/>
    <w:rsid w:val="001327B5"/>
    <w:rsid w:val="00132D19"/>
    <w:rsid w:val="00133115"/>
    <w:rsid w:val="00133E09"/>
    <w:rsid w:val="0013405D"/>
    <w:rsid w:val="00134FFC"/>
    <w:rsid w:val="001356E5"/>
    <w:rsid w:val="0013761B"/>
    <w:rsid w:val="001377DF"/>
    <w:rsid w:val="0014084C"/>
    <w:rsid w:val="00141388"/>
    <w:rsid w:val="0014262E"/>
    <w:rsid w:val="00142751"/>
    <w:rsid w:val="00142B2A"/>
    <w:rsid w:val="00142ED5"/>
    <w:rsid w:val="001449F9"/>
    <w:rsid w:val="00144DAB"/>
    <w:rsid w:val="00144E61"/>
    <w:rsid w:val="00145ED3"/>
    <w:rsid w:val="001463B4"/>
    <w:rsid w:val="0014670B"/>
    <w:rsid w:val="001470F0"/>
    <w:rsid w:val="001513B4"/>
    <w:rsid w:val="0015217F"/>
    <w:rsid w:val="00152CF6"/>
    <w:rsid w:val="001540FA"/>
    <w:rsid w:val="00154FA6"/>
    <w:rsid w:val="00156EA3"/>
    <w:rsid w:val="00161463"/>
    <w:rsid w:val="00161A99"/>
    <w:rsid w:val="00164832"/>
    <w:rsid w:val="00165FDC"/>
    <w:rsid w:val="00166842"/>
    <w:rsid w:val="00167F17"/>
    <w:rsid w:val="00171181"/>
    <w:rsid w:val="00171243"/>
    <w:rsid w:val="00171BFF"/>
    <w:rsid w:val="00174637"/>
    <w:rsid w:val="00176BD0"/>
    <w:rsid w:val="00177676"/>
    <w:rsid w:val="00181A23"/>
    <w:rsid w:val="00181B0B"/>
    <w:rsid w:val="00181BFC"/>
    <w:rsid w:val="00181F1F"/>
    <w:rsid w:val="001829DC"/>
    <w:rsid w:val="00183A84"/>
    <w:rsid w:val="00185D46"/>
    <w:rsid w:val="00186529"/>
    <w:rsid w:val="00187617"/>
    <w:rsid w:val="00187DCD"/>
    <w:rsid w:val="00190544"/>
    <w:rsid w:val="00190745"/>
    <w:rsid w:val="001914AB"/>
    <w:rsid w:val="00192B36"/>
    <w:rsid w:val="00193E05"/>
    <w:rsid w:val="00193EC3"/>
    <w:rsid w:val="001947E9"/>
    <w:rsid w:val="00194E1E"/>
    <w:rsid w:val="001A00A7"/>
    <w:rsid w:val="001A116B"/>
    <w:rsid w:val="001A11BF"/>
    <w:rsid w:val="001A2303"/>
    <w:rsid w:val="001A2D0D"/>
    <w:rsid w:val="001A2DFA"/>
    <w:rsid w:val="001A3813"/>
    <w:rsid w:val="001A3E67"/>
    <w:rsid w:val="001A47EC"/>
    <w:rsid w:val="001A5568"/>
    <w:rsid w:val="001A5F27"/>
    <w:rsid w:val="001B1115"/>
    <w:rsid w:val="001B15DC"/>
    <w:rsid w:val="001B1AF4"/>
    <w:rsid w:val="001B2C26"/>
    <w:rsid w:val="001B2FBB"/>
    <w:rsid w:val="001B4C2F"/>
    <w:rsid w:val="001B5988"/>
    <w:rsid w:val="001B69F9"/>
    <w:rsid w:val="001B6EFA"/>
    <w:rsid w:val="001B7C61"/>
    <w:rsid w:val="001C2156"/>
    <w:rsid w:val="001C21C1"/>
    <w:rsid w:val="001C28EF"/>
    <w:rsid w:val="001C3C98"/>
    <w:rsid w:val="001C5D07"/>
    <w:rsid w:val="001C78FB"/>
    <w:rsid w:val="001D0F80"/>
    <w:rsid w:val="001D10A0"/>
    <w:rsid w:val="001D3F27"/>
    <w:rsid w:val="001E0921"/>
    <w:rsid w:val="001E16CA"/>
    <w:rsid w:val="001E1BB3"/>
    <w:rsid w:val="001E2274"/>
    <w:rsid w:val="001E382D"/>
    <w:rsid w:val="001E4C94"/>
    <w:rsid w:val="001E4F31"/>
    <w:rsid w:val="001E648F"/>
    <w:rsid w:val="001E659B"/>
    <w:rsid w:val="001E702A"/>
    <w:rsid w:val="001E7604"/>
    <w:rsid w:val="001E78F8"/>
    <w:rsid w:val="001F024C"/>
    <w:rsid w:val="001F0912"/>
    <w:rsid w:val="001F1508"/>
    <w:rsid w:val="001F1714"/>
    <w:rsid w:val="001F6762"/>
    <w:rsid w:val="001F7626"/>
    <w:rsid w:val="0020342F"/>
    <w:rsid w:val="002050BE"/>
    <w:rsid w:val="002057AC"/>
    <w:rsid w:val="00205882"/>
    <w:rsid w:val="00207926"/>
    <w:rsid w:val="002085EB"/>
    <w:rsid w:val="00211CCB"/>
    <w:rsid w:val="00213D04"/>
    <w:rsid w:val="00214441"/>
    <w:rsid w:val="00214777"/>
    <w:rsid w:val="00215D21"/>
    <w:rsid w:val="0021680F"/>
    <w:rsid w:val="0021779A"/>
    <w:rsid w:val="002217F0"/>
    <w:rsid w:val="00221843"/>
    <w:rsid w:val="00221E35"/>
    <w:rsid w:val="002223D3"/>
    <w:rsid w:val="00222993"/>
    <w:rsid w:val="0022329B"/>
    <w:rsid w:val="002233EF"/>
    <w:rsid w:val="00223E8C"/>
    <w:rsid w:val="0022449B"/>
    <w:rsid w:val="00225F62"/>
    <w:rsid w:val="00226656"/>
    <w:rsid w:val="00227399"/>
    <w:rsid w:val="002308A9"/>
    <w:rsid w:val="00230D61"/>
    <w:rsid w:val="00234801"/>
    <w:rsid w:val="00234F46"/>
    <w:rsid w:val="002352A4"/>
    <w:rsid w:val="00235483"/>
    <w:rsid w:val="002361CE"/>
    <w:rsid w:val="00237566"/>
    <w:rsid w:val="00237F83"/>
    <w:rsid w:val="00240B49"/>
    <w:rsid w:val="002412E0"/>
    <w:rsid w:val="00241CB2"/>
    <w:rsid w:val="0024326F"/>
    <w:rsid w:val="00246075"/>
    <w:rsid w:val="00247DC2"/>
    <w:rsid w:val="002519DF"/>
    <w:rsid w:val="0025247F"/>
    <w:rsid w:val="00253247"/>
    <w:rsid w:val="00253AB2"/>
    <w:rsid w:val="0025404E"/>
    <w:rsid w:val="002542F4"/>
    <w:rsid w:val="00257DD2"/>
    <w:rsid w:val="002606A8"/>
    <w:rsid w:val="0026090D"/>
    <w:rsid w:val="00262C25"/>
    <w:rsid w:val="00262E65"/>
    <w:rsid w:val="00262ED2"/>
    <w:rsid w:val="00263433"/>
    <w:rsid w:val="0026356E"/>
    <w:rsid w:val="00266135"/>
    <w:rsid w:val="002666BC"/>
    <w:rsid w:val="00266D63"/>
    <w:rsid w:val="00267541"/>
    <w:rsid w:val="00267BF2"/>
    <w:rsid w:val="0027124D"/>
    <w:rsid w:val="00272142"/>
    <w:rsid w:val="00275474"/>
    <w:rsid w:val="00280873"/>
    <w:rsid w:val="0028149F"/>
    <w:rsid w:val="002835FD"/>
    <w:rsid w:val="0028397D"/>
    <w:rsid w:val="002843D2"/>
    <w:rsid w:val="00284BF5"/>
    <w:rsid w:val="0028555C"/>
    <w:rsid w:val="00286F1A"/>
    <w:rsid w:val="00287432"/>
    <w:rsid w:val="0028780F"/>
    <w:rsid w:val="00287FB9"/>
    <w:rsid w:val="00290183"/>
    <w:rsid w:val="00290895"/>
    <w:rsid w:val="0029098D"/>
    <w:rsid w:val="002921F2"/>
    <w:rsid w:val="0029445B"/>
    <w:rsid w:val="00295DD4"/>
    <w:rsid w:val="002971C5"/>
    <w:rsid w:val="00297F1D"/>
    <w:rsid w:val="002A0131"/>
    <w:rsid w:val="002A1D13"/>
    <w:rsid w:val="002A1D14"/>
    <w:rsid w:val="002A1DED"/>
    <w:rsid w:val="002A30D9"/>
    <w:rsid w:val="002A3B0D"/>
    <w:rsid w:val="002A45F2"/>
    <w:rsid w:val="002A7A6F"/>
    <w:rsid w:val="002A7BD3"/>
    <w:rsid w:val="002B0122"/>
    <w:rsid w:val="002B031E"/>
    <w:rsid w:val="002B0A73"/>
    <w:rsid w:val="002B16FA"/>
    <w:rsid w:val="002B1948"/>
    <w:rsid w:val="002B1EF7"/>
    <w:rsid w:val="002B26A1"/>
    <w:rsid w:val="002B34DB"/>
    <w:rsid w:val="002B430C"/>
    <w:rsid w:val="002B5D0C"/>
    <w:rsid w:val="002B6B43"/>
    <w:rsid w:val="002B705C"/>
    <w:rsid w:val="002C0122"/>
    <w:rsid w:val="002C11F3"/>
    <w:rsid w:val="002C203E"/>
    <w:rsid w:val="002C22F3"/>
    <w:rsid w:val="002C27F4"/>
    <w:rsid w:val="002C329D"/>
    <w:rsid w:val="002C32AB"/>
    <w:rsid w:val="002C3DB1"/>
    <w:rsid w:val="002C3F26"/>
    <w:rsid w:val="002C429F"/>
    <w:rsid w:val="002C50EE"/>
    <w:rsid w:val="002D09E2"/>
    <w:rsid w:val="002D11BE"/>
    <w:rsid w:val="002D16A6"/>
    <w:rsid w:val="002D18E5"/>
    <w:rsid w:val="002D210D"/>
    <w:rsid w:val="002D41E0"/>
    <w:rsid w:val="002D4A00"/>
    <w:rsid w:val="002D4CB4"/>
    <w:rsid w:val="002D65CC"/>
    <w:rsid w:val="002D6D86"/>
    <w:rsid w:val="002D6F61"/>
    <w:rsid w:val="002D77FF"/>
    <w:rsid w:val="002D78D2"/>
    <w:rsid w:val="002E0369"/>
    <w:rsid w:val="002E0BAF"/>
    <w:rsid w:val="002E2A6F"/>
    <w:rsid w:val="002E363F"/>
    <w:rsid w:val="002E3EF8"/>
    <w:rsid w:val="002E4894"/>
    <w:rsid w:val="002E4D51"/>
    <w:rsid w:val="002E5A54"/>
    <w:rsid w:val="002F2901"/>
    <w:rsid w:val="002F4CA1"/>
    <w:rsid w:val="002F4E17"/>
    <w:rsid w:val="002F5F38"/>
    <w:rsid w:val="002F6F99"/>
    <w:rsid w:val="0030003A"/>
    <w:rsid w:val="003008C6"/>
    <w:rsid w:val="0030197B"/>
    <w:rsid w:val="00303FDB"/>
    <w:rsid w:val="00304FF1"/>
    <w:rsid w:val="0030523C"/>
    <w:rsid w:val="00305D86"/>
    <w:rsid w:val="00306AAD"/>
    <w:rsid w:val="00306B2D"/>
    <w:rsid w:val="00307A35"/>
    <w:rsid w:val="003113D9"/>
    <w:rsid w:val="0031156F"/>
    <w:rsid w:val="00312CE1"/>
    <w:rsid w:val="00313546"/>
    <w:rsid w:val="00313BA7"/>
    <w:rsid w:val="00315BA9"/>
    <w:rsid w:val="00315D50"/>
    <w:rsid w:val="00315FCD"/>
    <w:rsid w:val="00316295"/>
    <w:rsid w:val="0031636F"/>
    <w:rsid w:val="00316F58"/>
    <w:rsid w:val="00320717"/>
    <w:rsid w:val="00321F97"/>
    <w:rsid w:val="00325988"/>
    <w:rsid w:val="00325E35"/>
    <w:rsid w:val="0032625B"/>
    <w:rsid w:val="00334E6C"/>
    <w:rsid w:val="0033631D"/>
    <w:rsid w:val="003365F7"/>
    <w:rsid w:val="0033697D"/>
    <w:rsid w:val="00337741"/>
    <w:rsid w:val="00340881"/>
    <w:rsid w:val="003416D2"/>
    <w:rsid w:val="00342527"/>
    <w:rsid w:val="003433D9"/>
    <w:rsid w:val="00344CC5"/>
    <w:rsid w:val="00345CA2"/>
    <w:rsid w:val="003471AE"/>
    <w:rsid w:val="003478C2"/>
    <w:rsid w:val="003479C9"/>
    <w:rsid w:val="00351689"/>
    <w:rsid w:val="0035171F"/>
    <w:rsid w:val="00351D1D"/>
    <w:rsid w:val="0035264E"/>
    <w:rsid w:val="00353CB5"/>
    <w:rsid w:val="003542CF"/>
    <w:rsid w:val="003555A2"/>
    <w:rsid w:val="0035663A"/>
    <w:rsid w:val="00357B5D"/>
    <w:rsid w:val="00361716"/>
    <w:rsid w:val="003630A8"/>
    <w:rsid w:val="003632CF"/>
    <w:rsid w:val="003633B3"/>
    <w:rsid w:val="00363C27"/>
    <w:rsid w:val="00363FAF"/>
    <w:rsid w:val="00364590"/>
    <w:rsid w:val="00364DFB"/>
    <w:rsid w:val="00365194"/>
    <w:rsid w:val="003661DC"/>
    <w:rsid w:val="003662F2"/>
    <w:rsid w:val="00366FE3"/>
    <w:rsid w:val="00367E50"/>
    <w:rsid w:val="00370A7F"/>
    <w:rsid w:val="00371142"/>
    <w:rsid w:val="0037282C"/>
    <w:rsid w:val="00372CA2"/>
    <w:rsid w:val="003735B3"/>
    <w:rsid w:val="003742E7"/>
    <w:rsid w:val="00375FBB"/>
    <w:rsid w:val="003768D4"/>
    <w:rsid w:val="0037705C"/>
    <w:rsid w:val="003810A1"/>
    <w:rsid w:val="003811C7"/>
    <w:rsid w:val="003815B7"/>
    <w:rsid w:val="003817EB"/>
    <w:rsid w:val="003827FD"/>
    <w:rsid w:val="003855A0"/>
    <w:rsid w:val="00387294"/>
    <w:rsid w:val="003879D0"/>
    <w:rsid w:val="00387BBE"/>
    <w:rsid w:val="00387D20"/>
    <w:rsid w:val="00390380"/>
    <w:rsid w:val="003912ED"/>
    <w:rsid w:val="0039175A"/>
    <w:rsid w:val="00395294"/>
    <w:rsid w:val="00395A7A"/>
    <w:rsid w:val="00396B66"/>
    <w:rsid w:val="00396D92"/>
    <w:rsid w:val="003A0227"/>
    <w:rsid w:val="003A02E9"/>
    <w:rsid w:val="003A0E99"/>
    <w:rsid w:val="003A18A0"/>
    <w:rsid w:val="003A1D6C"/>
    <w:rsid w:val="003A1DFF"/>
    <w:rsid w:val="003A253D"/>
    <w:rsid w:val="003A2BEF"/>
    <w:rsid w:val="003A2CE0"/>
    <w:rsid w:val="003A32B1"/>
    <w:rsid w:val="003A3A9D"/>
    <w:rsid w:val="003A48D5"/>
    <w:rsid w:val="003A580D"/>
    <w:rsid w:val="003A709E"/>
    <w:rsid w:val="003A7B39"/>
    <w:rsid w:val="003A7C63"/>
    <w:rsid w:val="003B01B9"/>
    <w:rsid w:val="003B08F2"/>
    <w:rsid w:val="003B26B4"/>
    <w:rsid w:val="003B43C3"/>
    <w:rsid w:val="003B5CEE"/>
    <w:rsid w:val="003C18DA"/>
    <w:rsid w:val="003C1CEA"/>
    <w:rsid w:val="003C2000"/>
    <w:rsid w:val="003C23FE"/>
    <w:rsid w:val="003C25FC"/>
    <w:rsid w:val="003C3C61"/>
    <w:rsid w:val="003C4A02"/>
    <w:rsid w:val="003C6972"/>
    <w:rsid w:val="003C7229"/>
    <w:rsid w:val="003D08F3"/>
    <w:rsid w:val="003D0C55"/>
    <w:rsid w:val="003D0F71"/>
    <w:rsid w:val="003D0F8F"/>
    <w:rsid w:val="003D2C46"/>
    <w:rsid w:val="003D37D7"/>
    <w:rsid w:val="003D4F94"/>
    <w:rsid w:val="003D69D0"/>
    <w:rsid w:val="003D7FAB"/>
    <w:rsid w:val="003E13B1"/>
    <w:rsid w:val="003E1784"/>
    <w:rsid w:val="003E187A"/>
    <w:rsid w:val="003E2442"/>
    <w:rsid w:val="003E3AD7"/>
    <w:rsid w:val="003E5630"/>
    <w:rsid w:val="003E58EC"/>
    <w:rsid w:val="003E5DC1"/>
    <w:rsid w:val="003E5F96"/>
    <w:rsid w:val="003E6571"/>
    <w:rsid w:val="003F0ECD"/>
    <w:rsid w:val="003F16BE"/>
    <w:rsid w:val="003F1D04"/>
    <w:rsid w:val="003F24DB"/>
    <w:rsid w:val="003F2CD4"/>
    <w:rsid w:val="003F398A"/>
    <w:rsid w:val="003F5FF3"/>
    <w:rsid w:val="003F7805"/>
    <w:rsid w:val="00401D8B"/>
    <w:rsid w:val="00403274"/>
    <w:rsid w:val="0040580F"/>
    <w:rsid w:val="004076BA"/>
    <w:rsid w:val="004077D0"/>
    <w:rsid w:val="00411D7B"/>
    <w:rsid w:val="004125A4"/>
    <w:rsid w:val="00412C94"/>
    <w:rsid w:val="00412DC2"/>
    <w:rsid w:val="004145C5"/>
    <w:rsid w:val="00416215"/>
    <w:rsid w:val="00417052"/>
    <w:rsid w:val="00417C6B"/>
    <w:rsid w:val="00420995"/>
    <w:rsid w:val="00422B16"/>
    <w:rsid w:val="00422BF9"/>
    <w:rsid w:val="0042565D"/>
    <w:rsid w:val="0042593D"/>
    <w:rsid w:val="00425FAF"/>
    <w:rsid w:val="00425FF2"/>
    <w:rsid w:val="0042603C"/>
    <w:rsid w:val="004272E4"/>
    <w:rsid w:val="004278D7"/>
    <w:rsid w:val="00427E51"/>
    <w:rsid w:val="004302F4"/>
    <w:rsid w:val="00430685"/>
    <w:rsid w:val="00430AC0"/>
    <w:rsid w:val="00431916"/>
    <w:rsid w:val="00431E30"/>
    <w:rsid w:val="004331D7"/>
    <w:rsid w:val="00433D8C"/>
    <w:rsid w:val="00434899"/>
    <w:rsid w:val="00434C96"/>
    <w:rsid w:val="004354F6"/>
    <w:rsid w:val="0043596D"/>
    <w:rsid w:val="00436830"/>
    <w:rsid w:val="00436B4A"/>
    <w:rsid w:val="0044009A"/>
    <w:rsid w:val="00440989"/>
    <w:rsid w:val="00441A12"/>
    <w:rsid w:val="0044204D"/>
    <w:rsid w:val="00442A47"/>
    <w:rsid w:val="004435EE"/>
    <w:rsid w:val="00443BB7"/>
    <w:rsid w:val="00444548"/>
    <w:rsid w:val="00445D4E"/>
    <w:rsid w:val="004503EA"/>
    <w:rsid w:val="004507D5"/>
    <w:rsid w:val="00450855"/>
    <w:rsid w:val="00452843"/>
    <w:rsid w:val="00453514"/>
    <w:rsid w:val="00454452"/>
    <w:rsid w:val="00456DFA"/>
    <w:rsid w:val="0045717F"/>
    <w:rsid w:val="00460914"/>
    <w:rsid w:val="004609A4"/>
    <w:rsid w:val="00461507"/>
    <w:rsid w:val="004621E8"/>
    <w:rsid w:val="00462A31"/>
    <w:rsid w:val="00462A62"/>
    <w:rsid w:val="00462D8F"/>
    <w:rsid w:val="00464B4D"/>
    <w:rsid w:val="00464CB4"/>
    <w:rsid w:val="00464E8A"/>
    <w:rsid w:val="00465520"/>
    <w:rsid w:val="00466B9F"/>
    <w:rsid w:val="00472451"/>
    <w:rsid w:val="00473955"/>
    <w:rsid w:val="00476EFB"/>
    <w:rsid w:val="00476F9D"/>
    <w:rsid w:val="00480629"/>
    <w:rsid w:val="004808FC"/>
    <w:rsid w:val="00482EB0"/>
    <w:rsid w:val="004833AF"/>
    <w:rsid w:val="00483B1B"/>
    <w:rsid w:val="004855C1"/>
    <w:rsid w:val="00485D13"/>
    <w:rsid w:val="004913FF"/>
    <w:rsid w:val="004920CB"/>
    <w:rsid w:val="00492290"/>
    <w:rsid w:val="00492A28"/>
    <w:rsid w:val="00493A4A"/>
    <w:rsid w:val="004951AE"/>
    <w:rsid w:val="0049559F"/>
    <w:rsid w:val="004A021C"/>
    <w:rsid w:val="004A0EDA"/>
    <w:rsid w:val="004A4D05"/>
    <w:rsid w:val="004A51C9"/>
    <w:rsid w:val="004A59CA"/>
    <w:rsid w:val="004A684C"/>
    <w:rsid w:val="004A7357"/>
    <w:rsid w:val="004A7E1B"/>
    <w:rsid w:val="004B24F3"/>
    <w:rsid w:val="004B3B76"/>
    <w:rsid w:val="004B3FD0"/>
    <w:rsid w:val="004B424F"/>
    <w:rsid w:val="004B49CC"/>
    <w:rsid w:val="004B666C"/>
    <w:rsid w:val="004C0C77"/>
    <w:rsid w:val="004C0CEF"/>
    <w:rsid w:val="004C1027"/>
    <w:rsid w:val="004C1875"/>
    <w:rsid w:val="004C219F"/>
    <w:rsid w:val="004C22B8"/>
    <w:rsid w:val="004C2516"/>
    <w:rsid w:val="004C26ED"/>
    <w:rsid w:val="004C28ED"/>
    <w:rsid w:val="004C3AE2"/>
    <w:rsid w:val="004C3DB0"/>
    <w:rsid w:val="004C615E"/>
    <w:rsid w:val="004C6667"/>
    <w:rsid w:val="004C69FC"/>
    <w:rsid w:val="004C712F"/>
    <w:rsid w:val="004C7D6A"/>
    <w:rsid w:val="004D0934"/>
    <w:rsid w:val="004D11FF"/>
    <w:rsid w:val="004D1378"/>
    <w:rsid w:val="004D184D"/>
    <w:rsid w:val="004D346B"/>
    <w:rsid w:val="004D4610"/>
    <w:rsid w:val="004D5324"/>
    <w:rsid w:val="004D53C3"/>
    <w:rsid w:val="004D5A7C"/>
    <w:rsid w:val="004D67B7"/>
    <w:rsid w:val="004D6C4D"/>
    <w:rsid w:val="004D74A5"/>
    <w:rsid w:val="004D78F2"/>
    <w:rsid w:val="004D7B71"/>
    <w:rsid w:val="004E104C"/>
    <w:rsid w:val="004E1552"/>
    <w:rsid w:val="004E500B"/>
    <w:rsid w:val="004E5238"/>
    <w:rsid w:val="004E53D9"/>
    <w:rsid w:val="004E5AE8"/>
    <w:rsid w:val="004E5F8A"/>
    <w:rsid w:val="004E6AC6"/>
    <w:rsid w:val="004E718B"/>
    <w:rsid w:val="004E74EE"/>
    <w:rsid w:val="004F0870"/>
    <w:rsid w:val="004F1F58"/>
    <w:rsid w:val="004F233C"/>
    <w:rsid w:val="004F2447"/>
    <w:rsid w:val="004F3603"/>
    <w:rsid w:val="004F3CEC"/>
    <w:rsid w:val="004F4640"/>
    <w:rsid w:val="004F4F65"/>
    <w:rsid w:val="004F546A"/>
    <w:rsid w:val="004F58EC"/>
    <w:rsid w:val="004F686B"/>
    <w:rsid w:val="004F6F64"/>
    <w:rsid w:val="004F7608"/>
    <w:rsid w:val="00500D99"/>
    <w:rsid w:val="0050120B"/>
    <w:rsid w:val="00501D17"/>
    <w:rsid w:val="00501F06"/>
    <w:rsid w:val="005044BF"/>
    <w:rsid w:val="00504BF5"/>
    <w:rsid w:val="00505DA1"/>
    <w:rsid w:val="005074DF"/>
    <w:rsid w:val="005107DF"/>
    <w:rsid w:val="005135F4"/>
    <w:rsid w:val="00513715"/>
    <w:rsid w:val="00514695"/>
    <w:rsid w:val="0051681C"/>
    <w:rsid w:val="00520F39"/>
    <w:rsid w:val="005214BF"/>
    <w:rsid w:val="00521C19"/>
    <w:rsid w:val="005226C6"/>
    <w:rsid w:val="005235FD"/>
    <w:rsid w:val="00524D79"/>
    <w:rsid w:val="00526561"/>
    <w:rsid w:val="005273AB"/>
    <w:rsid w:val="005320B5"/>
    <w:rsid w:val="005325F3"/>
    <w:rsid w:val="005332C2"/>
    <w:rsid w:val="00533917"/>
    <w:rsid w:val="00535877"/>
    <w:rsid w:val="00535DCB"/>
    <w:rsid w:val="00536ED2"/>
    <w:rsid w:val="00537CEA"/>
    <w:rsid w:val="005434B4"/>
    <w:rsid w:val="00545534"/>
    <w:rsid w:val="0054677E"/>
    <w:rsid w:val="00546C12"/>
    <w:rsid w:val="005473A6"/>
    <w:rsid w:val="005505CE"/>
    <w:rsid w:val="00550DF7"/>
    <w:rsid w:val="00551202"/>
    <w:rsid w:val="00551746"/>
    <w:rsid w:val="00551ADB"/>
    <w:rsid w:val="005524B6"/>
    <w:rsid w:val="00554D90"/>
    <w:rsid w:val="00554E17"/>
    <w:rsid w:val="0055505D"/>
    <w:rsid w:val="0055684E"/>
    <w:rsid w:val="005603F7"/>
    <w:rsid w:val="0056058F"/>
    <w:rsid w:val="0056467B"/>
    <w:rsid w:val="00565337"/>
    <w:rsid w:val="005655C5"/>
    <w:rsid w:val="00567286"/>
    <w:rsid w:val="005673FD"/>
    <w:rsid w:val="005702A3"/>
    <w:rsid w:val="00571C3F"/>
    <w:rsid w:val="00573CA8"/>
    <w:rsid w:val="0057528C"/>
    <w:rsid w:val="00576EDE"/>
    <w:rsid w:val="00577B45"/>
    <w:rsid w:val="00580DBD"/>
    <w:rsid w:val="00581792"/>
    <w:rsid w:val="005851F2"/>
    <w:rsid w:val="00585860"/>
    <w:rsid w:val="00587A16"/>
    <w:rsid w:val="0059084B"/>
    <w:rsid w:val="00592F09"/>
    <w:rsid w:val="005932BA"/>
    <w:rsid w:val="00593C96"/>
    <w:rsid w:val="00594E8C"/>
    <w:rsid w:val="005956B4"/>
    <w:rsid w:val="00596011"/>
    <w:rsid w:val="005962AC"/>
    <w:rsid w:val="00596381"/>
    <w:rsid w:val="00597ABB"/>
    <w:rsid w:val="005A13D0"/>
    <w:rsid w:val="005A1B9E"/>
    <w:rsid w:val="005A24CD"/>
    <w:rsid w:val="005A256B"/>
    <w:rsid w:val="005A3E2A"/>
    <w:rsid w:val="005A56D4"/>
    <w:rsid w:val="005A64A7"/>
    <w:rsid w:val="005A67B6"/>
    <w:rsid w:val="005B16FA"/>
    <w:rsid w:val="005B2105"/>
    <w:rsid w:val="005B2A2D"/>
    <w:rsid w:val="005B2E8A"/>
    <w:rsid w:val="005B376F"/>
    <w:rsid w:val="005B3D27"/>
    <w:rsid w:val="005B4CA6"/>
    <w:rsid w:val="005B57F1"/>
    <w:rsid w:val="005B7060"/>
    <w:rsid w:val="005C0AE1"/>
    <w:rsid w:val="005C0B7C"/>
    <w:rsid w:val="005C257D"/>
    <w:rsid w:val="005C2ADB"/>
    <w:rsid w:val="005C342C"/>
    <w:rsid w:val="005C3E2F"/>
    <w:rsid w:val="005C403A"/>
    <w:rsid w:val="005C44C6"/>
    <w:rsid w:val="005C4B3F"/>
    <w:rsid w:val="005C5C55"/>
    <w:rsid w:val="005C6FCC"/>
    <w:rsid w:val="005C740F"/>
    <w:rsid w:val="005C7B30"/>
    <w:rsid w:val="005C7DC4"/>
    <w:rsid w:val="005D0FC5"/>
    <w:rsid w:val="005D4020"/>
    <w:rsid w:val="005D55CB"/>
    <w:rsid w:val="005D5B08"/>
    <w:rsid w:val="005D64C0"/>
    <w:rsid w:val="005D6BD0"/>
    <w:rsid w:val="005D7F49"/>
    <w:rsid w:val="005E1642"/>
    <w:rsid w:val="005E1BF3"/>
    <w:rsid w:val="005E2145"/>
    <w:rsid w:val="005E21F5"/>
    <w:rsid w:val="005E2618"/>
    <w:rsid w:val="005E2E3E"/>
    <w:rsid w:val="005E40DD"/>
    <w:rsid w:val="005E6383"/>
    <w:rsid w:val="005E65C4"/>
    <w:rsid w:val="005E7A72"/>
    <w:rsid w:val="005E7C21"/>
    <w:rsid w:val="005F0281"/>
    <w:rsid w:val="005F06C4"/>
    <w:rsid w:val="005F090A"/>
    <w:rsid w:val="005F0A7F"/>
    <w:rsid w:val="005F189F"/>
    <w:rsid w:val="005F1EFD"/>
    <w:rsid w:val="005F2812"/>
    <w:rsid w:val="005F402C"/>
    <w:rsid w:val="005F4162"/>
    <w:rsid w:val="005F5C1C"/>
    <w:rsid w:val="005F651A"/>
    <w:rsid w:val="005F726C"/>
    <w:rsid w:val="005F73CF"/>
    <w:rsid w:val="00600B5F"/>
    <w:rsid w:val="0060105E"/>
    <w:rsid w:val="0060106A"/>
    <w:rsid w:val="006012D1"/>
    <w:rsid w:val="00601476"/>
    <w:rsid w:val="00603E1E"/>
    <w:rsid w:val="00603E37"/>
    <w:rsid w:val="00604A3C"/>
    <w:rsid w:val="00604CFF"/>
    <w:rsid w:val="0060536B"/>
    <w:rsid w:val="006064CA"/>
    <w:rsid w:val="006105AA"/>
    <w:rsid w:val="0061117C"/>
    <w:rsid w:val="00611296"/>
    <w:rsid w:val="0061137C"/>
    <w:rsid w:val="00611ABE"/>
    <w:rsid w:val="00611B99"/>
    <w:rsid w:val="00611CD9"/>
    <w:rsid w:val="00611E7B"/>
    <w:rsid w:val="0061485C"/>
    <w:rsid w:val="0061493C"/>
    <w:rsid w:val="006158F3"/>
    <w:rsid w:val="00616221"/>
    <w:rsid w:val="0061627C"/>
    <w:rsid w:val="00616757"/>
    <w:rsid w:val="00617A73"/>
    <w:rsid w:val="00617B94"/>
    <w:rsid w:val="00617F31"/>
    <w:rsid w:val="00622967"/>
    <w:rsid w:val="00625E8E"/>
    <w:rsid w:val="00626851"/>
    <w:rsid w:val="00626D16"/>
    <w:rsid w:val="0062710A"/>
    <w:rsid w:val="006271D9"/>
    <w:rsid w:val="006311C4"/>
    <w:rsid w:val="00631419"/>
    <w:rsid w:val="00633290"/>
    <w:rsid w:val="00635062"/>
    <w:rsid w:val="00635D63"/>
    <w:rsid w:val="0063611E"/>
    <w:rsid w:val="00636679"/>
    <w:rsid w:val="00637ECE"/>
    <w:rsid w:val="00640821"/>
    <w:rsid w:val="006420D0"/>
    <w:rsid w:val="00642643"/>
    <w:rsid w:val="00642F32"/>
    <w:rsid w:val="006436B4"/>
    <w:rsid w:val="00643D25"/>
    <w:rsid w:val="006472CC"/>
    <w:rsid w:val="0064748A"/>
    <w:rsid w:val="00647C67"/>
    <w:rsid w:val="00650544"/>
    <w:rsid w:val="00652DEA"/>
    <w:rsid w:val="00653610"/>
    <w:rsid w:val="00654B1F"/>
    <w:rsid w:val="00656777"/>
    <w:rsid w:val="0065693D"/>
    <w:rsid w:val="00656CA3"/>
    <w:rsid w:val="00657888"/>
    <w:rsid w:val="006619A7"/>
    <w:rsid w:val="00662BD2"/>
    <w:rsid w:val="00662DCC"/>
    <w:rsid w:val="00663300"/>
    <w:rsid w:val="0066392B"/>
    <w:rsid w:val="00663975"/>
    <w:rsid w:val="006639BB"/>
    <w:rsid w:val="00663C5B"/>
    <w:rsid w:val="006650D3"/>
    <w:rsid w:val="006678EB"/>
    <w:rsid w:val="006703D5"/>
    <w:rsid w:val="00670A99"/>
    <w:rsid w:val="0067115F"/>
    <w:rsid w:val="00671ECF"/>
    <w:rsid w:val="00674432"/>
    <w:rsid w:val="00674E11"/>
    <w:rsid w:val="006768CC"/>
    <w:rsid w:val="00677DF3"/>
    <w:rsid w:val="0068067C"/>
    <w:rsid w:val="00680868"/>
    <w:rsid w:val="00684AB3"/>
    <w:rsid w:val="006876EF"/>
    <w:rsid w:val="00687C51"/>
    <w:rsid w:val="006902B1"/>
    <w:rsid w:val="0069034D"/>
    <w:rsid w:val="00690EA9"/>
    <w:rsid w:val="006913ED"/>
    <w:rsid w:val="00691832"/>
    <w:rsid w:val="006937FC"/>
    <w:rsid w:val="00693C2C"/>
    <w:rsid w:val="0069455A"/>
    <w:rsid w:val="00695785"/>
    <w:rsid w:val="00697832"/>
    <w:rsid w:val="006A138C"/>
    <w:rsid w:val="006A156E"/>
    <w:rsid w:val="006A19A2"/>
    <w:rsid w:val="006A1C8E"/>
    <w:rsid w:val="006A1ED4"/>
    <w:rsid w:val="006A1F64"/>
    <w:rsid w:val="006A2BB1"/>
    <w:rsid w:val="006A461A"/>
    <w:rsid w:val="006A612C"/>
    <w:rsid w:val="006B1005"/>
    <w:rsid w:val="006B1615"/>
    <w:rsid w:val="006B3480"/>
    <w:rsid w:val="006B36F1"/>
    <w:rsid w:val="006B3D7A"/>
    <w:rsid w:val="006B43DD"/>
    <w:rsid w:val="006B5C06"/>
    <w:rsid w:val="006B6374"/>
    <w:rsid w:val="006B6400"/>
    <w:rsid w:val="006C0870"/>
    <w:rsid w:val="006C0B1E"/>
    <w:rsid w:val="006C146A"/>
    <w:rsid w:val="006C211E"/>
    <w:rsid w:val="006C277B"/>
    <w:rsid w:val="006C2DC7"/>
    <w:rsid w:val="006C32C8"/>
    <w:rsid w:val="006C3309"/>
    <w:rsid w:val="006C4F3D"/>
    <w:rsid w:val="006C591C"/>
    <w:rsid w:val="006C5EDE"/>
    <w:rsid w:val="006C6FE0"/>
    <w:rsid w:val="006D0040"/>
    <w:rsid w:val="006D3524"/>
    <w:rsid w:val="006D3F79"/>
    <w:rsid w:val="006D4471"/>
    <w:rsid w:val="006D49DF"/>
    <w:rsid w:val="006D4FB7"/>
    <w:rsid w:val="006D5A26"/>
    <w:rsid w:val="006D5CF7"/>
    <w:rsid w:val="006D70CF"/>
    <w:rsid w:val="006E099D"/>
    <w:rsid w:val="006E2EB8"/>
    <w:rsid w:val="006E3B3B"/>
    <w:rsid w:val="006E3E11"/>
    <w:rsid w:val="006E4EF0"/>
    <w:rsid w:val="006E582D"/>
    <w:rsid w:val="006E61ED"/>
    <w:rsid w:val="006E643F"/>
    <w:rsid w:val="006E67A0"/>
    <w:rsid w:val="006E7452"/>
    <w:rsid w:val="006E77B7"/>
    <w:rsid w:val="006F014B"/>
    <w:rsid w:val="006F01B6"/>
    <w:rsid w:val="006F0B2B"/>
    <w:rsid w:val="006F2F1F"/>
    <w:rsid w:val="006F3441"/>
    <w:rsid w:val="006F37F0"/>
    <w:rsid w:val="006F4360"/>
    <w:rsid w:val="006F4B1B"/>
    <w:rsid w:val="006F4D60"/>
    <w:rsid w:val="006F656B"/>
    <w:rsid w:val="006F6FD0"/>
    <w:rsid w:val="006F785D"/>
    <w:rsid w:val="00702B72"/>
    <w:rsid w:val="00702B9D"/>
    <w:rsid w:val="00703543"/>
    <w:rsid w:val="00704508"/>
    <w:rsid w:val="0070514A"/>
    <w:rsid w:val="007052BE"/>
    <w:rsid w:val="00706329"/>
    <w:rsid w:val="007067E2"/>
    <w:rsid w:val="00706D49"/>
    <w:rsid w:val="0070755C"/>
    <w:rsid w:val="00707A51"/>
    <w:rsid w:val="0071041E"/>
    <w:rsid w:val="00710722"/>
    <w:rsid w:val="00710BAB"/>
    <w:rsid w:val="007124C8"/>
    <w:rsid w:val="00712BB0"/>
    <w:rsid w:val="00713862"/>
    <w:rsid w:val="00714887"/>
    <w:rsid w:val="00715B63"/>
    <w:rsid w:val="00715D4C"/>
    <w:rsid w:val="00716C0E"/>
    <w:rsid w:val="007174B4"/>
    <w:rsid w:val="007176F4"/>
    <w:rsid w:val="007204B1"/>
    <w:rsid w:val="00720806"/>
    <w:rsid w:val="00721062"/>
    <w:rsid w:val="00721165"/>
    <w:rsid w:val="007221EE"/>
    <w:rsid w:val="00724722"/>
    <w:rsid w:val="00724807"/>
    <w:rsid w:val="00725A34"/>
    <w:rsid w:val="00726B38"/>
    <w:rsid w:val="00726CE0"/>
    <w:rsid w:val="00726DCD"/>
    <w:rsid w:val="0072750E"/>
    <w:rsid w:val="00730484"/>
    <w:rsid w:val="00731F28"/>
    <w:rsid w:val="007325C5"/>
    <w:rsid w:val="00733B9B"/>
    <w:rsid w:val="0073409B"/>
    <w:rsid w:val="007349C4"/>
    <w:rsid w:val="0073531C"/>
    <w:rsid w:val="0073557F"/>
    <w:rsid w:val="00736638"/>
    <w:rsid w:val="007413DA"/>
    <w:rsid w:val="00741682"/>
    <w:rsid w:val="0074294F"/>
    <w:rsid w:val="00742BDB"/>
    <w:rsid w:val="00744022"/>
    <w:rsid w:val="00745559"/>
    <w:rsid w:val="007455B7"/>
    <w:rsid w:val="00745EFE"/>
    <w:rsid w:val="00746FDA"/>
    <w:rsid w:val="00751EE5"/>
    <w:rsid w:val="00752701"/>
    <w:rsid w:val="00753889"/>
    <w:rsid w:val="00753891"/>
    <w:rsid w:val="00753F78"/>
    <w:rsid w:val="00754A90"/>
    <w:rsid w:val="00754E27"/>
    <w:rsid w:val="0075603F"/>
    <w:rsid w:val="00756775"/>
    <w:rsid w:val="007569C5"/>
    <w:rsid w:val="007575F5"/>
    <w:rsid w:val="00760269"/>
    <w:rsid w:val="007602D2"/>
    <w:rsid w:val="00760571"/>
    <w:rsid w:val="00762F3F"/>
    <w:rsid w:val="007631B9"/>
    <w:rsid w:val="0076331F"/>
    <w:rsid w:val="00764F8F"/>
    <w:rsid w:val="0077017E"/>
    <w:rsid w:val="007708CB"/>
    <w:rsid w:val="00770F89"/>
    <w:rsid w:val="00771214"/>
    <w:rsid w:val="0077396E"/>
    <w:rsid w:val="00774E30"/>
    <w:rsid w:val="007758B4"/>
    <w:rsid w:val="00775CD4"/>
    <w:rsid w:val="00776781"/>
    <w:rsid w:val="00776827"/>
    <w:rsid w:val="00776A33"/>
    <w:rsid w:val="00777B41"/>
    <w:rsid w:val="00777F32"/>
    <w:rsid w:val="00780E5A"/>
    <w:rsid w:val="00780F55"/>
    <w:rsid w:val="0078116A"/>
    <w:rsid w:val="00782F26"/>
    <w:rsid w:val="00782FD3"/>
    <w:rsid w:val="00785205"/>
    <w:rsid w:val="00785248"/>
    <w:rsid w:val="00785300"/>
    <w:rsid w:val="00787336"/>
    <w:rsid w:val="007904D9"/>
    <w:rsid w:val="00790DDF"/>
    <w:rsid w:val="007915C7"/>
    <w:rsid w:val="00793113"/>
    <w:rsid w:val="00793EF1"/>
    <w:rsid w:val="00793F71"/>
    <w:rsid w:val="00795A41"/>
    <w:rsid w:val="00795A65"/>
    <w:rsid w:val="00795BF2"/>
    <w:rsid w:val="00796E19"/>
    <w:rsid w:val="00796E54"/>
    <w:rsid w:val="00797794"/>
    <w:rsid w:val="007A0689"/>
    <w:rsid w:val="007A0BE2"/>
    <w:rsid w:val="007A2155"/>
    <w:rsid w:val="007A41CD"/>
    <w:rsid w:val="007A4B45"/>
    <w:rsid w:val="007A53B3"/>
    <w:rsid w:val="007A6653"/>
    <w:rsid w:val="007A6E5A"/>
    <w:rsid w:val="007A7D20"/>
    <w:rsid w:val="007B005B"/>
    <w:rsid w:val="007B0AE8"/>
    <w:rsid w:val="007B1EAE"/>
    <w:rsid w:val="007B275C"/>
    <w:rsid w:val="007B2C7E"/>
    <w:rsid w:val="007B4269"/>
    <w:rsid w:val="007B4683"/>
    <w:rsid w:val="007B4B5A"/>
    <w:rsid w:val="007B4D1E"/>
    <w:rsid w:val="007B4DB8"/>
    <w:rsid w:val="007B5F97"/>
    <w:rsid w:val="007B66EC"/>
    <w:rsid w:val="007B7204"/>
    <w:rsid w:val="007C05AC"/>
    <w:rsid w:val="007C06D5"/>
    <w:rsid w:val="007C2014"/>
    <w:rsid w:val="007C263F"/>
    <w:rsid w:val="007C4108"/>
    <w:rsid w:val="007C487D"/>
    <w:rsid w:val="007C6663"/>
    <w:rsid w:val="007C6A8D"/>
    <w:rsid w:val="007D03E3"/>
    <w:rsid w:val="007D07CE"/>
    <w:rsid w:val="007D1B84"/>
    <w:rsid w:val="007D2657"/>
    <w:rsid w:val="007D27E1"/>
    <w:rsid w:val="007D2C17"/>
    <w:rsid w:val="007D2D98"/>
    <w:rsid w:val="007D2E71"/>
    <w:rsid w:val="007D31F7"/>
    <w:rsid w:val="007D3B6A"/>
    <w:rsid w:val="007D3B8F"/>
    <w:rsid w:val="007D40D8"/>
    <w:rsid w:val="007D481D"/>
    <w:rsid w:val="007D6307"/>
    <w:rsid w:val="007E0464"/>
    <w:rsid w:val="007E051A"/>
    <w:rsid w:val="007E1148"/>
    <w:rsid w:val="007E1B05"/>
    <w:rsid w:val="007E1EF5"/>
    <w:rsid w:val="007E3ECE"/>
    <w:rsid w:val="007E41BA"/>
    <w:rsid w:val="007E44C2"/>
    <w:rsid w:val="007E47B5"/>
    <w:rsid w:val="007E64BB"/>
    <w:rsid w:val="007F23AB"/>
    <w:rsid w:val="007F5A36"/>
    <w:rsid w:val="007F70A4"/>
    <w:rsid w:val="0080023C"/>
    <w:rsid w:val="0080055D"/>
    <w:rsid w:val="00803625"/>
    <w:rsid w:val="0080465D"/>
    <w:rsid w:val="00804B53"/>
    <w:rsid w:val="008051B2"/>
    <w:rsid w:val="008052CD"/>
    <w:rsid w:val="00805DF1"/>
    <w:rsid w:val="00806029"/>
    <w:rsid w:val="008060FE"/>
    <w:rsid w:val="00807040"/>
    <w:rsid w:val="008073AB"/>
    <w:rsid w:val="008105A1"/>
    <w:rsid w:val="00810C0D"/>
    <w:rsid w:val="0081108D"/>
    <w:rsid w:val="00813C6D"/>
    <w:rsid w:val="0081449A"/>
    <w:rsid w:val="0081531F"/>
    <w:rsid w:val="008177D0"/>
    <w:rsid w:val="0081781E"/>
    <w:rsid w:val="00817B2E"/>
    <w:rsid w:val="00817CEC"/>
    <w:rsid w:val="00820DA5"/>
    <w:rsid w:val="00821491"/>
    <w:rsid w:val="00821793"/>
    <w:rsid w:val="00821816"/>
    <w:rsid w:val="00822495"/>
    <w:rsid w:val="008226DE"/>
    <w:rsid w:val="0082307F"/>
    <w:rsid w:val="00824E65"/>
    <w:rsid w:val="008254D3"/>
    <w:rsid w:val="008260AA"/>
    <w:rsid w:val="0082798B"/>
    <w:rsid w:val="00830030"/>
    <w:rsid w:val="008303F2"/>
    <w:rsid w:val="0083081A"/>
    <w:rsid w:val="00830915"/>
    <w:rsid w:val="00831AF0"/>
    <w:rsid w:val="00831D30"/>
    <w:rsid w:val="0083237E"/>
    <w:rsid w:val="0083273C"/>
    <w:rsid w:val="0083574A"/>
    <w:rsid w:val="0083618B"/>
    <w:rsid w:val="00836E52"/>
    <w:rsid w:val="00837B07"/>
    <w:rsid w:val="00840199"/>
    <w:rsid w:val="0084125A"/>
    <w:rsid w:val="00843E11"/>
    <w:rsid w:val="0084563E"/>
    <w:rsid w:val="008466D5"/>
    <w:rsid w:val="008470BA"/>
    <w:rsid w:val="0084778A"/>
    <w:rsid w:val="008479CC"/>
    <w:rsid w:val="00847AC8"/>
    <w:rsid w:val="00850A62"/>
    <w:rsid w:val="0085101A"/>
    <w:rsid w:val="00851095"/>
    <w:rsid w:val="00852964"/>
    <w:rsid w:val="00853114"/>
    <w:rsid w:val="008541FE"/>
    <w:rsid w:val="00854A65"/>
    <w:rsid w:val="00854D65"/>
    <w:rsid w:val="0085536D"/>
    <w:rsid w:val="0085542E"/>
    <w:rsid w:val="0085548C"/>
    <w:rsid w:val="0085579D"/>
    <w:rsid w:val="00856944"/>
    <w:rsid w:val="00860349"/>
    <w:rsid w:val="0086216C"/>
    <w:rsid w:val="008626DD"/>
    <w:rsid w:val="00863054"/>
    <w:rsid w:val="00864027"/>
    <w:rsid w:val="008650A4"/>
    <w:rsid w:val="008652A4"/>
    <w:rsid w:val="008660CC"/>
    <w:rsid w:val="0086691C"/>
    <w:rsid w:val="008672FD"/>
    <w:rsid w:val="008675C7"/>
    <w:rsid w:val="00870E07"/>
    <w:rsid w:val="008729A9"/>
    <w:rsid w:val="00873C90"/>
    <w:rsid w:val="0087554B"/>
    <w:rsid w:val="00875928"/>
    <w:rsid w:val="00876629"/>
    <w:rsid w:val="0087685F"/>
    <w:rsid w:val="00877236"/>
    <w:rsid w:val="00877D35"/>
    <w:rsid w:val="00881900"/>
    <w:rsid w:val="00883402"/>
    <w:rsid w:val="00883C4C"/>
    <w:rsid w:val="008850A3"/>
    <w:rsid w:val="008856A3"/>
    <w:rsid w:val="00886C02"/>
    <w:rsid w:val="00890CFD"/>
    <w:rsid w:val="00892646"/>
    <w:rsid w:val="00892F68"/>
    <w:rsid w:val="00893308"/>
    <w:rsid w:val="0089428A"/>
    <w:rsid w:val="00894B20"/>
    <w:rsid w:val="008950DE"/>
    <w:rsid w:val="008954D0"/>
    <w:rsid w:val="00895561"/>
    <w:rsid w:val="008956EA"/>
    <w:rsid w:val="00895DED"/>
    <w:rsid w:val="00895EC3"/>
    <w:rsid w:val="0089666B"/>
    <w:rsid w:val="00896725"/>
    <w:rsid w:val="008A16BE"/>
    <w:rsid w:val="008A2950"/>
    <w:rsid w:val="008A2C82"/>
    <w:rsid w:val="008A3D3E"/>
    <w:rsid w:val="008A4C8C"/>
    <w:rsid w:val="008A5AB2"/>
    <w:rsid w:val="008A5E93"/>
    <w:rsid w:val="008A65A6"/>
    <w:rsid w:val="008A6CDA"/>
    <w:rsid w:val="008A7BA3"/>
    <w:rsid w:val="008B137E"/>
    <w:rsid w:val="008B22C3"/>
    <w:rsid w:val="008B2BC8"/>
    <w:rsid w:val="008B3026"/>
    <w:rsid w:val="008B3835"/>
    <w:rsid w:val="008B38FE"/>
    <w:rsid w:val="008B4536"/>
    <w:rsid w:val="008B4C3C"/>
    <w:rsid w:val="008B5FB8"/>
    <w:rsid w:val="008B6171"/>
    <w:rsid w:val="008B6723"/>
    <w:rsid w:val="008C0750"/>
    <w:rsid w:val="008C1C7C"/>
    <w:rsid w:val="008C294A"/>
    <w:rsid w:val="008C297A"/>
    <w:rsid w:val="008C2B76"/>
    <w:rsid w:val="008C2DCD"/>
    <w:rsid w:val="008C353D"/>
    <w:rsid w:val="008C3B0F"/>
    <w:rsid w:val="008C58D7"/>
    <w:rsid w:val="008C5968"/>
    <w:rsid w:val="008C678D"/>
    <w:rsid w:val="008C679F"/>
    <w:rsid w:val="008C7CA7"/>
    <w:rsid w:val="008D11F6"/>
    <w:rsid w:val="008D16FB"/>
    <w:rsid w:val="008D18B2"/>
    <w:rsid w:val="008D2804"/>
    <w:rsid w:val="008D29D5"/>
    <w:rsid w:val="008D3000"/>
    <w:rsid w:val="008D3507"/>
    <w:rsid w:val="008D51DE"/>
    <w:rsid w:val="008D5CEF"/>
    <w:rsid w:val="008D74EA"/>
    <w:rsid w:val="008E0514"/>
    <w:rsid w:val="008E11A4"/>
    <w:rsid w:val="008E27B4"/>
    <w:rsid w:val="008E3218"/>
    <w:rsid w:val="008E416A"/>
    <w:rsid w:val="008E4703"/>
    <w:rsid w:val="008E64BA"/>
    <w:rsid w:val="008E6F5B"/>
    <w:rsid w:val="008E7011"/>
    <w:rsid w:val="008F020A"/>
    <w:rsid w:val="008F085E"/>
    <w:rsid w:val="008F09C7"/>
    <w:rsid w:val="008F1B26"/>
    <w:rsid w:val="008F1B9F"/>
    <w:rsid w:val="008F2535"/>
    <w:rsid w:val="008F425B"/>
    <w:rsid w:val="008F438E"/>
    <w:rsid w:val="008F4B15"/>
    <w:rsid w:val="008F4D2D"/>
    <w:rsid w:val="008F67DB"/>
    <w:rsid w:val="008F6981"/>
    <w:rsid w:val="008F7607"/>
    <w:rsid w:val="008F7D70"/>
    <w:rsid w:val="0090047E"/>
    <w:rsid w:val="0090059F"/>
    <w:rsid w:val="00902A69"/>
    <w:rsid w:val="00903154"/>
    <w:rsid w:val="00903330"/>
    <w:rsid w:val="009036E0"/>
    <w:rsid w:val="00903CF2"/>
    <w:rsid w:val="00903DE0"/>
    <w:rsid w:val="00904287"/>
    <w:rsid w:val="009075DA"/>
    <w:rsid w:val="00907AC4"/>
    <w:rsid w:val="009101A4"/>
    <w:rsid w:val="00912D13"/>
    <w:rsid w:val="00913852"/>
    <w:rsid w:val="009147CB"/>
    <w:rsid w:val="009153BD"/>
    <w:rsid w:val="009161AD"/>
    <w:rsid w:val="00916A53"/>
    <w:rsid w:val="00916ECC"/>
    <w:rsid w:val="009211C4"/>
    <w:rsid w:val="00922F1A"/>
    <w:rsid w:val="009236BF"/>
    <w:rsid w:val="0092528F"/>
    <w:rsid w:val="009262F2"/>
    <w:rsid w:val="00931B5C"/>
    <w:rsid w:val="00931D7E"/>
    <w:rsid w:val="00933E79"/>
    <w:rsid w:val="009345DC"/>
    <w:rsid w:val="0093491F"/>
    <w:rsid w:val="0093543D"/>
    <w:rsid w:val="0093599A"/>
    <w:rsid w:val="009369F7"/>
    <w:rsid w:val="009375A4"/>
    <w:rsid w:val="00940E42"/>
    <w:rsid w:val="00941102"/>
    <w:rsid w:val="0094117D"/>
    <w:rsid w:val="0094156B"/>
    <w:rsid w:val="00942606"/>
    <w:rsid w:val="00950639"/>
    <w:rsid w:val="00951B8C"/>
    <w:rsid w:val="009524DE"/>
    <w:rsid w:val="0095318C"/>
    <w:rsid w:val="009554C2"/>
    <w:rsid w:val="00955622"/>
    <w:rsid w:val="009558A7"/>
    <w:rsid w:val="00956255"/>
    <w:rsid w:val="009564D0"/>
    <w:rsid w:val="00960857"/>
    <w:rsid w:val="009608EF"/>
    <w:rsid w:val="009609D2"/>
    <w:rsid w:val="00962B8D"/>
    <w:rsid w:val="00963E97"/>
    <w:rsid w:val="00963EF4"/>
    <w:rsid w:val="00963F91"/>
    <w:rsid w:val="00965889"/>
    <w:rsid w:val="00966264"/>
    <w:rsid w:val="0097049D"/>
    <w:rsid w:val="0097409F"/>
    <w:rsid w:val="0097560B"/>
    <w:rsid w:val="00976736"/>
    <w:rsid w:val="0097746C"/>
    <w:rsid w:val="00977AB1"/>
    <w:rsid w:val="00977B5C"/>
    <w:rsid w:val="0098015F"/>
    <w:rsid w:val="0098024C"/>
    <w:rsid w:val="00980592"/>
    <w:rsid w:val="00980EF3"/>
    <w:rsid w:val="009812D4"/>
    <w:rsid w:val="0098175A"/>
    <w:rsid w:val="0098195E"/>
    <w:rsid w:val="00982BCB"/>
    <w:rsid w:val="009831A8"/>
    <w:rsid w:val="0098437F"/>
    <w:rsid w:val="0098462B"/>
    <w:rsid w:val="009850E6"/>
    <w:rsid w:val="00987726"/>
    <w:rsid w:val="00987B08"/>
    <w:rsid w:val="00990455"/>
    <w:rsid w:val="009911F9"/>
    <w:rsid w:val="009912DB"/>
    <w:rsid w:val="00992C03"/>
    <w:rsid w:val="0099352F"/>
    <w:rsid w:val="009939A3"/>
    <w:rsid w:val="00995176"/>
    <w:rsid w:val="0099644D"/>
    <w:rsid w:val="0099653D"/>
    <w:rsid w:val="009A068F"/>
    <w:rsid w:val="009A0D7F"/>
    <w:rsid w:val="009A124E"/>
    <w:rsid w:val="009A2678"/>
    <w:rsid w:val="009A338B"/>
    <w:rsid w:val="009A41E5"/>
    <w:rsid w:val="009A44A1"/>
    <w:rsid w:val="009A483F"/>
    <w:rsid w:val="009A503B"/>
    <w:rsid w:val="009A53C3"/>
    <w:rsid w:val="009A6053"/>
    <w:rsid w:val="009A61B1"/>
    <w:rsid w:val="009A7B5B"/>
    <w:rsid w:val="009B0128"/>
    <w:rsid w:val="009B0757"/>
    <w:rsid w:val="009B097E"/>
    <w:rsid w:val="009B0A6C"/>
    <w:rsid w:val="009B18C4"/>
    <w:rsid w:val="009B1CCF"/>
    <w:rsid w:val="009B2319"/>
    <w:rsid w:val="009B2852"/>
    <w:rsid w:val="009B5191"/>
    <w:rsid w:val="009B5DC6"/>
    <w:rsid w:val="009B6797"/>
    <w:rsid w:val="009B6B9B"/>
    <w:rsid w:val="009B7836"/>
    <w:rsid w:val="009C127F"/>
    <w:rsid w:val="009C175B"/>
    <w:rsid w:val="009C1999"/>
    <w:rsid w:val="009C209E"/>
    <w:rsid w:val="009C27E9"/>
    <w:rsid w:val="009C2C26"/>
    <w:rsid w:val="009C3304"/>
    <w:rsid w:val="009C3EC2"/>
    <w:rsid w:val="009C4538"/>
    <w:rsid w:val="009C53C4"/>
    <w:rsid w:val="009C5CEB"/>
    <w:rsid w:val="009C5F63"/>
    <w:rsid w:val="009C6E3C"/>
    <w:rsid w:val="009C75F3"/>
    <w:rsid w:val="009C7BE4"/>
    <w:rsid w:val="009D07C1"/>
    <w:rsid w:val="009D0956"/>
    <w:rsid w:val="009D0C5A"/>
    <w:rsid w:val="009D25CE"/>
    <w:rsid w:val="009D263D"/>
    <w:rsid w:val="009D2AC8"/>
    <w:rsid w:val="009D3421"/>
    <w:rsid w:val="009E04A0"/>
    <w:rsid w:val="009E0DD3"/>
    <w:rsid w:val="009E1797"/>
    <w:rsid w:val="009E2829"/>
    <w:rsid w:val="009E312D"/>
    <w:rsid w:val="009E32BA"/>
    <w:rsid w:val="009E4467"/>
    <w:rsid w:val="009E470E"/>
    <w:rsid w:val="009E5AA4"/>
    <w:rsid w:val="009E5B32"/>
    <w:rsid w:val="009F03EC"/>
    <w:rsid w:val="009F0AD4"/>
    <w:rsid w:val="009F1B62"/>
    <w:rsid w:val="009F3CFC"/>
    <w:rsid w:val="009F3E74"/>
    <w:rsid w:val="009F4216"/>
    <w:rsid w:val="009F4470"/>
    <w:rsid w:val="009F52E2"/>
    <w:rsid w:val="00A0079A"/>
    <w:rsid w:val="00A00CAA"/>
    <w:rsid w:val="00A02787"/>
    <w:rsid w:val="00A03A03"/>
    <w:rsid w:val="00A0406D"/>
    <w:rsid w:val="00A0685B"/>
    <w:rsid w:val="00A07DE6"/>
    <w:rsid w:val="00A11141"/>
    <w:rsid w:val="00A11865"/>
    <w:rsid w:val="00A132F3"/>
    <w:rsid w:val="00A14FAC"/>
    <w:rsid w:val="00A150F5"/>
    <w:rsid w:val="00A15248"/>
    <w:rsid w:val="00A1686E"/>
    <w:rsid w:val="00A1747A"/>
    <w:rsid w:val="00A229F0"/>
    <w:rsid w:val="00A2380F"/>
    <w:rsid w:val="00A23C29"/>
    <w:rsid w:val="00A247D5"/>
    <w:rsid w:val="00A24DAC"/>
    <w:rsid w:val="00A251D8"/>
    <w:rsid w:val="00A25AB6"/>
    <w:rsid w:val="00A25C41"/>
    <w:rsid w:val="00A26754"/>
    <w:rsid w:val="00A268CF"/>
    <w:rsid w:val="00A27F29"/>
    <w:rsid w:val="00A30B53"/>
    <w:rsid w:val="00A30C04"/>
    <w:rsid w:val="00A32164"/>
    <w:rsid w:val="00A326BD"/>
    <w:rsid w:val="00A346A3"/>
    <w:rsid w:val="00A3545A"/>
    <w:rsid w:val="00A36DEA"/>
    <w:rsid w:val="00A36FC8"/>
    <w:rsid w:val="00A370B7"/>
    <w:rsid w:val="00A37CD0"/>
    <w:rsid w:val="00A40F8B"/>
    <w:rsid w:val="00A41A89"/>
    <w:rsid w:val="00A41A9B"/>
    <w:rsid w:val="00A42C1C"/>
    <w:rsid w:val="00A4540E"/>
    <w:rsid w:val="00A46675"/>
    <w:rsid w:val="00A46883"/>
    <w:rsid w:val="00A46E5F"/>
    <w:rsid w:val="00A47815"/>
    <w:rsid w:val="00A47EA1"/>
    <w:rsid w:val="00A524E6"/>
    <w:rsid w:val="00A5590D"/>
    <w:rsid w:val="00A55BA1"/>
    <w:rsid w:val="00A55C1E"/>
    <w:rsid w:val="00A55F2F"/>
    <w:rsid w:val="00A5609B"/>
    <w:rsid w:val="00A569E4"/>
    <w:rsid w:val="00A64935"/>
    <w:rsid w:val="00A66641"/>
    <w:rsid w:val="00A67A10"/>
    <w:rsid w:val="00A710E7"/>
    <w:rsid w:val="00A728A1"/>
    <w:rsid w:val="00A72FA2"/>
    <w:rsid w:val="00A74282"/>
    <w:rsid w:val="00A746F2"/>
    <w:rsid w:val="00A769AC"/>
    <w:rsid w:val="00A8041F"/>
    <w:rsid w:val="00A824AF"/>
    <w:rsid w:val="00A826F0"/>
    <w:rsid w:val="00A841C1"/>
    <w:rsid w:val="00A84367"/>
    <w:rsid w:val="00A84799"/>
    <w:rsid w:val="00A85165"/>
    <w:rsid w:val="00A85707"/>
    <w:rsid w:val="00A85921"/>
    <w:rsid w:val="00A8730E"/>
    <w:rsid w:val="00A91559"/>
    <w:rsid w:val="00A92C9E"/>
    <w:rsid w:val="00A930EF"/>
    <w:rsid w:val="00A94D7F"/>
    <w:rsid w:val="00A964BE"/>
    <w:rsid w:val="00A9705F"/>
    <w:rsid w:val="00A97D88"/>
    <w:rsid w:val="00A97DED"/>
    <w:rsid w:val="00AA03A8"/>
    <w:rsid w:val="00AA04BA"/>
    <w:rsid w:val="00AA1686"/>
    <w:rsid w:val="00AA168B"/>
    <w:rsid w:val="00AA1CE3"/>
    <w:rsid w:val="00AA29CC"/>
    <w:rsid w:val="00AA44D4"/>
    <w:rsid w:val="00AA461C"/>
    <w:rsid w:val="00AA50FB"/>
    <w:rsid w:val="00AA56BC"/>
    <w:rsid w:val="00AA662F"/>
    <w:rsid w:val="00AA79C4"/>
    <w:rsid w:val="00AB0246"/>
    <w:rsid w:val="00AB06DB"/>
    <w:rsid w:val="00AB11A4"/>
    <w:rsid w:val="00AB196E"/>
    <w:rsid w:val="00AB1F60"/>
    <w:rsid w:val="00AB2A9E"/>
    <w:rsid w:val="00AB417B"/>
    <w:rsid w:val="00AB582C"/>
    <w:rsid w:val="00AB5CE7"/>
    <w:rsid w:val="00AB6787"/>
    <w:rsid w:val="00AB7D6E"/>
    <w:rsid w:val="00AC033E"/>
    <w:rsid w:val="00AC1B7B"/>
    <w:rsid w:val="00AC4CEF"/>
    <w:rsid w:val="00AC7EDF"/>
    <w:rsid w:val="00AC7EEE"/>
    <w:rsid w:val="00AC7FFC"/>
    <w:rsid w:val="00AD02D3"/>
    <w:rsid w:val="00AD0360"/>
    <w:rsid w:val="00AD2147"/>
    <w:rsid w:val="00AD23E5"/>
    <w:rsid w:val="00AD2A2A"/>
    <w:rsid w:val="00AD30AF"/>
    <w:rsid w:val="00AD440B"/>
    <w:rsid w:val="00AD471F"/>
    <w:rsid w:val="00AD5A04"/>
    <w:rsid w:val="00AD68EA"/>
    <w:rsid w:val="00AD690B"/>
    <w:rsid w:val="00AE0484"/>
    <w:rsid w:val="00AE10B2"/>
    <w:rsid w:val="00AE16BD"/>
    <w:rsid w:val="00AE1F84"/>
    <w:rsid w:val="00AE3168"/>
    <w:rsid w:val="00AE4EB4"/>
    <w:rsid w:val="00AF04F4"/>
    <w:rsid w:val="00AF0CB5"/>
    <w:rsid w:val="00AF16FC"/>
    <w:rsid w:val="00AF1A0C"/>
    <w:rsid w:val="00AF1A8C"/>
    <w:rsid w:val="00AF26B2"/>
    <w:rsid w:val="00AF3506"/>
    <w:rsid w:val="00AF43D8"/>
    <w:rsid w:val="00AF55D4"/>
    <w:rsid w:val="00AF65AE"/>
    <w:rsid w:val="00AF6905"/>
    <w:rsid w:val="00B001EF"/>
    <w:rsid w:val="00B006A4"/>
    <w:rsid w:val="00B00CBF"/>
    <w:rsid w:val="00B00F51"/>
    <w:rsid w:val="00B01C67"/>
    <w:rsid w:val="00B02029"/>
    <w:rsid w:val="00B02CE4"/>
    <w:rsid w:val="00B037EC"/>
    <w:rsid w:val="00B04549"/>
    <w:rsid w:val="00B045B0"/>
    <w:rsid w:val="00B04DDD"/>
    <w:rsid w:val="00B07DCE"/>
    <w:rsid w:val="00B10AE6"/>
    <w:rsid w:val="00B11E8B"/>
    <w:rsid w:val="00B13AC2"/>
    <w:rsid w:val="00B15612"/>
    <w:rsid w:val="00B1659D"/>
    <w:rsid w:val="00B17FFB"/>
    <w:rsid w:val="00B2479F"/>
    <w:rsid w:val="00B252B2"/>
    <w:rsid w:val="00B26391"/>
    <w:rsid w:val="00B26819"/>
    <w:rsid w:val="00B26BE6"/>
    <w:rsid w:val="00B26C39"/>
    <w:rsid w:val="00B30941"/>
    <w:rsid w:val="00B309DB"/>
    <w:rsid w:val="00B32670"/>
    <w:rsid w:val="00B3284F"/>
    <w:rsid w:val="00B32A8C"/>
    <w:rsid w:val="00B33058"/>
    <w:rsid w:val="00B335D6"/>
    <w:rsid w:val="00B3405E"/>
    <w:rsid w:val="00B34EE9"/>
    <w:rsid w:val="00B35FA5"/>
    <w:rsid w:val="00B36715"/>
    <w:rsid w:val="00B41B3D"/>
    <w:rsid w:val="00B427E6"/>
    <w:rsid w:val="00B43A08"/>
    <w:rsid w:val="00B47960"/>
    <w:rsid w:val="00B47C5B"/>
    <w:rsid w:val="00B500E9"/>
    <w:rsid w:val="00B506FC"/>
    <w:rsid w:val="00B50FF2"/>
    <w:rsid w:val="00B5208C"/>
    <w:rsid w:val="00B52191"/>
    <w:rsid w:val="00B52533"/>
    <w:rsid w:val="00B52C75"/>
    <w:rsid w:val="00B52C92"/>
    <w:rsid w:val="00B54470"/>
    <w:rsid w:val="00B54FB5"/>
    <w:rsid w:val="00B5576C"/>
    <w:rsid w:val="00B55A93"/>
    <w:rsid w:val="00B565D8"/>
    <w:rsid w:val="00B56E1B"/>
    <w:rsid w:val="00B57764"/>
    <w:rsid w:val="00B57D2A"/>
    <w:rsid w:val="00B60446"/>
    <w:rsid w:val="00B61670"/>
    <w:rsid w:val="00B617C8"/>
    <w:rsid w:val="00B621AB"/>
    <w:rsid w:val="00B63C03"/>
    <w:rsid w:val="00B64491"/>
    <w:rsid w:val="00B6495B"/>
    <w:rsid w:val="00B64D59"/>
    <w:rsid w:val="00B6681C"/>
    <w:rsid w:val="00B66A71"/>
    <w:rsid w:val="00B70ED4"/>
    <w:rsid w:val="00B71B13"/>
    <w:rsid w:val="00B71C43"/>
    <w:rsid w:val="00B72F45"/>
    <w:rsid w:val="00B73211"/>
    <w:rsid w:val="00B734A6"/>
    <w:rsid w:val="00B73AED"/>
    <w:rsid w:val="00B73EE7"/>
    <w:rsid w:val="00B759DA"/>
    <w:rsid w:val="00B777AD"/>
    <w:rsid w:val="00B82819"/>
    <w:rsid w:val="00B835EF"/>
    <w:rsid w:val="00B83A8F"/>
    <w:rsid w:val="00B84642"/>
    <w:rsid w:val="00B856DD"/>
    <w:rsid w:val="00B908C9"/>
    <w:rsid w:val="00B91444"/>
    <w:rsid w:val="00B934A6"/>
    <w:rsid w:val="00B9373D"/>
    <w:rsid w:val="00B93BD0"/>
    <w:rsid w:val="00B9464E"/>
    <w:rsid w:val="00B951D6"/>
    <w:rsid w:val="00B954B4"/>
    <w:rsid w:val="00B958E7"/>
    <w:rsid w:val="00B95DE6"/>
    <w:rsid w:val="00B97629"/>
    <w:rsid w:val="00B97DC0"/>
    <w:rsid w:val="00BA179C"/>
    <w:rsid w:val="00BA229D"/>
    <w:rsid w:val="00BA2390"/>
    <w:rsid w:val="00BA40CF"/>
    <w:rsid w:val="00BA42C4"/>
    <w:rsid w:val="00BA45FE"/>
    <w:rsid w:val="00BA47A9"/>
    <w:rsid w:val="00BA496C"/>
    <w:rsid w:val="00BA5250"/>
    <w:rsid w:val="00BA5E8D"/>
    <w:rsid w:val="00BA60C2"/>
    <w:rsid w:val="00BA647B"/>
    <w:rsid w:val="00BA6803"/>
    <w:rsid w:val="00BA68B5"/>
    <w:rsid w:val="00BA7F72"/>
    <w:rsid w:val="00BB00DD"/>
    <w:rsid w:val="00BB0D72"/>
    <w:rsid w:val="00BB11BE"/>
    <w:rsid w:val="00BB1216"/>
    <w:rsid w:val="00BB1403"/>
    <w:rsid w:val="00BB16F2"/>
    <w:rsid w:val="00BB24EB"/>
    <w:rsid w:val="00BB264C"/>
    <w:rsid w:val="00BB3D78"/>
    <w:rsid w:val="00BB5746"/>
    <w:rsid w:val="00BB68A8"/>
    <w:rsid w:val="00BB7CEB"/>
    <w:rsid w:val="00BC0E99"/>
    <w:rsid w:val="00BC0F23"/>
    <w:rsid w:val="00BC1394"/>
    <w:rsid w:val="00BC1903"/>
    <w:rsid w:val="00BC3124"/>
    <w:rsid w:val="00BC3ABF"/>
    <w:rsid w:val="00BC430A"/>
    <w:rsid w:val="00BC6014"/>
    <w:rsid w:val="00BC7272"/>
    <w:rsid w:val="00BC7555"/>
    <w:rsid w:val="00BC7F79"/>
    <w:rsid w:val="00BD222B"/>
    <w:rsid w:val="00BD2520"/>
    <w:rsid w:val="00BD3278"/>
    <w:rsid w:val="00BD46F2"/>
    <w:rsid w:val="00BD5AFA"/>
    <w:rsid w:val="00BD5F83"/>
    <w:rsid w:val="00BD6631"/>
    <w:rsid w:val="00BE0364"/>
    <w:rsid w:val="00BE063A"/>
    <w:rsid w:val="00BE1FC9"/>
    <w:rsid w:val="00BE4C7C"/>
    <w:rsid w:val="00BE4EE4"/>
    <w:rsid w:val="00BE71BE"/>
    <w:rsid w:val="00BF0B00"/>
    <w:rsid w:val="00BF38AE"/>
    <w:rsid w:val="00BF3E2A"/>
    <w:rsid w:val="00BF4558"/>
    <w:rsid w:val="00BF54A4"/>
    <w:rsid w:val="00BF6A2F"/>
    <w:rsid w:val="00BF741B"/>
    <w:rsid w:val="00C001B1"/>
    <w:rsid w:val="00C003DD"/>
    <w:rsid w:val="00C041C8"/>
    <w:rsid w:val="00C04416"/>
    <w:rsid w:val="00C04A08"/>
    <w:rsid w:val="00C04B1B"/>
    <w:rsid w:val="00C058DC"/>
    <w:rsid w:val="00C063D3"/>
    <w:rsid w:val="00C100C9"/>
    <w:rsid w:val="00C10136"/>
    <w:rsid w:val="00C117C2"/>
    <w:rsid w:val="00C11939"/>
    <w:rsid w:val="00C11C1B"/>
    <w:rsid w:val="00C14FD9"/>
    <w:rsid w:val="00C15025"/>
    <w:rsid w:val="00C152B5"/>
    <w:rsid w:val="00C163B3"/>
    <w:rsid w:val="00C16A22"/>
    <w:rsid w:val="00C16F28"/>
    <w:rsid w:val="00C219A5"/>
    <w:rsid w:val="00C21D76"/>
    <w:rsid w:val="00C21F8B"/>
    <w:rsid w:val="00C229D8"/>
    <w:rsid w:val="00C24812"/>
    <w:rsid w:val="00C2521E"/>
    <w:rsid w:val="00C25546"/>
    <w:rsid w:val="00C261D7"/>
    <w:rsid w:val="00C26CFC"/>
    <w:rsid w:val="00C3068A"/>
    <w:rsid w:val="00C34F18"/>
    <w:rsid w:val="00C35960"/>
    <w:rsid w:val="00C35C48"/>
    <w:rsid w:val="00C36267"/>
    <w:rsid w:val="00C3643D"/>
    <w:rsid w:val="00C3705B"/>
    <w:rsid w:val="00C37D69"/>
    <w:rsid w:val="00C404CF"/>
    <w:rsid w:val="00C405A1"/>
    <w:rsid w:val="00C40D37"/>
    <w:rsid w:val="00C42D1B"/>
    <w:rsid w:val="00C4446E"/>
    <w:rsid w:val="00C447FA"/>
    <w:rsid w:val="00C45195"/>
    <w:rsid w:val="00C4607F"/>
    <w:rsid w:val="00C51A28"/>
    <w:rsid w:val="00C51D53"/>
    <w:rsid w:val="00C53E5E"/>
    <w:rsid w:val="00C5789C"/>
    <w:rsid w:val="00C60783"/>
    <w:rsid w:val="00C60EF7"/>
    <w:rsid w:val="00C60F32"/>
    <w:rsid w:val="00C612FD"/>
    <w:rsid w:val="00C61302"/>
    <w:rsid w:val="00C63C68"/>
    <w:rsid w:val="00C643E4"/>
    <w:rsid w:val="00C64B14"/>
    <w:rsid w:val="00C64DFC"/>
    <w:rsid w:val="00C66894"/>
    <w:rsid w:val="00C67A4C"/>
    <w:rsid w:val="00C67AE6"/>
    <w:rsid w:val="00C67C67"/>
    <w:rsid w:val="00C67FE7"/>
    <w:rsid w:val="00C702F1"/>
    <w:rsid w:val="00C70494"/>
    <w:rsid w:val="00C72423"/>
    <w:rsid w:val="00C744C3"/>
    <w:rsid w:val="00C749BC"/>
    <w:rsid w:val="00C75DF3"/>
    <w:rsid w:val="00C7623E"/>
    <w:rsid w:val="00C76B61"/>
    <w:rsid w:val="00C76C0E"/>
    <w:rsid w:val="00C76CCF"/>
    <w:rsid w:val="00C77090"/>
    <w:rsid w:val="00C77D02"/>
    <w:rsid w:val="00C80516"/>
    <w:rsid w:val="00C80742"/>
    <w:rsid w:val="00C81680"/>
    <w:rsid w:val="00C81DA7"/>
    <w:rsid w:val="00C82515"/>
    <w:rsid w:val="00C82A4A"/>
    <w:rsid w:val="00C82D34"/>
    <w:rsid w:val="00C849B8"/>
    <w:rsid w:val="00C84A4A"/>
    <w:rsid w:val="00C85EC9"/>
    <w:rsid w:val="00C86674"/>
    <w:rsid w:val="00C8763B"/>
    <w:rsid w:val="00C87C6E"/>
    <w:rsid w:val="00C9095A"/>
    <w:rsid w:val="00C9414E"/>
    <w:rsid w:val="00C950B4"/>
    <w:rsid w:val="00C96FBC"/>
    <w:rsid w:val="00C97944"/>
    <w:rsid w:val="00CA2181"/>
    <w:rsid w:val="00CA32C9"/>
    <w:rsid w:val="00CA3644"/>
    <w:rsid w:val="00CA407C"/>
    <w:rsid w:val="00CA4A40"/>
    <w:rsid w:val="00CA5169"/>
    <w:rsid w:val="00CA5307"/>
    <w:rsid w:val="00CA5C08"/>
    <w:rsid w:val="00CA691D"/>
    <w:rsid w:val="00CA6A91"/>
    <w:rsid w:val="00CA6F0F"/>
    <w:rsid w:val="00CB0324"/>
    <w:rsid w:val="00CB0429"/>
    <w:rsid w:val="00CB08EA"/>
    <w:rsid w:val="00CB3B35"/>
    <w:rsid w:val="00CB56E5"/>
    <w:rsid w:val="00CB5A44"/>
    <w:rsid w:val="00CB5D7D"/>
    <w:rsid w:val="00CB60AA"/>
    <w:rsid w:val="00CB6B4E"/>
    <w:rsid w:val="00CB7443"/>
    <w:rsid w:val="00CC00DA"/>
    <w:rsid w:val="00CC3D6E"/>
    <w:rsid w:val="00CC3DC6"/>
    <w:rsid w:val="00CC45A6"/>
    <w:rsid w:val="00CC5979"/>
    <w:rsid w:val="00CC70CB"/>
    <w:rsid w:val="00CC7710"/>
    <w:rsid w:val="00CC779C"/>
    <w:rsid w:val="00CD0AA7"/>
    <w:rsid w:val="00CD20C1"/>
    <w:rsid w:val="00CD33BE"/>
    <w:rsid w:val="00CD3CBE"/>
    <w:rsid w:val="00CD3F2D"/>
    <w:rsid w:val="00CD4B08"/>
    <w:rsid w:val="00CD5614"/>
    <w:rsid w:val="00CD5BCC"/>
    <w:rsid w:val="00CD5DDE"/>
    <w:rsid w:val="00CD6760"/>
    <w:rsid w:val="00CD6ED5"/>
    <w:rsid w:val="00CD711A"/>
    <w:rsid w:val="00CD797A"/>
    <w:rsid w:val="00CD7FAA"/>
    <w:rsid w:val="00CE03DE"/>
    <w:rsid w:val="00CE2C59"/>
    <w:rsid w:val="00CE3D85"/>
    <w:rsid w:val="00CE49B4"/>
    <w:rsid w:val="00CE7461"/>
    <w:rsid w:val="00CF044B"/>
    <w:rsid w:val="00CF12B8"/>
    <w:rsid w:val="00CF1452"/>
    <w:rsid w:val="00CF1C30"/>
    <w:rsid w:val="00CF29B8"/>
    <w:rsid w:val="00CF3014"/>
    <w:rsid w:val="00CF569B"/>
    <w:rsid w:val="00CF6960"/>
    <w:rsid w:val="00D00C86"/>
    <w:rsid w:val="00D019A7"/>
    <w:rsid w:val="00D01D02"/>
    <w:rsid w:val="00D02269"/>
    <w:rsid w:val="00D02E89"/>
    <w:rsid w:val="00D044B8"/>
    <w:rsid w:val="00D04963"/>
    <w:rsid w:val="00D04DB0"/>
    <w:rsid w:val="00D05475"/>
    <w:rsid w:val="00D111DF"/>
    <w:rsid w:val="00D11285"/>
    <w:rsid w:val="00D12A55"/>
    <w:rsid w:val="00D130E3"/>
    <w:rsid w:val="00D13782"/>
    <w:rsid w:val="00D13A95"/>
    <w:rsid w:val="00D13C1F"/>
    <w:rsid w:val="00D1542F"/>
    <w:rsid w:val="00D20778"/>
    <w:rsid w:val="00D20840"/>
    <w:rsid w:val="00D209FB"/>
    <w:rsid w:val="00D218FF"/>
    <w:rsid w:val="00D22738"/>
    <w:rsid w:val="00D237B4"/>
    <w:rsid w:val="00D23CB9"/>
    <w:rsid w:val="00D252B2"/>
    <w:rsid w:val="00D25A5D"/>
    <w:rsid w:val="00D261C4"/>
    <w:rsid w:val="00D264E6"/>
    <w:rsid w:val="00D27B3D"/>
    <w:rsid w:val="00D27BCC"/>
    <w:rsid w:val="00D30DAA"/>
    <w:rsid w:val="00D313A3"/>
    <w:rsid w:val="00D32E3F"/>
    <w:rsid w:val="00D343D8"/>
    <w:rsid w:val="00D347E0"/>
    <w:rsid w:val="00D34AD8"/>
    <w:rsid w:val="00D34DAD"/>
    <w:rsid w:val="00D359B7"/>
    <w:rsid w:val="00D3697D"/>
    <w:rsid w:val="00D42D5A"/>
    <w:rsid w:val="00D4304C"/>
    <w:rsid w:val="00D443D8"/>
    <w:rsid w:val="00D45302"/>
    <w:rsid w:val="00D460F7"/>
    <w:rsid w:val="00D4618E"/>
    <w:rsid w:val="00D47918"/>
    <w:rsid w:val="00D51AC0"/>
    <w:rsid w:val="00D53C25"/>
    <w:rsid w:val="00D553EC"/>
    <w:rsid w:val="00D55FB1"/>
    <w:rsid w:val="00D566DE"/>
    <w:rsid w:val="00D56FEF"/>
    <w:rsid w:val="00D57071"/>
    <w:rsid w:val="00D57598"/>
    <w:rsid w:val="00D57FBF"/>
    <w:rsid w:val="00D605CB"/>
    <w:rsid w:val="00D60A72"/>
    <w:rsid w:val="00D62363"/>
    <w:rsid w:val="00D63E03"/>
    <w:rsid w:val="00D64667"/>
    <w:rsid w:val="00D64788"/>
    <w:rsid w:val="00D65517"/>
    <w:rsid w:val="00D668AD"/>
    <w:rsid w:val="00D670EF"/>
    <w:rsid w:val="00D674A6"/>
    <w:rsid w:val="00D703D4"/>
    <w:rsid w:val="00D7063B"/>
    <w:rsid w:val="00D71B43"/>
    <w:rsid w:val="00D731C7"/>
    <w:rsid w:val="00D74088"/>
    <w:rsid w:val="00D741CB"/>
    <w:rsid w:val="00D75B17"/>
    <w:rsid w:val="00D75D75"/>
    <w:rsid w:val="00D767D0"/>
    <w:rsid w:val="00D8064C"/>
    <w:rsid w:val="00D816FF"/>
    <w:rsid w:val="00D81CDC"/>
    <w:rsid w:val="00D82F0A"/>
    <w:rsid w:val="00D8449B"/>
    <w:rsid w:val="00D84768"/>
    <w:rsid w:val="00D84FE8"/>
    <w:rsid w:val="00D85246"/>
    <w:rsid w:val="00D8568B"/>
    <w:rsid w:val="00D85A2E"/>
    <w:rsid w:val="00D87189"/>
    <w:rsid w:val="00D87A6E"/>
    <w:rsid w:val="00D87F5A"/>
    <w:rsid w:val="00D902C7"/>
    <w:rsid w:val="00D90B6C"/>
    <w:rsid w:val="00D918DB"/>
    <w:rsid w:val="00D929C6"/>
    <w:rsid w:val="00D937FF"/>
    <w:rsid w:val="00D94C3B"/>
    <w:rsid w:val="00D94FDC"/>
    <w:rsid w:val="00D9655B"/>
    <w:rsid w:val="00D97F35"/>
    <w:rsid w:val="00DA0F31"/>
    <w:rsid w:val="00DA1392"/>
    <w:rsid w:val="00DA171F"/>
    <w:rsid w:val="00DA1E1B"/>
    <w:rsid w:val="00DA2683"/>
    <w:rsid w:val="00DA26DF"/>
    <w:rsid w:val="00DA27E0"/>
    <w:rsid w:val="00DA2A23"/>
    <w:rsid w:val="00DA2C92"/>
    <w:rsid w:val="00DA3214"/>
    <w:rsid w:val="00DA5E12"/>
    <w:rsid w:val="00DA601C"/>
    <w:rsid w:val="00DA672A"/>
    <w:rsid w:val="00DA743A"/>
    <w:rsid w:val="00DB0CA1"/>
    <w:rsid w:val="00DB15FB"/>
    <w:rsid w:val="00DB24D2"/>
    <w:rsid w:val="00DB4158"/>
    <w:rsid w:val="00DB59FD"/>
    <w:rsid w:val="00DB6614"/>
    <w:rsid w:val="00DC0912"/>
    <w:rsid w:val="00DC097A"/>
    <w:rsid w:val="00DC3188"/>
    <w:rsid w:val="00DC343D"/>
    <w:rsid w:val="00DC3856"/>
    <w:rsid w:val="00DC3A1A"/>
    <w:rsid w:val="00DC441A"/>
    <w:rsid w:val="00DC5921"/>
    <w:rsid w:val="00DC5BDD"/>
    <w:rsid w:val="00DC655C"/>
    <w:rsid w:val="00DC6D92"/>
    <w:rsid w:val="00DC6F7B"/>
    <w:rsid w:val="00DC71A5"/>
    <w:rsid w:val="00DD03D9"/>
    <w:rsid w:val="00DD0493"/>
    <w:rsid w:val="00DD0562"/>
    <w:rsid w:val="00DD0968"/>
    <w:rsid w:val="00DD0DD4"/>
    <w:rsid w:val="00DD0EA7"/>
    <w:rsid w:val="00DD10F5"/>
    <w:rsid w:val="00DD1676"/>
    <w:rsid w:val="00DD17EF"/>
    <w:rsid w:val="00DD2629"/>
    <w:rsid w:val="00DD694C"/>
    <w:rsid w:val="00DE03F3"/>
    <w:rsid w:val="00DE12DE"/>
    <w:rsid w:val="00DE1DB8"/>
    <w:rsid w:val="00DE2494"/>
    <w:rsid w:val="00DE39A5"/>
    <w:rsid w:val="00DE3FF0"/>
    <w:rsid w:val="00DE4457"/>
    <w:rsid w:val="00DE4E14"/>
    <w:rsid w:val="00DE4EC0"/>
    <w:rsid w:val="00DE549B"/>
    <w:rsid w:val="00DE684E"/>
    <w:rsid w:val="00DE74F2"/>
    <w:rsid w:val="00DE79C9"/>
    <w:rsid w:val="00DF1092"/>
    <w:rsid w:val="00DF18C1"/>
    <w:rsid w:val="00DF1AD9"/>
    <w:rsid w:val="00DF21C9"/>
    <w:rsid w:val="00DF24EF"/>
    <w:rsid w:val="00DF3C71"/>
    <w:rsid w:val="00DF538D"/>
    <w:rsid w:val="00DF635A"/>
    <w:rsid w:val="00DF6BB3"/>
    <w:rsid w:val="00DF7378"/>
    <w:rsid w:val="00E00583"/>
    <w:rsid w:val="00E008B9"/>
    <w:rsid w:val="00E042F4"/>
    <w:rsid w:val="00E04732"/>
    <w:rsid w:val="00E05096"/>
    <w:rsid w:val="00E05AAE"/>
    <w:rsid w:val="00E07B1B"/>
    <w:rsid w:val="00E100F3"/>
    <w:rsid w:val="00E101BA"/>
    <w:rsid w:val="00E10AA7"/>
    <w:rsid w:val="00E10C0C"/>
    <w:rsid w:val="00E11A1D"/>
    <w:rsid w:val="00E13277"/>
    <w:rsid w:val="00E1390B"/>
    <w:rsid w:val="00E13E6C"/>
    <w:rsid w:val="00E16412"/>
    <w:rsid w:val="00E16D19"/>
    <w:rsid w:val="00E20067"/>
    <w:rsid w:val="00E201EE"/>
    <w:rsid w:val="00E20DF3"/>
    <w:rsid w:val="00E20E40"/>
    <w:rsid w:val="00E21D8E"/>
    <w:rsid w:val="00E22E53"/>
    <w:rsid w:val="00E23614"/>
    <w:rsid w:val="00E23AF4"/>
    <w:rsid w:val="00E27AAE"/>
    <w:rsid w:val="00E30C1D"/>
    <w:rsid w:val="00E31073"/>
    <w:rsid w:val="00E31619"/>
    <w:rsid w:val="00E31C19"/>
    <w:rsid w:val="00E3369D"/>
    <w:rsid w:val="00E33BA3"/>
    <w:rsid w:val="00E34641"/>
    <w:rsid w:val="00E34FAC"/>
    <w:rsid w:val="00E35DAC"/>
    <w:rsid w:val="00E36408"/>
    <w:rsid w:val="00E36A37"/>
    <w:rsid w:val="00E36AD8"/>
    <w:rsid w:val="00E377C1"/>
    <w:rsid w:val="00E417E3"/>
    <w:rsid w:val="00E42342"/>
    <w:rsid w:val="00E43799"/>
    <w:rsid w:val="00E43A72"/>
    <w:rsid w:val="00E43F64"/>
    <w:rsid w:val="00E45553"/>
    <w:rsid w:val="00E4684A"/>
    <w:rsid w:val="00E51A47"/>
    <w:rsid w:val="00E520A3"/>
    <w:rsid w:val="00E54722"/>
    <w:rsid w:val="00E547F0"/>
    <w:rsid w:val="00E54E9E"/>
    <w:rsid w:val="00E55A96"/>
    <w:rsid w:val="00E55BF8"/>
    <w:rsid w:val="00E577F2"/>
    <w:rsid w:val="00E629EE"/>
    <w:rsid w:val="00E63006"/>
    <w:rsid w:val="00E63893"/>
    <w:rsid w:val="00E63C52"/>
    <w:rsid w:val="00E64254"/>
    <w:rsid w:val="00E643D9"/>
    <w:rsid w:val="00E6637B"/>
    <w:rsid w:val="00E67D1E"/>
    <w:rsid w:val="00E7033D"/>
    <w:rsid w:val="00E70842"/>
    <w:rsid w:val="00E7190E"/>
    <w:rsid w:val="00E7227C"/>
    <w:rsid w:val="00E73152"/>
    <w:rsid w:val="00E73E95"/>
    <w:rsid w:val="00E74981"/>
    <w:rsid w:val="00E751E3"/>
    <w:rsid w:val="00E76148"/>
    <w:rsid w:val="00E77354"/>
    <w:rsid w:val="00E82BE8"/>
    <w:rsid w:val="00E844AF"/>
    <w:rsid w:val="00E8472C"/>
    <w:rsid w:val="00E84AF8"/>
    <w:rsid w:val="00E84DF2"/>
    <w:rsid w:val="00E84F99"/>
    <w:rsid w:val="00E86817"/>
    <w:rsid w:val="00E86F85"/>
    <w:rsid w:val="00E86FCB"/>
    <w:rsid w:val="00E87A1A"/>
    <w:rsid w:val="00E90A56"/>
    <w:rsid w:val="00E90E80"/>
    <w:rsid w:val="00E918BD"/>
    <w:rsid w:val="00E91E46"/>
    <w:rsid w:val="00E92F16"/>
    <w:rsid w:val="00E9349D"/>
    <w:rsid w:val="00E93843"/>
    <w:rsid w:val="00E94F15"/>
    <w:rsid w:val="00E952E9"/>
    <w:rsid w:val="00E95B91"/>
    <w:rsid w:val="00E961DC"/>
    <w:rsid w:val="00EA02F6"/>
    <w:rsid w:val="00EA04AD"/>
    <w:rsid w:val="00EA1005"/>
    <w:rsid w:val="00EA1424"/>
    <w:rsid w:val="00EA27A2"/>
    <w:rsid w:val="00EA28AA"/>
    <w:rsid w:val="00EA37A1"/>
    <w:rsid w:val="00EA4948"/>
    <w:rsid w:val="00EA4DBF"/>
    <w:rsid w:val="00EA5088"/>
    <w:rsid w:val="00EA5089"/>
    <w:rsid w:val="00EA5434"/>
    <w:rsid w:val="00EA5DC9"/>
    <w:rsid w:val="00EA7ECD"/>
    <w:rsid w:val="00EA7EFB"/>
    <w:rsid w:val="00EB0488"/>
    <w:rsid w:val="00EB0C57"/>
    <w:rsid w:val="00EB0DD8"/>
    <w:rsid w:val="00EB22E2"/>
    <w:rsid w:val="00EB2E3F"/>
    <w:rsid w:val="00EB30DB"/>
    <w:rsid w:val="00EB3FD5"/>
    <w:rsid w:val="00EB47E3"/>
    <w:rsid w:val="00EB4B17"/>
    <w:rsid w:val="00EB742A"/>
    <w:rsid w:val="00EB7973"/>
    <w:rsid w:val="00EC00B7"/>
    <w:rsid w:val="00EC0603"/>
    <w:rsid w:val="00EC090A"/>
    <w:rsid w:val="00EC0FDA"/>
    <w:rsid w:val="00EC152F"/>
    <w:rsid w:val="00EC34F8"/>
    <w:rsid w:val="00EC3BF9"/>
    <w:rsid w:val="00EC3CCE"/>
    <w:rsid w:val="00EC4AA9"/>
    <w:rsid w:val="00EC4D3D"/>
    <w:rsid w:val="00EC5ECA"/>
    <w:rsid w:val="00EC7ADB"/>
    <w:rsid w:val="00ED2A13"/>
    <w:rsid w:val="00ED40B2"/>
    <w:rsid w:val="00ED4E9F"/>
    <w:rsid w:val="00ED51D0"/>
    <w:rsid w:val="00ED624F"/>
    <w:rsid w:val="00ED631C"/>
    <w:rsid w:val="00ED656A"/>
    <w:rsid w:val="00ED6A08"/>
    <w:rsid w:val="00ED6D93"/>
    <w:rsid w:val="00EE0450"/>
    <w:rsid w:val="00EE0DAD"/>
    <w:rsid w:val="00EE2B70"/>
    <w:rsid w:val="00EE37C8"/>
    <w:rsid w:val="00EE3A09"/>
    <w:rsid w:val="00EE4F7F"/>
    <w:rsid w:val="00EE59BC"/>
    <w:rsid w:val="00EE5D7D"/>
    <w:rsid w:val="00EE7A85"/>
    <w:rsid w:val="00EF114B"/>
    <w:rsid w:val="00EF1C04"/>
    <w:rsid w:val="00EF2F5E"/>
    <w:rsid w:val="00EF32B5"/>
    <w:rsid w:val="00EF3310"/>
    <w:rsid w:val="00EF382C"/>
    <w:rsid w:val="00EF40A8"/>
    <w:rsid w:val="00EF456B"/>
    <w:rsid w:val="00EF45D4"/>
    <w:rsid w:val="00EF57CE"/>
    <w:rsid w:val="00EF59CB"/>
    <w:rsid w:val="00EF5C24"/>
    <w:rsid w:val="00F0047B"/>
    <w:rsid w:val="00F016FA"/>
    <w:rsid w:val="00F019FA"/>
    <w:rsid w:val="00F02173"/>
    <w:rsid w:val="00F03E31"/>
    <w:rsid w:val="00F03FBE"/>
    <w:rsid w:val="00F04342"/>
    <w:rsid w:val="00F048D9"/>
    <w:rsid w:val="00F0495C"/>
    <w:rsid w:val="00F04E22"/>
    <w:rsid w:val="00F05755"/>
    <w:rsid w:val="00F0634C"/>
    <w:rsid w:val="00F07A13"/>
    <w:rsid w:val="00F111F3"/>
    <w:rsid w:val="00F12353"/>
    <w:rsid w:val="00F125FF"/>
    <w:rsid w:val="00F12675"/>
    <w:rsid w:val="00F12E9C"/>
    <w:rsid w:val="00F134FC"/>
    <w:rsid w:val="00F13E8E"/>
    <w:rsid w:val="00F149F6"/>
    <w:rsid w:val="00F151DB"/>
    <w:rsid w:val="00F17EEB"/>
    <w:rsid w:val="00F214AA"/>
    <w:rsid w:val="00F21DCF"/>
    <w:rsid w:val="00F22A55"/>
    <w:rsid w:val="00F23959"/>
    <w:rsid w:val="00F23D5D"/>
    <w:rsid w:val="00F23F94"/>
    <w:rsid w:val="00F24030"/>
    <w:rsid w:val="00F242B0"/>
    <w:rsid w:val="00F242B2"/>
    <w:rsid w:val="00F24C69"/>
    <w:rsid w:val="00F25299"/>
    <w:rsid w:val="00F257E5"/>
    <w:rsid w:val="00F25C6B"/>
    <w:rsid w:val="00F270D4"/>
    <w:rsid w:val="00F27B44"/>
    <w:rsid w:val="00F27F09"/>
    <w:rsid w:val="00F3027E"/>
    <w:rsid w:val="00F303C6"/>
    <w:rsid w:val="00F3092F"/>
    <w:rsid w:val="00F30EA4"/>
    <w:rsid w:val="00F3229A"/>
    <w:rsid w:val="00F329A1"/>
    <w:rsid w:val="00F344C4"/>
    <w:rsid w:val="00F3471C"/>
    <w:rsid w:val="00F3488E"/>
    <w:rsid w:val="00F35A3B"/>
    <w:rsid w:val="00F36FF9"/>
    <w:rsid w:val="00F3762F"/>
    <w:rsid w:val="00F37B5A"/>
    <w:rsid w:val="00F40E9B"/>
    <w:rsid w:val="00F41DFE"/>
    <w:rsid w:val="00F4378C"/>
    <w:rsid w:val="00F43CCF"/>
    <w:rsid w:val="00F4490B"/>
    <w:rsid w:val="00F451CB"/>
    <w:rsid w:val="00F50C22"/>
    <w:rsid w:val="00F51F08"/>
    <w:rsid w:val="00F52571"/>
    <w:rsid w:val="00F532EA"/>
    <w:rsid w:val="00F54AF5"/>
    <w:rsid w:val="00F54C3D"/>
    <w:rsid w:val="00F57610"/>
    <w:rsid w:val="00F579A1"/>
    <w:rsid w:val="00F57A04"/>
    <w:rsid w:val="00F636A9"/>
    <w:rsid w:val="00F644CD"/>
    <w:rsid w:val="00F65523"/>
    <w:rsid w:val="00F65E68"/>
    <w:rsid w:val="00F6664A"/>
    <w:rsid w:val="00F6680F"/>
    <w:rsid w:val="00F67374"/>
    <w:rsid w:val="00F674FB"/>
    <w:rsid w:val="00F704F4"/>
    <w:rsid w:val="00F7052D"/>
    <w:rsid w:val="00F73363"/>
    <w:rsid w:val="00F73618"/>
    <w:rsid w:val="00F737C1"/>
    <w:rsid w:val="00F74491"/>
    <w:rsid w:val="00F74859"/>
    <w:rsid w:val="00F7595D"/>
    <w:rsid w:val="00F75CEC"/>
    <w:rsid w:val="00F768B9"/>
    <w:rsid w:val="00F8034E"/>
    <w:rsid w:val="00F80D70"/>
    <w:rsid w:val="00F80D9C"/>
    <w:rsid w:val="00F81433"/>
    <w:rsid w:val="00F825B6"/>
    <w:rsid w:val="00F83075"/>
    <w:rsid w:val="00F831D1"/>
    <w:rsid w:val="00F8326B"/>
    <w:rsid w:val="00F83496"/>
    <w:rsid w:val="00F847DC"/>
    <w:rsid w:val="00F84F1C"/>
    <w:rsid w:val="00F875E4"/>
    <w:rsid w:val="00F92465"/>
    <w:rsid w:val="00F92D26"/>
    <w:rsid w:val="00F932D7"/>
    <w:rsid w:val="00F94E12"/>
    <w:rsid w:val="00F94F9A"/>
    <w:rsid w:val="00F970F7"/>
    <w:rsid w:val="00FA014E"/>
    <w:rsid w:val="00FA093F"/>
    <w:rsid w:val="00FA3E37"/>
    <w:rsid w:val="00FA546C"/>
    <w:rsid w:val="00FA65D9"/>
    <w:rsid w:val="00FA6B36"/>
    <w:rsid w:val="00FA76F1"/>
    <w:rsid w:val="00FB15A3"/>
    <w:rsid w:val="00FB2DB4"/>
    <w:rsid w:val="00FB34F6"/>
    <w:rsid w:val="00FB3EDB"/>
    <w:rsid w:val="00FB65CA"/>
    <w:rsid w:val="00FB6CC3"/>
    <w:rsid w:val="00FB729A"/>
    <w:rsid w:val="00FB792C"/>
    <w:rsid w:val="00FC0D46"/>
    <w:rsid w:val="00FC3981"/>
    <w:rsid w:val="00FC3DFB"/>
    <w:rsid w:val="00FC3E30"/>
    <w:rsid w:val="00FC3F54"/>
    <w:rsid w:val="00FC4B01"/>
    <w:rsid w:val="00FC4C9C"/>
    <w:rsid w:val="00FC55AB"/>
    <w:rsid w:val="00FC5C3D"/>
    <w:rsid w:val="00FC6A56"/>
    <w:rsid w:val="00FC712B"/>
    <w:rsid w:val="00FC74B1"/>
    <w:rsid w:val="00FD0AE8"/>
    <w:rsid w:val="00FD0D52"/>
    <w:rsid w:val="00FD107E"/>
    <w:rsid w:val="00FD2740"/>
    <w:rsid w:val="00FD292B"/>
    <w:rsid w:val="00FD2BF0"/>
    <w:rsid w:val="00FD40F2"/>
    <w:rsid w:val="00FD5090"/>
    <w:rsid w:val="00FD5B6B"/>
    <w:rsid w:val="00FD7085"/>
    <w:rsid w:val="00FD7AFC"/>
    <w:rsid w:val="00FE0413"/>
    <w:rsid w:val="00FE07F2"/>
    <w:rsid w:val="00FE122A"/>
    <w:rsid w:val="00FE2544"/>
    <w:rsid w:val="00FE41D5"/>
    <w:rsid w:val="00FE43B3"/>
    <w:rsid w:val="00FE46CA"/>
    <w:rsid w:val="00FE48E3"/>
    <w:rsid w:val="00FE4AF3"/>
    <w:rsid w:val="00FE582A"/>
    <w:rsid w:val="00FE6F2D"/>
    <w:rsid w:val="00FE7155"/>
    <w:rsid w:val="00FF02D6"/>
    <w:rsid w:val="00FF05EB"/>
    <w:rsid w:val="00FF0A24"/>
    <w:rsid w:val="00FF1466"/>
    <w:rsid w:val="00FF227A"/>
    <w:rsid w:val="00FF30FF"/>
    <w:rsid w:val="00FF3CD3"/>
    <w:rsid w:val="00FF411B"/>
    <w:rsid w:val="00FF44B1"/>
    <w:rsid w:val="00FF4974"/>
    <w:rsid w:val="00FF6AD9"/>
    <w:rsid w:val="00FF700D"/>
    <w:rsid w:val="00FF789C"/>
    <w:rsid w:val="01D91516"/>
    <w:rsid w:val="032A91B3"/>
    <w:rsid w:val="03E2DC1A"/>
    <w:rsid w:val="03E5147B"/>
    <w:rsid w:val="04EC6F2A"/>
    <w:rsid w:val="04F80083"/>
    <w:rsid w:val="050E7E72"/>
    <w:rsid w:val="0557A346"/>
    <w:rsid w:val="05B40881"/>
    <w:rsid w:val="076E1EEC"/>
    <w:rsid w:val="07DE8185"/>
    <w:rsid w:val="08C3CC28"/>
    <w:rsid w:val="093D45C3"/>
    <w:rsid w:val="0989C496"/>
    <w:rsid w:val="0ABBC29C"/>
    <w:rsid w:val="0B6C1F7D"/>
    <w:rsid w:val="0B70E794"/>
    <w:rsid w:val="0BE80704"/>
    <w:rsid w:val="0C9C8732"/>
    <w:rsid w:val="0CD10C98"/>
    <w:rsid w:val="0D95DB8A"/>
    <w:rsid w:val="0E0469A5"/>
    <w:rsid w:val="0E0E4E06"/>
    <w:rsid w:val="0F2300CA"/>
    <w:rsid w:val="0F7BCDD9"/>
    <w:rsid w:val="0F87ABDB"/>
    <w:rsid w:val="0FFDF937"/>
    <w:rsid w:val="102F84B9"/>
    <w:rsid w:val="11237982"/>
    <w:rsid w:val="11403B06"/>
    <w:rsid w:val="12A6BBB8"/>
    <w:rsid w:val="141D4692"/>
    <w:rsid w:val="15C2653F"/>
    <w:rsid w:val="16791DCE"/>
    <w:rsid w:val="16B590BA"/>
    <w:rsid w:val="17379112"/>
    <w:rsid w:val="185DE2EC"/>
    <w:rsid w:val="18A158CA"/>
    <w:rsid w:val="18CFD75D"/>
    <w:rsid w:val="18F96E89"/>
    <w:rsid w:val="194EE840"/>
    <w:rsid w:val="196A66DB"/>
    <w:rsid w:val="1A85CA7B"/>
    <w:rsid w:val="1BBEB633"/>
    <w:rsid w:val="1BC670E8"/>
    <w:rsid w:val="1CFD017A"/>
    <w:rsid w:val="1D9A2D05"/>
    <w:rsid w:val="1DAD5E5B"/>
    <w:rsid w:val="1E183249"/>
    <w:rsid w:val="1E561093"/>
    <w:rsid w:val="1EB88343"/>
    <w:rsid w:val="1EC03DF8"/>
    <w:rsid w:val="1EFD4761"/>
    <w:rsid w:val="1FA0CE9A"/>
    <w:rsid w:val="1FB8C807"/>
    <w:rsid w:val="1FC21653"/>
    <w:rsid w:val="2135AE8F"/>
    <w:rsid w:val="2204935C"/>
    <w:rsid w:val="221C573E"/>
    <w:rsid w:val="233E85CB"/>
    <w:rsid w:val="23993DC6"/>
    <w:rsid w:val="24801C00"/>
    <w:rsid w:val="2757A7F2"/>
    <w:rsid w:val="275ECA34"/>
    <w:rsid w:val="289B758D"/>
    <w:rsid w:val="28D25619"/>
    <w:rsid w:val="296A2DEB"/>
    <w:rsid w:val="29E21047"/>
    <w:rsid w:val="29F4B777"/>
    <w:rsid w:val="2AE577C0"/>
    <w:rsid w:val="2B0FE846"/>
    <w:rsid w:val="2B2A6EAF"/>
    <w:rsid w:val="2B5D950E"/>
    <w:rsid w:val="2CC70959"/>
    <w:rsid w:val="2D5E0DC6"/>
    <w:rsid w:val="2DCD426A"/>
    <w:rsid w:val="2E22A9E7"/>
    <w:rsid w:val="2FC634FD"/>
    <w:rsid w:val="30DD0357"/>
    <w:rsid w:val="312CE880"/>
    <w:rsid w:val="31837D2E"/>
    <w:rsid w:val="33E8AF0D"/>
    <w:rsid w:val="3507054B"/>
    <w:rsid w:val="350D60F9"/>
    <w:rsid w:val="3580B471"/>
    <w:rsid w:val="35B3DAD0"/>
    <w:rsid w:val="376F5F53"/>
    <w:rsid w:val="397C59DC"/>
    <w:rsid w:val="3A4C9DB0"/>
    <w:rsid w:val="3AD658BD"/>
    <w:rsid w:val="3B017E6B"/>
    <w:rsid w:val="3BAFF8F3"/>
    <w:rsid w:val="3C35C384"/>
    <w:rsid w:val="3D0173D1"/>
    <w:rsid w:val="3DB071AB"/>
    <w:rsid w:val="3DFD234F"/>
    <w:rsid w:val="407BE232"/>
    <w:rsid w:val="40849B37"/>
    <w:rsid w:val="41A5EE39"/>
    <w:rsid w:val="42315B65"/>
    <w:rsid w:val="424C6ACA"/>
    <w:rsid w:val="427C5AEA"/>
    <w:rsid w:val="434129DC"/>
    <w:rsid w:val="4396BDD9"/>
    <w:rsid w:val="458666B2"/>
    <w:rsid w:val="462CE089"/>
    <w:rsid w:val="4650D1D8"/>
    <w:rsid w:val="46544F60"/>
    <w:rsid w:val="48D56969"/>
    <w:rsid w:val="48E37FCC"/>
    <w:rsid w:val="496711FC"/>
    <w:rsid w:val="4993DCAD"/>
    <w:rsid w:val="49B475EE"/>
    <w:rsid w:val="4A261713"/>
    <w:rsid w:val="4AD227F4"/>
    <w:rsid w:val="4D34264E"/>
    <w:rsid w:val="4E82AD93"/>
    <w:rsid w:val="4EB40BCB"/>
    <w:rsid w:val="4F52F167"/>
    <w:rsid w:val="4F67F836"/>
    <w:rsid w:val="4F9E1133"/>
    <w:rsid w:val="509B1FB8"/>
    <w:rsid w:val="52B2812B"/>
    <w:rsid w:val="53187DD5"/>
    <w:rsid w:val="53CA6E4D"/>
    <w:rsid w:val="53F2D154"/>
    <w:rsid w:val="556708F7"/>
    <w:rsid w:val="55B84D27"/>
    <w:rsid w:val="55C33C5C"/>
    <w:rsid w:val="56183F32"/>
    <w:rsid w:val="562BD7E9"/>
    <w:rsid w:val="563CB8B1"/>
    <w:rsid w:val="567AB1E2"/>
    <w:rsid w:val="577FBC03"/>
    <w:rsid w:val="57E46714"/>
    <w:rsid w:val="588618D4"/>
    <w:rsid w:val="591DEA44"/>
    <w:rsid w:val="5A2B3781"/>
    <w:rsid w:val="5BB85CC1"/>
    <w:rsid w:val="5C415AD7"/>
    <w:rsid w:val="5DC88BCA"/>
    <w:rsid w:val="6090C612"/>
    <w:rsid w:val="614F3956"/>
    <w:rsid w:val="62003CC0"/>
    <w:rsid w:val="629DC355"/>
    <w:rsid w:val="62D0897D"/>
    <w:rsid w:val="62DC5E96"/>
    <w:rsid w:val="631116CD"/>
    <w:rsid w:val="63215585"/>
    <w:rsid w:val="633DE17E"/>
    <w:rsid w:val="648C6B7D"/>
    <w:rsid w:val="64DB4576"/>
    <w:rsid w:val="65203C65"/>
    <w:rsid w:val="652CBF31"/>
    <w:rsid w:val="655CAF51"/>
    <w:rsid w:val="65B8AFE5"/>
    <w:rsid w:val="661367E0"/>
    <w:rsid w:val="66435ABA"/>
    <w:rsid w:val="66933FE3"/>
    <w:rsid w:val="681A0975"/>
    <w:rsid w:val="687EB486"/>
    <w:rsid w:val="695854BC"/>
    <w:rsid w:val="697C03F2"/>
    <w:rsid w:val="697EF690"/>
    <w:rsid w:val="6A38D748"/>
    <w:rsid w:val="6B458889"/>
    <w:rsid w:val="6C277F70"/>
    <w:rsid w:val="6D066C07"/>
    <w:rsid w:val="6D6FE092"/>
    <w:rsid w:val="6DEE24FE"/>
    <w:rsid w:val="700A9358"/>
    <w:rsid w:val="703CB020"/>
    <w:rsid w:val="72E9FE5D"/>
    <w:rsid w:val="72F0273A"/>
    <w:rsid w:val="735BBFFD"/>
    <w:rsid w:val="73BD42E5"/>
    <w:rsid w:val="73F34CB7"/>
    <w:rsid w:val="73F3916D"/>
    <w:rsid w:val="75AC2098"/>
    <w:rsid w:val="76558D0D"/>
    <w:rsid w:val="77243F09"/>
    <w:rsid w:val="779600A9"/>
    <w:rsid w:val="7815D8AC"/>
    <w:rsid w:val="7B293101"/>
    <w:rsid w:val="7CD2E23A"/>
    <w:rsid w:val="7D205D2C"/>
    <w:rsid w:val="7D65541B"/>
    <w:rsid w:val="7E68BE4E"/>
    <w:rsid w:val="7FC74C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44EE39B8"/>
  <w15:docId w15:val="{3237003A-17CF-4A86-92B8-33FD8166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BE4EE4"/>
    <w:rPr>
      <w:color w:val="605E5C"/>
      <w:shd w:val="clear" w:color="auto" w:fill="E1DFDD"/>
    </w:rPr>
  </w:style>
  <w:style w:type="character" w:customStyle="1" w:styleId="item-value">
    <w:name w:val="item-value"/>
    <w:basedOn w:val="DefaultParagraphFont"/>
    <w:rsid w:val="00073D9E"/>
  </w:style>
  <w:style w:type="character" w:customStyle="1" w:styleId="UnresolvedMention">
    <w:name w:val="Unresolved Mention"/>
    <w:rsid w:val="00E23614"/>
    <w:rPr>
      <w:color w:val="605E5C"/>
      <w:shd w:val="clear" w:color="auto" w:fill="E1DFDD"/>
    </w:rPr>
  </w:style>
  <w:style w:type="character" w:customStyle="1" w:styleId="Mention">
    <w:name w:val="Mention"/>
    <w:rsid w:val="00E2361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131299931816/Redwire%20214%20Application.pdf" TargetMode="External" /><Relationship Id="rId2" Type="http://schemas.openxmlformats.org/officeDocument/2006/relationships/hyperlink" Target="mailto:hcinfo@usac.org"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