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CB78765" w14:textId="5AD13800">
      <w:pPr>
        <w:jc w:val="center"/>
        <w:rPr>
          <w:b/>
        </w:rPr>
      </w:pPr>
      <w:r w:rsidRPr="0070224F">
        <w:rPr>
          <w:rFonts w:ascii="Times New Roman Bold" w:hAnsi="Times New Roman Bold"/>
          <w:b/>
          <w:kern w:val="0"/>
          <w:szCs w:val="22"/>
        </w:rPr>
        <w:t>Before</w:t>
      </w:r>
      <w:r>
        <w:rPr>
          <w:b/>
        </w:rPr>
        <w:t xml:space="preserve"> the</w:t>
      </w:r>
    </w:p>
    <w:p w:rsidR="00921803" w:rsidP="00921803" w14:paraId="57D21AC9" w14:textId="77777777">
      <w:pPr>
        <w:pStyle w:val="StyleBoldCentered"/>
      </w:pPr>
      <w:r>
        <w:t>F</w:t>
      </w:r>
      <w:r>
        <w:rPr>
          <w:caps w:val="0"/>
        </w:rPr>
        <w:t>ederal Communications Commission</w:t>
      </w:r>
    </w:p>
    <w:p w:rsidR="004C2EE3" w:rsidP="00096D8C" w14:paraId="325A7CD8" w14:textId="77777777">
      <w:pPr>
        <w:pStyle w:val="StyleBoldCentered"/>
      </w:pPr>
      <w:r>
        <w:rPr>
          <w:caps w:val="0"/>
        </w:rPr>
        <w:t>Washington, D.C. 20554</w:t>
      </w:r>
    </w:p>
    <w:p w:rsidR="004C2EE3" w:rsidP="0070224F" w14:paraId="54742C8E" w14:textId="77777777"/>
    <w:p w:rsidR="004C2EE3" w:rsidP="0070224F" w14:paraId="07DE255F" w14:textId="77777777"/>
    <w:tbl>
      <w:tblPr>
        <w:tblW w:w="0" w:type="auto"/>
        <w:tblLayout w:type="fixed"/>
        <w:tblLook w:val="0000"/>
      </w:tblPr>
      <w:tblGrid>
        <w:gridCol w:w="4698"/>
        <w:gridCol w:w="630"/>
        <w:gridCol w:w="4248"/>
      </w:tblGrid>
      <w:tr w14:paraId="795B84FC" w14:textId="77777777">
        <w:tblPrEx>
          <w:tblW w:w="0" w:type="auto"/>
          <w:tblLayout w:type="fixed"/>
          <w:tblLook w:val="0000"/>
        </w:tblPrEx>
        <w:tc>
          <w:tcPr>
            <w:tcW w:w="4698" w:type="dxa"/>
          </w:tcPr>
          <w:p w:rsidR="004C2EE3" w14:paraId="704C628F" w14:textId="77777777">
            <w:pPr>
              <w:tabs>
                <w:tab w:val="center" w:pos="4680"/>
              </w:tabs>
              <w:suppressAutoHyphens/>
              <w:rPr>
                <w:spacing w:val="-2"/>
              </w:rPr>
            </w:pPr>
            <w:r>
              <w:rPr>
                <w:spacing w:val="-2"/>
              </w:rPr>
              <w:t>In the Matter of</w:t>
            </w:r>
          </w:p>
          <w:p w:rsidR="004C2EE3" w14:paraId="3D6DF8DE" w14:textId="77777777">
            <w:pPr>
              <w:tabs>
                <w:tab w:val="center" w:pos="4680"/>
              </w:tabs>
              <w:suppressAutoHyphens/>
              <w:rPr>
                <w:spacing w:val="-2"/>
              </w:rPr>
            </w:pPr>
          </w:p>
          <w:p w:rsidR="004928AF" w:rsidP="004928AF" w14:paraId="23891E37" w14:textId="77777777">
            <w:pPr>
              <w:widowControl/>
              <w:autoSpaceDE w:val="0"/>
              <w:autoSpaceDN w:val="0"/>
              <w:adjustRightInd w:val="0"/>
              <w:rPr>
                <w:snapToGrid/>
                <w:kern w:val="0"/>
                <w:szCs w:val="22"/>
              </w:rPr>
            </w:pPr>
            <w:r>
              <w:rPr>
                <w:snapToGrid/>
                <w:kern w:val="0"/>
                <w:szCs w:val="22"/>
              </w:rPr>
              <w:t>Skybridge Spectrum Foundation</w:t>
            </w:r>
          </w:p>
          <w:p w:rsidR="004928AF" w:rsidP="004928AF" w14:paraId="5E58E35E" w14:textId="77777777">
            <w:pPr>
              <w:widowControl/>
              <w:autoSpaceDE w:val="0"/>
              <w:autoSpaceDN w:val="0"/>
              <w:adjustRightInd w:val="0"/>
              <w:rPr>
                <w:snapToGrid/>
                <w:kern w:val="0"/>
                <w:szCs w:val="22"/>
              </w:rPr>
            </w:pPr>
            <w:r>
              <w:rPr>
                <w:snapToGrid/>
                <w:kern w:val="0"/>
                <w:szCs w:val="22"/>
              </w:rPr>
              <w:t>Telesaurus</w:t>
            </w:r>
            <w:r>
              <w:rPr>
                <w:snapToGrid/>
                <w:kern w:val="0"/>
                <w:szCs w:val="22"/>
              </w:rPr>
              <w:t xml:space="preserve"> Holdings GB LLC</w:t>
            </w:r>
          </w:p>
          <w:p w:rsidR="004928AF" w:rsidP="004928AF" w14:paraId="1317809E" w14:textId="77777777">
            <w:pPr>
              <w:widowControl/>
              <w:autoSpaceDE w:val="0"/>
              <w:autoSpaceDN w:val="0"/>
              <w:adjustRightInd w:val="0"/>
              <w:rPr>
                <w:snapToGrid/>
                <w:kern w:val="0"/>
                <w:szCs w:val="22"/>
              </w:rPr>
            </w:pPr>
            <w:r>
              <w:rPr>
                <w:snapToGrid/>
                <w:kern w:val="0"/>
                <w:szCs w:val="22"/>
              </w:rPr>
              <w:t>Verde Systems LLC</w:t>
            </w:r>
          </w:p>
          <w:p w:rsidR="004928AF" w:rsidP="004928AF" w14:paraId="07ADDD5B" w14:textId="77777777">
            <w:pPr>
              <w:widowControl/>
              <w:autoSpaceDE w:val="0"/>
              <w:autoSpaceDN w:val="0"/>
              <w:adjustRightInd w:val="0"/>
              <w:rPr>
                <w:snapToGrid/>
                <w:kern w:val="0"/>
                <w:szCs w:val="22"/>
              </w:rPr>
            </w:pPr>
            <w:r>
              <w:rPr>
                <w:snapToGrid/>
                <w:kern w:val="0"/>
                <w:szCs w:val="22"/>
              </w:rPr>
              <w:t>Environmentel</w:t>
            </w:r>
            <w:r>
              <w:rPr>
                <w:snapToGrid/>
                <w:kern w:val="0"/>
                <w:szCs w:val="22"/>
              </w:rPr>
              <w:t xml:space="preserve"> LLC</w:t>
            </w:r>
          </w:p>
          <w:p w:rsidR="004928AF" w:rsidP="004928AF" w14:paraId="3411A920" w14:textId="77777777">
            <w:pPr>
              <w:widowControl/>
              <w:autoSpaceDE w:val="0"/>
              <w:autoSpaceDN w:val="0"/>
              <w:adjustRightInd w:val="0"/>
              <w:rPr>
                <w:snapToGrid/>
                <w:kern w:val="0"/>
                <w:szCs w:val="22"/>
              </w:rPr>
            </w:pPr>
            <w:r>
              <w:rPr>
                <w:snapToGrid/>
                <w:kern w:val="0"/>
                <w:szCs w:val="22"/>
              </w:rPr>
              <w:t>Environmentel-2 LLC</w:t>
            </w:r>
          </w:p>
          <w:p w:rsidR="004928AF" w:rsidP="004928AF" w14:paraId="24920BE4" w14:textId="77777777">
            <w:pPr>
              <w:widowControl/>
              <w:autoSpaceDE w:val="0"/>
              <w:autoSpaceDN w:val="0"/>
              <w:adjustRightInd w:val="0"/>
              <w:rPr>
                <w:snapToGrid/>
                <w:kern w:val="0"/>
                <w:szCs w:val="22"/>
              </w:rPr>
            </w:pPr>
            <w:r>
              <w:rPr>
                <w:snapToGrid/>
                <w:kern w:val="0"/>
                <w:szCs w:val="22"/>
              </w:rPr>
              <w:t>Intelligent Transportation &amp; Monitoring Wireless</w:t>
            </w:r>
          </w:p>
          <w:p w:rsidR="004928AF" w:rsidP="004928AF" w14:paraId="11DEE673" w14:textId="77777777">
            <w:pPr>
              <w:widowControl/>
              <w:autoSpaceDE w:val="0"/>
              <w:autoSpaceDN w:val="0"/>
              <w:adjustRightInd w:val="0"/>
              <w:rPr>
                <w:snapToGrid/>
                <w:kern w:val="0"/>
                <w:szCs w:val="22"/>
              </w:rPr>
            </w:pPr>
            <w:r>
              <w:rPr>
                <w:snapToGrid/>
                <w:kern w:val="0"/>
                <w:szCs w:val="22"/>
              </w:rPr>
              <w:t>LLC</w:t>
            </w:r>
          </w:p>
          <w:p w:rsidR="004928AF" w:rsidP="004928AF" w14:paraId="2F3B7B3B" w14:textId="77777777">
            <w:pPr>
              <w:widowControl/>
              <w:autoSpaceDE w:val="0"/>
              <w:autoSpaceDN w:val="0"/>
              <w:adjustRightInd w:val="0"/>
              <w:rPr>
                <w:snapToGrid/>
                <w:kern w:val="0"/>
                <w:szCs w:val="22"/>
              </w:rPr>
            </w:pPr>
            <w:r>
              <w:rPr>
                <w:snapToGrid/>
                <w:kern w:val="0"/>
                <w:szCs w:val="22"/>
              </w:rPr>
              <w:t>V2G LLC</w:t>
            </w:r>
          </w:p>
          <w:p w:rsidR="00075AF3" w:rsidP="004928AF" w14:paraId="6E0BC056" w14:textId="77777777">
            <w:pPr>
              <w:widowControl/>
              <w:autoSpaceDE w:val="0"/>
              <w:autoSpaceDN w:val="0"/>
              <w:adjustRightInd w:val="0"/>
              <w:rPr>
                <w:snapToGrid/>
                <w:kern w:val="0"/>
                <w:szCs w:val="22"/>
              </w:rPr>
            </w:pPr>
          </w:p>
          <w:p w:rsidR="004928AF" w:rsidP="004928AF" w14:paraId="17F35BC8" w14:textId="77777777">
            <w:pPr>
              <w:widowControl/>
              <w:autoSpaceDE w:val="0"/>
              <w:autoSpaceDN w:val="0"/>
              <w:adjustRightInd w:val="0"/>
              <w:rPr>
                <w:snapToGrid/>
                <w:kern w:val="0"/>
                <w:szCs w:val="22"/>
              </w:rPr>
            </w:pPr>
            <w:r>
              <w:rPr>
                <w:snapToGrid/>
                <w:kern w:val="0"/>
                <w:szCs w:val="22"/>
              </w:rPr>
              <w:t>Petition for Declaratory Rulings, including under</w:t>
            </w:r>
          </w:p>
          <w:p w:rsidR="004928AF" w:rsidP="004928AF" w14:paraId="6E14B6DC" w14:textId="77777777">
            <w:pPr>
              <w:widowControl/>
              <w:autoSpaceDE w:val="0"/>
              <w:autoSpaceDN w:val="0"/>
              <w:adjustRightInd w:val="0"/>
              <w:rPr>
                <w:snapToGrid/>
                <w:kern w:val="0"/>
                <w:szCs w:val="22"/>
              </w:rPr>
            </w:pPr>
            <w:r>
              <w:rPr>
                <w:snapToGrid/>
                <w:kern w:val="0"/>
                <w:szCs w:val="22"/>
              </w:rPr>
              <w:t>holdings of the Third Circuit precedential decision</w:t>
            </w:r>
          </w:p>
          <w:p w:rsidR="004928AF" w:rsidP="004928AF" w14:paraId="2BB80066" w14:textId="77777777">
            <w:pPr>
              <w:widowControl/>
              <w:autoSpaceDE w:val="0"/>
              <w:autoSpaceDN w:val="0"/>
              <w:adjustRightInd w:val="0"/>
              <w:rPr>
                <w:i/>
                <w:iCs/>
                <w:snapToGrid/>
                <w:kern w:val="0"/>
                <w:szCs w:val="22"/>
              </w:rPr>
            </w:pPr>
            <w:r>
              <w:rPr>
                <w:snapToGrid/>
                <w:kern w:val="0"/>
                <w:szCs w:val="22"/>
              </w:rPr>
              <w:t xml:space="preserve">in </w:t>
            </w:r>
            <w:r>
              <w:rPr>
                <w:i/>
                <w:iCs/>
                <w:snapToGrid/>
                <w:kern w:val="0"/>
                <w:szCs w:val="22"/>
              </w:rPr>
              <w:t xml:space="preserve">Havens v </w:t>
            </w:r>
            <w:r>
              <w:rPr>
                <w:i/>
                <w:iCs/>
                <w:snapToGrid/>
                <w:kern w:val="0"/>
                <w:szCs w:val="22"/>
              </w:rPr>
              <w:t>Mobex</w:t>
            </w:r>
            <w:r>
              <w:rPr>
                <w:i/>
                <w:iCs/>
                <w:snapToGrid/>
                <w:kern w:val="0"/>
                <w:szCs w:val="22"/>
              </w:rPr>
              <w:t xml:space="preserve"> et al.</w:t>
            </w:r>
          </w:p>
          <w:p w:rsidR="00075AF3" w:rsidP="004928AF" w14:paraId="1F22BEE2" w14:textId="77777777">
            <w:pPr>
              <w:widowControl/>
              <w:autoSpaceDE w:val="0"/>
              <w:autoSpaceDN w:val="0"/>
              <w:adjustRightInd w:val="0"/>
              <w:rPr>
                <w:i/>
                <w:iCs/>
                <w:snapToGrid/>
                <w:kern w:val="0"/>
                <w:szCs w:val="22"/>
              </w:rPr>
            </w:pPr>
          </w:p>
          <w:p w:rsidR="004928AF" w:rsidP="004928AF" w14:paraId="4CF400E0" w14:textId="77777777">
            <w:pPr>
              <w:widowControl/>
              <w:autoSpaceDE w:val="0"/>
              <w:autoSpaceDN w:val="0"/>
              <w:adjustRightInd w:val="0"/>
              <w:rPr>
                <w:snapToGrid/>
                <w:kern w:val="0"/>
                <w:szCs w:val="22"/>
              </w:rPr>
            </w:pPr>
            <w:r>
              <w:rPr>
                <w:snapToGrid/>
                <w:kern w:val="0"/>
                <w:szCs w:val="22"/>
              </w:rPr>
              <w:t>Petition for a hearing on qualifications of Arnold</w:t>
            </w:r>
          </w:p>
          <w:p w:rsidR="004928AF" w:rsidP="004928AF" w14:paraId="47D27794" w14:textId="77777777">
            <w:pPr>
              <w:widowControl/>
              <w:autoSpaceDE w:val="0"/>
              <w:autoSpaceDN w:val="0"/>
              <w:adjustRightInd w:val="0"/>
              <w:rPr>
                <w:snapToGrid/>
                <w:kern w:val="0"/>
                <w:szCs w:val="22"/>
              </w:rPr>
            </w:pPr>
            <w:r>
              <w:rPr>
                <w:snapToGrid/>
                <w:kern w:val="0"/>
                <w:szCs w:val="22"/>
              </w:rPr>
              <w:t>Leong (and co-actors, assignees and others) to</w:t>
            </w:r>
          </w:p>
          <w:p w:rsidR="004928AF" w:rsidP="004928AF" w14:paraId="70423950" w14:textId="77777777">
            <w:pPr>
              <w:widowControl/>
              <w:autoSpaceDE w:val="0"/>
              <w:autoSpaceDN w:val="0"/>
              <w:adjustRightInd w:val="0"/>
              <w:rPr>
                <w:snapToGrid/>
                <w:kern w:val="0"/>
                <w:szCs w:val="22"/>
              </w:rPr>
            </w:pPr>
            <w:r>
              <w:rPr>
                <w:snapToGrid/>
                <w:kern w:val="0"/>
                <w:szCs w:val="22"/>
              </w:rPr>
              <w:t>hold any control or material interests in the</w:t>
            </w:r>
          </w:p>
          <w:p w:rsidR="004928AF" w:rsidP="004928AF" w14:paraId="379D9605" w14:textId="77777777">
            <w:pPr>
              <w:widowControl/>
              <w:autoSpaceDE w:val="0"/>
              <w:autoSpaceDN w:val="0"/>
              <w:adjustRightInd w:val="0"/>
              <w:rPr>
                <w:snapToGrid/>
                <w:kern w:val="0"/>
                <w:szCs w:val="22"/>
              </w:rPr>
            </w:pPr>
            <w:r>
              <w:rPr>
                <w:snapToGrid/>
                <w:kern w:val="0"/>
                <w:szCs w:val="22"/>
              </w:rPr>
              <w:t>subject, or any other, FCC licenses, license</w:t>
            </w:r>
          </w:p>
          <w:p w:rsidR="004928AF" w:rsidP="004928AF" w14:paraId="3390FD48" w14:textId="77777777">
            <w:pPr>
              <w:widowControl/>
              <w:autoSpaceDE w:val="0"/>
              <w:autoSpaceDN w:val="0"/>
              <w:adjustRightInd w:val="0"/>
              <w:rPr>
                <w:snapToGrid/>
                <w:kern w:val="0"/>
                <w:szCs w:val="22"/>
              </w:rPr>
            </w:pPr>
            <w:r>
              <w:rPr>
                <w:snapToGrid/>
                <w:kern w:val="0"/>
                <w:szCs w:val="22"/>
              </w:rPr>
              <w:t>applications, and proceeds of license transactions,</w:t>
            </w:r>
          </w:p>
          <w:p w:rsidR="004928AF" w:rsidP="004928AF" w14:paraId="5C518739" w14:textId="77777777">
            <w:pPr>
              <w:widowControl/>
              <w:autoSpaceDE w:val="0"/>
              <w:autoSpaceDN w:val="0"/>
              <w:adjustRightInd w:val="0"/>
              <w:rPr>
                <w:snapToGrid/>
                <w:kern w:val="0"/>
                <w:szCs w:val="22"/>
              </w:rPr>
            </w:pPr>
            <w:r>
              <w:rPr>
                <w:snapToGrid/>
                <w:kern w:val="0"/>
                <w:szCs w:val="22"/>
              </w:rPr>
              <w:t>and on related sanctions and forfeitures</w:t>
            </w:r>
          </w:p>
          <w:p w:rsidR="00075AF3" w:rsidP="004928AF" w14:paraId="443CBF98" w14:textId="77777777">
            <w:pPr>
              <w:widowControl/>
              <w:autoSpaceDE w:val="0"/>
              <w:autoSpaceDN w:val="0"/>
              <w:adjustRightInd w:val="0"/>
              <w:rPr>
                <w:snapToGrid/>
                <w:kern w:val="0"/>
                <w:szCs w:val="22"/>
              </w:rPr>
            </w:pPr>
          </w:p>
          <w:p w:rsidR="004928AF" w:rsidP="004928AF" w14:paraId="3EBD8E44" w14:textId="77777777">
            <w:pPr>
              <w:widowControl/>
              <w:autoSpaceDE w:val="0"/>
              <w:autoSpaceDN w:val="0"/>
              <w:adjustRightInd w:val="0"/>
              <w:rPr>
                <w:snapToGrid/>
                <w:kern w:val="0"/>
                <w:szCs w:val="22"/>
              </w:rPr>
            </w:pPr>
            <w:r>
              <w:rPr>
                <w:snapToGrid/>
                <w:kern w:val="0"/>
                <w:szCs w:val="22"/>
              </w:rPr>
              <w:t>Petition to issue a stay, in addition to the</w:t>
            </w:r>
          </w:p>
          <w:p w:rsidR="004928AF" w:rsidP="004928AF" w14:paraId="0907AA83" w14:textId="77777777">
            <w:pPr>
              <w:widowControl/>
              <w:autoSpaceDE w:val="0"/>
              <w:autoSpaceDN w:val="0"/>
              <w:adjustRightInd w:val="0"/>
              <w:rPr>
                <w:snapToGrid/>
                <w:kern w:val="0"/>
                <w:szCs w:val="22"/>
              </w:rPr>
            </w:pPr>
            <w:r>
              <w:rPr>
                <w:snapToGrid/>
                <w:kern w:val="0"/>
                <w:szCs w:val="22"/>
              </w:rPr>
              <w:t>bankruptcy automatic stay under the pending</w:t>
            </w:r>
          </w:p>
          <w:p w:rsidR="004928AF" w:rsidP="004928AF" w14:paraId="062514F9" w14:textId="77777777">
            <w:pPr>
              <w:widowControl/>
              <w:autoSpaceDE w:val="0"/>
              <w:autoSpaceDN w:val="0"/>
              <w:adjustRightInd w:val="0"/>
              <w:rPr>
                <w:snapToGrid/>
                <w:kern w:val="0"/>
                <w:szCs w:val="22"/>
              </w:rPr>
            </w:pPr>
            <w:r>
              <w:rPr>
                <w:snapToGrid/>
                <w:kern w:val="0"/>
                <w:szCs w:val="22"/>
              </w:rPr>
              <w:t>SkyTel</w:t>
            </w:r>
            <w:r>
              <w:rPr>
                <w:snapToGrid/>
                <w:kern w:val="0"/>
                <w:szCs w:val="22"/>
              </w:rPr>
              <w:t xml:space="preserve"> JV chapter 11 case (USBK) previously</w:t>
            </w:r>
          </w:p>
          <w:p w:rsidR="004928AF" w:rsidP="004928AF" w14:paraId="57A23C78" w14:textId="697EE373">
            <w:pPr>
              <w:widowControl/>
              <w:autoSpaceDE w:val="0"/>
              <w:autoSpaceDN w:val="0"/>
              <w:adjustRightInd w:val="0"/>
              <w:rPr>
                <w:snapToGrid/>
                <w:kern w:val="0"/>
                <w:szCs w:val="22"/>
              </w:rPr>
            </w:pPr>
            <w:r>
              <w:rPr>
                <w:snapToGrid/>
                <w:kern w:val="0"/>
                <w:szCs w:val="22"/>
              </w:rPr>
              <w:t>N</w:t>
            </w:r>
            <w:r>
              <w:rPr>
                <w:snapToGrid/>
                <w:kern w:val="0"/>
                <w:szCs w:val="22"/>
              </w:rPr>
              <w:t>oticed</w:t>
            </w:r>
          </w:p>
          <w:p w:rsidR="00075AF3" w:rsidP="004928AF" w14:paraId="2F3F5DC0" w14:textId="77777777">
            <w:pPr>
              <w:widowControl/>
              <w:autoSpaceDE w:val="0"/>
              <w:autoSpaceDN w:val="0"/>
              <w:adjustRightInd w:val="0"/>
              <w:rPr>
                <w:snapToGrid/>
                <w:kern w:val="0"/>
                <w:szCs w:val="22"/>
              </w:rPr>
            </w:pPr>
          </w:p>
          <w:p w:rsidR="004928AF" w:rsidP="004928AF" w14:paraId="05F6A149" w14:textId="77777777">
            <w:pPr>
              <w:widowControl/>
              <w:autoSpaceDE w:val="0"/>
              <w:autoSpaceDN w:val="0"/>
              <w:adjustRightInd w:val="0"/>
              <w:rPr>
                <w:snapToGrid/>
                <w:kern w:val="0"/>
                <w:szCs w:val="22"/>
              </w:rPr>
            </w:pPr>
            <w:r>
              <w:rPr>
                <w:snapToGrid/>
                <w:kern w:val="0"/>
                <w:szCs w:val="22"/>
              </w:rPr>
              <w:t>Petition for Declaratory Ruling Clarifying Any</w:t>
            </w:r>
          </w:p>
          <w:p w:rsidR="004928AF" w:rsidP="004928AF" w14:paraId="61963141" w14:textId="77777777">
            <w:pPr>
              <w:widowControl/>
              <w:autoSpaceDE w:val="0"/>
              <w:autoSpaceDN w:val="0"/>
              <w:adjustRightInd w:val="0"/>
              <w:rPr>
                <w:snapToGrid/>
                <w:kern w:val="0"/>
                <w:szCs w:val="22"/>
              </w:rPr>
            </w:pPr>
            <w:r>
              <w:rPr>
                <w:snapToGrid/>
                <w:kern w:val="0"/>
                <w:szCs w:val="22"/>
              </w:rPr>
              <w:t>Uncertainty Regarding the Sale of Licenses Held</w:t>
            </w:r>
          </w:p>
          <w:p w:rsidR="004928AF" w:rsidP="004928AF" w14:paraId="59EC6C3E" w14:textId="77777777">
            <w:pPr>
              <w:widowControl/>
              <w:autoSpaceDE w:val="0"/>
              <w:autoSpaceDN w:val="0"/>
              <w:adjustRightInd w:val="0"/>
              <w:rPr>
                <w:snapToGrid/>
                <w:kern w:val="0"/>
                <w:szCs w:val="22"/>
              </w:rPr>
            </w:pPr>
            <w:r>
              <w:rPr>
                <w:snapToGrid/>
                <w:kern w:val="0"/>
                <w:szCs w:val="22"/>
              </w:rPr>
              <w:t>by the Foregoing Entities for the Benefit of Dr.</w:t>
            </w:r>
          </w:p>
          <w:p w:rsidR="004928AF" w:rsidP="004928AF" w14:paraId="5E017A5C" w14:textId="77777777">
            <w:pPr>
              <w:widowControl/>
              <w:autoSpaceDE w:val="0"/>
              <w:autoSpaceDN w:val="0"/>
              <w:adjustRightInd w:val="0"/>
              <w:rPr>
                <w:snapToGrid/>
                <w:kern w:val="0"/>
                <w:szCs w:val="22"/>
              </w:rPr>
            </w:pPr>
            <w:r>
              <w:rPr>
                <w:snapToGrid/>
                <w:kern w:val="0"/>
                <w:szCs w:val="22"/>
              </w:rPr>
              <w:t>Arnold Leong Consistent with State Court</w:t>
            </w:r>
          </w:p>
          <w:p w:rsidR="004928AF" w:rsidP="004928AF" w14:paraId="79C01494" w14:textId="77777777">
            <w:pPr>
              <w:widowControl/>
              <w:autoSpaceDE w:val="0"/>
              <w:autoSpaceDN w:val="0"/>
              <w:adjustRightInd w:val="0"/>
              <w:rPr>
                <w:snapToGrid/>
                <w:kern w:val="0"/>
                <w:szCs w:val="22"/>
              </w:rPr>
            </w:pPr>
            <w:r>
              <w:rPr>
                <w:snapToGrid/>
                <w:kern w:val="0"/>
                <w:szCs w:val="22"/>
              </w:rPr>
              <w:t>Proceedings Confirming the Arbitration Award in</w:t>
            </w:r>
          </w:p>
          <w:p w:rsidR="004C2EE3" w:rsidRPr="007115F7" w:rsidP="004928AF" w14:paraId="3EF12C4C" w14:textId="58E266F4">
            <w:pPr>
              <w:tabs>
                <w:tab w:val="center" w:pos="4680"/>
              </w:tabs>
              <w:suppressAutoHyphens/>
              <w:rPr>
                <w:spacing w:val="-2"/>
              </w:rPr>
            </w:pPr>
            <w:r>
              <w:rPr>
                <w:snapToGrid/>
                <w:kern w:val="0"/>
                <w:szCs w:val="22"/>
              </w:rPr>
              <w:t>His Favor</w:t>
            </w:r>
          </w:p>
        </w:tc>
        <w:tc>
          <w:tcPr>
            <w:tcW w:w="630" w:type="dxa"/>
          </w:tcPr>
          <w:p w:rsidR="004C2EE3" w14:paraId="453D3CAC" w14:textId="77777777">
            <w:pPr>
              <w:tabs>
                <w:tab w:val="center" w:pos="4680"/>
              </w:tabs>
              <w:suppressAutoHyphens/>
              <w:rPr>
                <w:b/>
                <w:spacing w:val="-2"/>
              </w:rPr>
            </w:pPr>
            <w:r>
              <w:rPr>
                <w:b/>
                <w:spacing w:val="-2"/>
              </w:rPr>
              <w:t>)</w:t>
            </w:r>
          </w:p>
          <w:p w:rsidR="004C2EE3" w14:paraId="594D5CE3" w14:textId="77777777">
            <w:pPr>
              <w:tabs>
                <w:tab w:val="center" w:pos="4680"/>
              </w:tabs>
              <w:suppressAutoHyphens/>
              <w:rPr>
                <w:b/>
                <w:spacing w:val="-2"/>
              </w:rPr>
            </w:pPr>
            <w:r>
              <w:rPr>
                <w:b/>
                <w:spacing w:val="-2"/>
              </w:rPr>
              <w:t>)</w:t>
            </w:r>
          </w:p>
          <w:p w:rsidR="004C2EE3" w14:paraId="07F15878" w14:textId="77777777">
            <w:pPr>
              <w:tabs>
                <w:tab w:val="center" w:pos="4680"/>
              </w:tabs>
              <w:suppressAutoHyphens/>
              <w:rPr>
                <w:b/>
                <w:spacing w:val="-2"/>
              </w:rPr>
            </w:pPr>
            <w:r>
              <w:rPr>
                <w:b/>
                <w:spacing w:val="-2"/>
              </w:rPr>
              <w:t>)</w:t>
            </w:r>
          </w:p>
          <w:p w:rsidR="004C2EE3" w14:paraId="50DBAB91" w14:textId="77777777">
            <w:pPr>
              <w:tabs>
                <w:tab w:val="center" w:pos="4680"/>
              </w:tabs>
              <w:suppressAutoHyphens/>
              <w:rPr>
                <w:b/>
                <w:spacing w:val="-2"/>
              </w:rPr>
            </w:pPr>
            <w:r>
              <w:rPr>
                <w:b/>
                <w:spacing w:val="-2"/>
              </w:rPr>
              <w:t>)</w:t>
            </w:r>
          </w:p>
          <w:p w:rsidR="004C2EE3" w14:paraId="1651A774" w14:textId="77777777">
            <w:pPr>
              <w:tabs>
                <w:tab w:val="center" w:pos="4680"/>
              </w:tabs>
              <w:suppressAutoHyphens/>
              <w:rPr>
                <w:b/>
                <w:spacing w:val="-2"/>
              </w:rPr>
            </w:pPr>
            <w:r>
              <w:rPr>
                <w:b/>
                <w:spacing w:val="-2"/>
              </w:rPr>
              <w:t>)</w:t>
            </w:r>
          </w:p>
          <w:p w:rsidR="004C2EE3" w14:paraId="5591D572" w14:textId="77777777">
            <w:pPr>
              <w:tabs>
                <w:tab w:val="center" w:pos="4680"/>
              </w:tabs>
              <w:suppressAutoHyphens/>
              <w:rPr>
                <w:b/>
                <w:spacing w:val="-2"/>
              </w:rPr>
            </w:pPr>
            <w:r>
              <w:rPr>
                <w:b/>
                <w:spacing w:val="-2"/>
              </w:rPr>
              <w:t>)</w:t>
            </w:r>
          </w:p>
          <w:p w:rsidR="004C2EE3" w14:paraId="56B65B1E" w14:textId="77777777">
            <w:pPr>
              <w:tabs>
                <w:tab w:val="center" w:pos="4680"/>
              </w:tabs>
              <w:suppressAutoHyphens/>
              <w:rPr>
                <w:b/>
                <w:spacing w:val="-2"/>
              </w:rPr>
            </w:pPr>
            <w:r>
              <w:rPr>
                <w:b/>
                <w:spacing w:val="-2"/>
              </w:rPr>
              <w:t>)</w:t>
            </w:r>
          </w:p>
          <w:p w:rsidR="004C2EE3" w14:paraId="2CD26C89" w14:textId="77777777">
            <w:pPr>
              <w:tabs>
                <w:tab w:val="center" w:pos="4680"/>
              </w:tabs>
              <w:suppressAutoHyphens/>
              <w:rPr>
                <w:b/>
                <w:spacing w:val="-2"/>
              </w:rPr>
            </w:pPr>
            <w:r>
              <w:rPr>
                <w:b/>
                <w:spacing w:val="-2"/>
              </w:rPr>
              <w:t>)</w:t>
            </w:r>
          </w:p>
          <w:p w:rsidR="004C2EE3" w14:paraId="4DB4A08F" w14:textId="77777777">
            <w:pPr>
              <w:tabs>
                <w:tab w:val="center" w:pos="4680"/>
              </w:tabs>
              <w:suppressAutoHyphens/>
              <w:rPr>
                <w:b/>
                <w:spacing w:val="-2"/>
              </w:rPr>
            </w:pPr>
            <w:r>
              <w:rPr>
                <w:b/>
                <w:spacing w:val="-2"/>
              </w:rPr>
              <w:t>)</w:t>
            </w:r>
          </w:p>
          <w:p w:rsidR="00075AF3" w14:paraId="234F2456" w14:textId="77777777">
            <w:pPr>
              <w:tabs>
                <w:tab w:val="center" w:pos="4680"/>
              </w:tabs>
              <w:suppressAutoHyphens/>
              <w:rPr>
                <w:b/>
                <w:spacing w:val="-2"/>
              </w:rPr>
            </w:pPr>
            <w:r>
              <w:rPr>
                <w:b/>
                <w:spacing w:val="-2"/>
              </w:rPr>
              <w:t>)</w:t>
            </w:r>
          </w:p>
          <w:p w:rsidR="00075AF3" w14:paraId="67F5F19A" w14:textId="77777777">
            <w:pPr>
              <w:tabs>
                <w:tab w:val="center" w:pos="4680"/>
              </w:tabs>
              <w:suppressAutoHyphens/>
              <w:rPr>
                <w:b/>
                <w:spacing w:val="-2"/>
              </w:rPr>
            </w:pPr>
            <w:r>
              <w:rPr>
                <w:b/>
                <w:spacing w:val="-2"/>
              </w:rPr>
              <w:t>)</w:t>
            </w:r>
          </w:p>
          <w:p w:rsidR="00075AF3" w14:paraId="486D37E6" w14:textId="77777777">
            <w:pPr>
              <w:tabs>
                <w:tab w:val="center" w:pos="4680"/>
              </w:tabs>
              <w:suppressAutoHyphens/>
              <w:rPr>
                <w:b/>
                <w:spacing w:val="-2"/>
              </w:rPr>
            </w:pPr>
            <w:r>
              <w:rPr>
                <w:b/>
                <w:spacing w:val="-2"/>
              </w:rPr>
              <w:t>)</w:t>
            </w:r>
          </w:p>
          <w:p w:rsidR="00075AF3" w14:paraId="67FE8B26" w14:textId="77777777">
            <w:pPr>
              <w:tabs>
                <w:tab w:val="center" w:pos="4680"/>
              </w:tabs>
              <w:suppressAutoHyphens/>
              <w:rPr>
                <w:b/>
                <w:spacing w:val="-2"/>
              </w:rPr>
            </w:pPr>
            <w:r>
              <w:rPr>
                <w:b/>
                <w:spacing w:val="-2"/>
              </w:rPr>
              <w:t>)</w:t>
            </w:r>
          </w:p>
          <w:p w:rsidR="00075AF3" w14:paraId="71030E3D" w14:textId="77777777">
            <w:pPr>
              <w:tabs>
                <w:tab w:val="center" w:pos="4680"/>
              </w:tabs>
              <w:suppressAutoHyphens/>
              <w:rPr>
                <w:b/>
                <w:spacing w:val="-2"/>
              </w:rPr>
            </w:pPr>
            <w:r>
              <w:rPr>
                <w:b/>
                <w:spacing w:val="-2"/>
              </w:rPr>
              <w:t>)</w:t>
            </w:r>
          </w:p>
          <w:p w:rsidR="00075AF3" w14:paraId="66BD8F00" w14:textId="77777777">
            <w:pPr>
              <w:tabs>
                <w:tab w:val="center" w:pos="4680"/>
              </w:tabs>
              <w:suppressAutoHyphens/>
              <w:rPr>
                <w:b/>
                <w:spacing w:val="-2"/>
              </w:rPr>
            </w:pPr>
            <w:r>
              <w:rPr>
                <w:b/>
                <w:spacing w:val="-2"/>
              </w:rPr>
              <w:t>)</w:t>
            </w:r>
            <w:r>
              <w:rPr>
                <w:b/>
                <w:spacing w:val="-2"/>
              </w:rPr>
              <w:br/>
              <w:t>)</w:t>
            </w:r>
          </w:p>
          <w:p w:rsidR="00075AF3" w14:paraId="2C772E15" w14:textId="77777777">
            <w:pPr>
              <w:tabs>
                <w:tab w:val="center" w:pos="4680"/>
              </w:tabs>
              <w:suppressAutoHyphens/>
              <w:rPr>
                <w:b/>
                <w:spacing w:val="-2"/>
              </w:rPr>
            </w:pPr>
            <w:r>
              <w:rPr>
                <w:b/>
                <w:spacing w:val="-2"/>
              </w:rPr>
              <w:t>)</w:t>
            </w:r>
          </w:p>
          <w:p w:rsidR="00075AF3" w14:paraId="215D4FE5" w14:textId="77777777">
            <w:pPr>
              <w:tabs>
                <w:tab w:val="center" w:pos="4680"/>
              </w:tabs>
              <w:suppressAutoHyphens/>
              <w:rPr>
                <w:b/>
                <w:spacing w:val="-2"/>
              </w:rPr>
            </w:pPr>
            <w:r>
              <w:rPr>
                <w:b/>
                <w:spacing w:val="-2"/>
              </w:rPr>
              <w:t>)</w:t>
            </w:r>
          </w:p>
          <w:p w:rsidR="00075AF3" w14:paraId="5EC09469" w14:textId="77777777">
            <w:pPr>
              <w:tabs>
                <w:tab w:val="center" w:pos="4680"/>
              </w:tabs>
              <w:suppressAutoHyphens/>
              <w:rPr>
                <w:b/>
                <w:spacing w:val="-2"/>
              </w:rPr>
            </w:pPr>
            <w:r>
              <w:rPr>
                <w:b/>
                <w:spacing w:val="-2"/>
              </w:rPr>
              <w:t>)</w:t>
            </w:r>
          </w:p>
          <w:p w:rsidR="00075AF3" w14:paraId="36011405" w14:textId="77777777">
            <w:pPr>
              <w:tabs>
                <w:tab w:val="center" w:pos="4680"/>
              </w:tabs>
              <w:suppressAutoHyphens/>
              <w:rPr>
                <w:b/>
                <w:spacing w:val="-2"/>
              </w:rPr>
            </w:pPr>
            <w:r>
              <w:rPr>
                <w:b/>
                <w:spacing w:val="-2"/>
              </w:rPr>
              <w:t>)</w:t>
            </w:r>
          </w:p>
          <w:p w:rsidR="00075AF3" w14:paraId="5CB97D45" w14:textId="77777777">
            <w:pPr>
              <w:tabs>
                <w:tab w:val="center" w:pos="4680"/>
              </w:tabs>
              <w:suppressAutoHyphens/>
              <w:rPr>
                <w:b/>
                <w:spacing w:val="-2"/>
              </w:rPr>
            </w:pPr>
            <w:r>
              <w:rPr>
                <w:b/>
                <w:spacing w:val="-2"/>
              </w:rPr>
              <w:t>)</w:t>
            </w:r>
          </w:p>
          <w:p w:rsidR="00075AF3" w14:paraId="154A447C" w14:textId="77777777">
            <w:pPr>
              <w:tabs>
                <w:tab w:val="center" w:pos="4680"/>
              </w:tabs>
              <w:suppressAutoHyphens/>
              <w:rPr>
                <w:b/>
                <w:spacing w:val="-2"/>
              </w:rPr>
            </w:pPr>
            <w:r>
              <w:rPr>
                <w:b/>
                <w:spacing w:val="-2"/>
              </w:rPr>
              <w:t>)</w:t>
            </w:r>
          </w:p>
          <w:p w:rsidR="00075AF3" w14:paraId="51718AF9" w14:textId="77777777">
            <w:pPr>
              <w:tabs>
                <w:tab w:val="center" w:pos="4680"/>
              </w:tabs>
              <w:suppressAutoHyphens/>
              <w:rPr>
                <w:b/>
                <w:spacing w:val="-2"/>
              </w:rPr>
            </w:pPr>
            <w:r>
              <w:rPr>
                <w:b/>
                <w:spacing w:val="-2"/>
              </w:rPr>
              <w:t>)</w:t>
            </w:r>
          </w:p>
          <w:p w:rsidR="00075AF3" w14:paraId="27948EF4" w14:textId="77777777">
            <w:pPr>
              <w:tabs>
                <w:tab w:val="center" w:pos="4680"/>
              </w:tabs>
              <w:suppressAutoHyphens/>
              <w:rPr>
                <w:b/>
                <w:spacing w:val="-2"/>
              </w:rPr>
            </w:pPr>
            <w:r>
              <w:rPr>
                <w:b/>
                <w:spacing w:val="-2"/>
              </w:rPr>
              <w:t>)</w:t>
            </w:r>
          </w:p>
          <w:p w:rsidR="00075AF3" w14:paraId="31F87040" w14:textId="77777777">
            <w:pPr>
              <w:tabs>
                <w:tab w:val="center" w:pos="4680"/>
              </w:tabs>
              <w:suppressAutoHyphens/>
              <w:rPr>
                <w:b/>
                <w:spacing w:val="-2"/>
              </w:rPr>
            </w:pPr>
            <w:r>
              <w:rPr>
                <w:b/>
                <w:spacing w:val="-2"/>
              </w:rPr>
              <w:t>)</w:t>
            </w:r>
          </w:p>
          <w:p w:rsidR="00075AF3" w14:paraId="6EBDA83B" w14:textId="77777777">
            <w:pPr>
              <w:tabs>
                <w:tab w:val="center" w:pos="4680"/>
              </w:tabs>
              <w:suppressAutoHyphens/>
              <w:rPr>
                <w:b/>
                <w:spacing w:val="-2"/>
              </w:rPr>
            </w:pPr>
            <w:r>
              <w:rPr>
                <w:b/>
                <w:spacing w:val="-2"/>
              </w:rPr>
              <w:t>)</w:t>
            </w:r>
          </w:p>
          <w:p w:rsidR="00075AF3" w14:paraId="304FBA36" w14:textId="77777777">
            <w:pPr>
              <w:tabs>
                <w:tab w:val="center" w:pos="4680"/>
              </w:tabs>
              <w:suppressAutoHyphens/>
              <w:rPr>
                <w:b/>
                <w:spacing w:val="-2"/>
              </w:rPr>
            </w:pPr>
            <w:r>
              <w:rPr>
                <w:b/>
                <w:spacing w:val="-2"/>
              </w:rPr>
              <w:t>)</w:t>
            </w:r>
          </w:p>
          <w:p w:rsidR="00075AF3" w14:paraId="4B5CC56E" w14:textId="77777777">
            <w:pPr>
              <w:tabs>
                <w:tab w:val="center" w:pos="4680"/>
              </w:tabs>
              <w:suppressAutoHyphens/>
              <w:rPr>
                <w:b/>
                <w:spacing w:val="-2"/>
              </w:rPr>
            </w:pPr>
            <w:r>
              <w:rPr>
                <w:b/>
                <w:spacing w:val="-2"/>
              </w:rPr>
              <w:t>)</w:t>
            </w:r>
          </w:p>
          <w:p w:rsidR="00075AF3" w14:paraId="29C01775" w14:textId="77777777">
            <w:pPr>
              <w:tabs>
                <w:tab w:val="center" w:pos="4680"/>
              </w:tabs>
              <w:suppressAutoHyphens/>
              <w:rPr>
                <w:b/>
                <w:spacing w:val="-2"/>
              </w:rPr>
            </w:pPr>
            <w:r>
              <w:rPr>
                <w:b/>
                <w:spacing w:val="-2"/>
              </w:rPr>
              <w:t>)</w:t>
            </w:r>
          </w:p>
          <w:p w:rsidR="00075AF3" w14:paraId="19EBCCD3" w14:textId="77777777">
            <w:pPr>
              <w:tabs>
                <w:tab w:val="center" w:pos="4680"/>
              </w:tabs>
              <w:suppressAutoHyphens/>
              <w:rPr>
                <w:b/>
                <w:spacing w:val="-2"/>
              </w:rPr>
            </w:pPr>
            <w:r>
              <w:rPr>
                <w:b/>
                <w:spacing w:val="-2"/>
              </w:rPr>
              <w:t>)</w:t>
            </w:r>
          </w:p>
          <w:p w:rsidR="00075AF3" w14:paraId="228121B8" w14:textId="77777777">
            <w:pPr>
              <w:tabs>
                <w:tab w:val="center" w:pos="4680"/>
              </w:tabs>
              <w:suppressAutoHyphens/>
              <w:rPr>
                <w:b/>
                <w:spacing w:val="-2"/>
              </w:rPr>
            </w:pPr>
            <w:r>
              <w:rPr>
                <w:b/>
                <w:spacing w:val="-2"/>
              </w:rPr>
              <w:t>)</w:t>
            </w:r>
          </w:p>
          <w:p w:rsidR="00075AF3" w14:paraId="689D03F1" w14:textId="77777777">
            <w:pPr>
              <w:tabs>
                <w:tab w:val="center" w:pos="4680"/>
              </w:tabs>
              <w:suppressAutoHyphens/>
              <w:rPr>
                <w:b/>
                <w:spacing w:val="-2"/>
              </w:rPr>
            </w:pPr>
            <w:r>
              <w:rPr>
                <w:b/>
                <w:spacing w:val="-2"/>
              </w:rPr>
              <w:t xml:space="preserve">) </w:t>
            </w:r>
          </w:p>
          <w:p w:rsidR="00075AF3" w14:paraId="756247AD" w14:textId="77777777">
            <w:pPr>
              <w:tabs>
                <w:tab w:val="center" w:pos="4680"/>
              </w:tabs>
              <w:suppressAutoHyphens/>
              <w:rPr>
                <w:b/>
                <w:spacing w:val="-2"/>
              </w:rPr>
            </w:pPr>
            <w:r>
              <w:rPr>
                <w:b/>
                <w:spacing w:val="-2"/>
              </w:rPr>
              <w:t>)</w:t>
            </w:r>
          </w:p>
          <w:p w:rsidR="00075AF3" w14:paraId="7012869C" w14:textId="49E647B2">
            <w:pPr>
              <w:tabs>
                <w:tab w:val="center" w:pos="4680"/>
              </w:tabs>
              <w:suppressAutoHyphens/>
              <w:rPr>
                <w:b/>
                <w:spacing w:val="-2"/>
              </w:rPr>
            </w:pPr>
            <w:r>
              <w:rPr>
                <w:b/>
                <w:spacing w:val="-2"/>
              </w:rPr>
              <w:t>)</w:t>
            </w:r>
          </w:p>
          <w:p w:rsidR="00075AF3" w14:paraId="1F9A870F" w14:textId="5664B221">
            <w:pPr>
              <w:tabs>
                <w:tab w:val="center" w:pos="4680"/>
              </w:tabs>
              <w:suppressAutoHyphens/>
              <w:rPr>
                <w:spacing w:val="-2"/>
              </w:rPr>
            </w:pPr>
          </w:p>
        </w:tc>
        <w:tc>
          <w:tcPr>
            <w:tcW w:w="4248" w:type="dxa"/>
          </w:tcPr>
          <w:p w:rsidR="004C2EE3" w14:paraId="063C0246" w14:textId="77777777">
            <w:pPr>
              <w:tabs>
                <w:tab w:val="center" w:pos="4680"/>
              </w:tabs>
              <w:suppressAutoHyphens/>
              <w:rPr>
                <w:spacing w:val="-2"/>
              </w:rPr>
            </w:pPr>
          </w:p>
          <w:p w:rsidR="004C2EE3" w14:paraId="472FF745" w14:textId="77777777">
            <w:pPr>
              <w:pStyle w:val="TOAHeading"/>
              <w:tabs>
                <w:tab w:val="center" w:pos="4680"/>
                <w:tab w:val="clear" w:pos="9360"/>
              </w:tabs>
              <w:rPr>
                <w:spacing w:val="-2"/>
              </w:rPr>
            </w:pPr>
          </w:p>
          <w:p w:rsidR="004C2EE3" w14:paraId="11774026" w14:textId="2DA787DE">
            <w:pPr>
              <w:tabs>
                <w:tab w:val="center" w:pos="4680"/>
              </w:tabs>
              <w:suppressAutoHyphens/>
              <w:rPr>
                <w:snapToGrid/>
                <w:kern w:val="0"/>
                <w:szCs w:val="22"/>
              </w:rPr>
            </w:pPr>
            <w:r>
              <w:rPr>
                <w:snapToGrid/>
                <w:kern w:val="0"/>
                <w:szCs w:val="22"/>
              </w:rPr>
              <w:t>EB Docket No. 11-71</w:t>
            </w:r>
            <w:r w:rsidR="00620EA0">
              <w:rPr>
                <w:snapToGrid/>
                <w:kern w:val="0"/>
                <w:szCs w:val="22"/>
              </w:rPr>
              <w:t xml:space="preserve"> </w:t>
            </w:r>
          </w:p>
          <w:p w:rsidR="00526355" w:rsidRPr="00526355" w14:paraId="2ECD7400" w14:textId="77777777">
            <w:pPr>
              <w:tabs>
                <w:tab w:val="center" w:pos="4680"/>
              </w:tabs>
              <w:suppressAutoHyphens/>
              <w:rPr>
                <w:snapToGrid/>
                <w:kern w:val="0"/>
                <w:szCs w:val="22"/>
              </w:rPr>
            </w:pPr>
          </w:p>
          <w:p w:rsidR="00526355" w:rsidRPr="00F34B76" w:rsidP="00526355" w14:paraId="190504E4" w14:textId="77777777">
            <w:pPr>
              <w:widowControl/>
              <w:autoSpaceDE w:val="0"/>
              <w:autoSpaceDN w:val="0"/>
              <w:adjustRightInd w:val="0"/>
              <w:rPr>
                <w:snapToGrid/>
                <w:kern w:val="0"/>
                <w:szCs w:val="22"/>
              </w:rPr>
            </w:pPr>
            <w:r w:rsidRPr="00F34B76">
              <w:rPr>
                <w:snapToGrid/>
                <w:kern w:val="0"/>
                <w:szCs w:val="22"/>
              </w:rPr>
              <w:t>Among 'lead' Call Signs:</w:t>
            </w:r>
          </w:p>
          <w:p w:rsidR="00526355" w:rsidRPr="00F34B76" w:rsidP="00526355" w14:paraId="709964E2" w14:textId="77777777">
            <w:pPr>
              <w:widowControl/>
              <w:autoSpaceDE w:val="0"/>
              <w:autoSpaceDN w:val="0"/>
              <w:adjustRightInd w:val="0"/>
              <w:rPr>
                <w:snapToGrid/>
                <w:kern w:val="0"/>
                <w:szCs w:val="22"/>
              </w:rPr>
            </w:pPr>
            <w:r w:rsidRPr="00F34B76">
              <w:rPr>
                <w:snapToGrid/>
                <w:kern w:val="0"/>
                <w:szCs w:val="22"/>
              </w:rPr>
              <w:t>WQHU548, WPOJ876,</w:t>
            </w:r>
          </w:p>
          <w:p w:rsidR="00526355" w:rsidRPr="00F34B76" w:rsidP="00526355" w14:paraId="47C02BEF" w14:textId="77777777">
            <w:pPr>
              <w:widowControl/>
              <w:autoSpaceDE w:val="0"/>
              <w:autoSpaceDN w:val="0"/>
              <w:adjustRightInd w:val="0"/>
              <w:rPr>
                <w:snapToGrid/>
                <w:kern w:val="0"/>
                <w:szCs w:val="22"/>
              </w:rPr>
            </w:pPr>
            <w:r w:rsidRPr="00F34B76">
              <w:rPr>
                <w:snapToGrid/>
                <w:kern w:val="0"/>
                <w:szCs w:val="22"/>
              </w:rPr>
              <w:t>WQCP815, WQCP810,</w:t>
            </w:r>
          </w:p>
          <w:p w:rsidR="00526355" w:rsidRPr="00F34B76" w:rsidP="00526355" w14:paraId="32625727" w14:textId="77777777">
            <w:pPr>
              <w:widowControl/>
              <w:autoSpaceDE w:val="0"/>
              <w:autoSpaceDN w:val="0"/>
              <w:adjustRightInd w:val="0"/>
              <w:rPr>
                <w:snapToGrid/>
                <w:kern w:val="0"/>
                <w:szCs w:val="22"/>
              </w:rPr>
            </w:pPr>
            <w:r w:rsidRPr="00F34B76">
              <w:rPr>
                <w:snapToGrid/>
                <w:kern w:val="0"/>
                <w:szCs w:val="22"/>
              </w:rPr>
              <w:t>WQNZ336, WQER215,</w:t>
            </w:r>
          </w:p>
          <w:p w:rsidR="00526355" w:rsidRPr="00F34B76" w:rsidP="00526355" w14:paraId="01B63928" w14:textId="77777777">
            <w:pPr>
              <w:widowControl/>
              <w:autoSpaceDE w:val="0"/>
              <w:autoSpaceDN w:val="0"/>
              <w:adjustRightInd w:val="0"/>
              <w:rPr>
                <w:snapToGrid/>
                <w:kern w:val="0"/>
                <w:szCs w:val="22"/>
              </w:rPr>
            </w:pPr>
            <w:r w:rsidRPr="00F34B76">
              <w:rPr>
                <w:snapToGrid/>
                <w:kern w:val="0"/>
                <w:szCs w:val="22"/>
              </w:rPr>
              <w:t>WQMU210, WQMU215</w:t>
            </w:r>
          </w:p>
          <w:p w:rsidR="00526355" w:rsidRPr="00F34B76" w:rsidP="00526355" w14:paraId="46BB59AB" w14:textId="77777777">
            <w:pPr>
              <w:widowControl/>
              <w:autoSpaceDE w:val="0"/>
              <w:autoSpaceDN w:val="0"/>
              <w:adjustRightInd w:val="0"/>
              <w:rPr>
                <w:snapToGrid/>
                <w:kern w:val="0"/>
                <w:szCs w:val="22"/>
              </w:rPr>
            </w:pPr>
            <w:r w:rsidRPr="00F34B76">
              <w:rPr>
                <w:snapToGrid/>
                <w:kern w:val="0"/>
                <w:szCs w:val="22"/>
              </w:rPr>
              <w:t>Among 'lead' applications:</w:t>
            </w:r>
          </w:p>
          <w:p w:rsidR="00526355" w:rsidRPr="00F34B76" w:rsidP="00526355" w14:paraId="1C6BE06C" w14:textId="77777777">
            <w:pPr>
              <w:widowControl/>
              <w:autoSpaceDE w:val="0"/>
              <w:autoSpaceDN w:val="0"/>
              <w:adjustRightInd w:val="0"/>
              <w:rPr>
                <w:snapToGrid/>
                <w:kern w:val="0"/>
                <w:szCs w:val="22"/>
              </w:rPr>
            </w:pPr>
            <w:r w:rsidRPr="00F34B76">
              <w:rPr>
                <w:snapToGrid/>
                <w:kern w:val="0"/>
                <w:szCs w:val="22"/>
              </w:rPr>
              <w:t>0007060862, 0007061847,</w:t>
            </w:r>
          </w:p>
          <w:p w:rsidR="00526355" w:rsidP="00526355" w14:paraId="162DE29E" w14:textId="718D5DE8">
            <w:pPr>
              <w:tabs>
                <w:tab w:val="center" w:pos="4680"/>
              </w:tabs>
              <w:suppressAutoHyphens/>
              <w:rPr>
                <w:spacing w:val="-2"/>
              </w:rPr>
            </w:pPr>
            <w:r w:rsidRPr="00F34B76">
              <w:rPr>
                <w:snapToGrid/>
                <w:kern w:val="0"/>
                <w:szCs w:val="22"/>
              </w:rPr>
              <w:t>0007067613</w:t>
            </w:r>
          </w:p>
        </w:tc>
      </w:tr>
    </w:tbl>
    <w:p w:rsidR="004C2EE3" w:rsidP="0070224F" w14:paraId="4709C396" w14:textId="77777777"/>
    <w:p w:rsidR="00841AB1" w:rsidP="00F021FA" w14:paraId="5CA13E10" w14:textId="39253AF0">
      <w:pPr>
        <w:pStyle w:val="StyleBoldCentered"/>
      </w:pPr>
      <w:r>
        <w:t>order</w:t>
      </w:r>
    </w:p>
    <w:p w:rsidR="004C2EE3" w14:paraId="30D6CD38" w14:textId="77777777">
      <w:pPr>
        <w:tabs>
          <w:tab w:val="left" w:pos="-720"/>
        </w:tabs>
        <w:suppressAutoHyphens/>
        <w:spacing w:line="227" w:lineRule="auto"/>
        <w:rPr>
          <w:spacing w:val="-2"/>
        </w:rPr>
      </w:pPr>
    </w:p>
    <w:p w:rsidR="004C2EE3" w:rsidP="00133F79" w14:paraId="3B8BBC47" w14:textId="64E5347B">
      <w:pPr>
        <w:tabs>
          <w:tab w:val="left" w:pos="720"/>
          <w:tab w:val="right" w:pos="9360"/>
        </w:tabs>
        <w:suppressAutoHyphens/>
        <w:spacing w:line="227" w:lineRule="auto"/>
        <w:rPr>
          <w:spacing w:val="-2"/>
        </w:rPr>
      </w:pPr>
      <w:r>
        <w:rPr>
          <w:b/>
          <w:spacing w:val="-2"/>
        </w:rPr>
        <w:t xml:space="preserve">Adopted:  </w:t>
      </w:r>
      <w:r w:rsidR="00C47AF7">
        <w:rPr>
          <w:b/>
          <w:spacing w:val="-2"/>
        </w:rPr>
        <w:t xml:space="preserve">June </w:t>
      </w:r>
      <w:r w:rsidR="00B4337D">
        <w:rPr>
          <w:b/>
          <w:spacing w:val="-2"/>
        </w:rPr>
        <w:t>24</w:t>
      </w:r>
      <w:r w:rsidR="00C47AF7">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47AF7">
        <w:rPr>
          <w:b/>
          <w:spacing w:val="-2"/>
        </w:rPr>
        <w:t xml:space="preserve">June </w:t>
      </w:r>
      <w:r w:rsidR="00B4337D">
        <w:rPr>
          <w:b/>
          <w:spacing w:val="-2"/>
        </w:rPr>
        <w:t>24</w:t>
      </w:r>
      <w:r w:rsidR="00C47AF7">
        <w:rPr>
          <w:b/>
          <w:spacing w:val="-2"/>
        </w:rPr>
        <w:t>, 2022</w:t>
      </w:r>
    </w:p>
    <w:p w:rsidR="00822CE0" w14:paraId="7AC2CEF3" w14:textId="77777777"/>
    <w:p w:rsidR="004C2EE3" w14:paraId="1E8A3458" w14:textId="23A85247">
      <w:pPr>
        <w:rPr>
          <w:spacing w:val="-2"/>
        </w:rPr>
      </w:pPr>
      <w:r>
        <w:t xml:space="preserve">By </w:t>
      </w:r>
      <w:r w:rsidR="004E4A22">
        <w:t>the</w:t>
      </w:r>
      <w:r w:rsidR="002A2D2E">
        <w:t xml:space="preserve"> </w:t>
      </w:r>
      <w:r w:rsidR="00302D3C">
        <w:t>Act</w:t>
      </w:r>
      <w:r w:rsidR="00612D7C">
        <w:t xml:space="preserve">ing </w:t>
      </w:r>
      <w:r w:rsidR="007C6BAC">
        <w:rPr>
          <w:spacing w:val="-2"/>
        </w:rPr>
        <w:t>Ch</w:t>
      </w:r>
      <w:r w:rsidR="005E35E4">
        <w:rPr>
          <w:spacing w:val="-2"/>
        </w:rPr>
        <w:t>ief</w:t>
      </w:r>
      <w:r w:rsidR="00CC3B5D">
        <w:rPr>
          <w:spacing w:val="-2"/>
        </w:rPr>
        <w:t xml:space="preserve">, </w:t>
      </w:r>
      <w:r w:rsidR="005E35E4">
        <w:rPr>
          <w:spacing w:val="-2"/>
        </w:rPr>
        <w:t xml:space="preserve"> Wireless Telecommunication Bureau</w:t>
      </w:r>
      <w:r>
        <w:rPr>
          <w:spacing w:val="-2"/>
        </w:rPr>
        <w:t>:</w:t>
      </w:r>
    </w:p>
    <w:p w:rsidR="00822CE0" w14:paraId="3706D562" w14:textId="77777777">
      <w:pPr>
        <w:rPr>
          <w:spacing w:val="-2"/>
        </w:rPr>
      </w:pPr>
    </w:p>
    <w:p w:rsidR="00012F55" w:rsidP="00F53FCD" w14:paraId="0AC9BB08" w14:textId="1E7EA682">
      <w:pPr>
        <w:pStyle w:val="Heading1"/>
      </w:pPr>
      <w:r>
        <w:t>introduction</w:t>
      </w:r>
    </w:p>
    <w:p w:rsidR="00F53FCD" w:rsidP="00370637" w14:paraId="1AAA43D0" w14:textId="3F20C6DC">
      <w:pPr>
        <w:pStyle w:val="ParaNum"/>
      </w:pPr>
      <w:r w:rsidRPr="007B7C11">
        <w:t xml:space="preserve">On April 14, 2022, </w:t>
      </w:r>
      <w:r w:rsidR="00992F63">
        <w:t xml:space="preserve">Warren </w:t>
      </w:r>
      <w:r w:rsidRPr="007B7C11">
        <w:t>Havens</w:t>
      </w:r>
      <w:r w:rsidR="00DA2F90">
        <w:t xml:space="preserve"> and Polaris PNT 1 PBC LLC</w:t>
      </w:r>
      <w:r w:rsidR="005038D4">
        <w:t xml:space="preserve"> </w:t>
      </w:r>
      <w:r w:rsidR="00992F63">
        <w:t>(</w:t>
      </w:r>
      <w:r w:rsidR="00DA2F90">
        <w:t xml:space="preserve">together, </w:t>
      </w:r>
      <w:r w:rsidR="00992F63">
        <w:t>Havens)</w:t>
      </w:r>
      <w:r w:rsidRPr="007B7C11">
        <w:t xml:space="preserve"> filed a</w:t>
      </w:r>
      <w:r w:rsidR="00E838ED">
        <w:t xml:space="preserve"> </w:t>
      </w:r>
      <w:r w:rsidR="009A2E6F">
        <w:t xml:space="preserve">motion </w:t>
      </w:r>
      <w:r w:rsidR="009C3F8B">
        <w:t>to</w:t>
      </w:r>
      <w:r w:rsidR="009A2E6F">
        <w:t xml:space="preserve"> </w:t>
      </w:r>
      <w:r w:rsidR="00E838ED">
        <w:t>stay</w:t>
      </w:r>
      <w:r w:rsidR="0018299B">
        <w:t xml:space="preserve"> the implementation</w:t>
      </w:r>
      <w:r w:rsidR="00DA611B">
        <w:t xml:space="preserve"> of all aspects </w:t>
      </w:r>
      <w:r w:rsidR="00784A47">
        <w:t>of</w:t>
      </w:r>
      <w:r w:rsidRPr="007B7C11">
        <w:t xml:space="preserve"> the </w:t>
      </w:r>
      <w:r w:rsidR="006F4A32">
        <w:t>Wir</w:t>
      </w:r>
      <w:r w:rsidR="006050FC">
        <w:t>e</w:t>
      </w:r>
      <w:r w:rsidR="006F4A32">
        <w:t>less Telecommunication</w:t>
      </w:r>
      <w:r w:rsidR="00396597">
        <w:t>s</w:t>
      </w:r>
      <w:r w:rsidR="006F4A32">
        <w:t xml:space="preserve"> </w:t>
      </w:r>
      <w:r w:rsidRPr="007B7C11">
        <w:t>Bureau</w:t>
      </w:r>
      <w:r w:rsidR="006050FC">
        <w:t>’s</w:t>
      </w:r>
      <w:r w:rsidR="006F4A32">
        <w:t xml:space="preserve"> (Bur</w:t>
      </w:r>
      <w:r w:rsidR="00195B73">
        <w:t>eau)</w:t>
      </w:r>
      <w:r w:rsidRPr="007B7C11">
        <w:t xml:space="preserve"> </w:t>
      </w:r>
      <w:r w:rsidRPr="00C5786B">
        <w:t>M</w:t>
      </w:r>
      <w:r w:rsidRPr="00C5786B" w:rsidR="00992F63">
        <w:t>emo</w:t>
      </w:r>
      <w:r w:rsidRPr="00C5786B" w:rsidR="00195B73">
        <w:t>randum Opinion and Order</w:t>
      </w:r>
      <w:r w:rsidR="00992141">
        <w:t xml:space="preserve"> released on April 11, 2022</w:t>
      </w:r>
      <w:r w:rsidR="0018299B">
        <w:t xml:space="preserve"> (Motion)</w:t>
      </w:r>
      <w:r w:rsidR="001106F0">
        <w:t>.</w:t>
      </w:r>
      <w:r>
        <w:rPr>
          <w:rStyle w:val="FootnoteReference"/>
        </w:rPr>
        <w:footnoteReference w:id="3"/>
      </w:r>
      <w:r w:rsidR="00761186">
        <w:t xml:space="preserve">  The April Order</w:t>
      </w:r>
      <w:r w:rsidR="00A7384C">
        <w:t xml:space="preserve"> </w:t>
      </w:r>
      <w:r w:rsidR="00262E4A">
        <w:t>relates to</w:t>
      </w:r>
      <w:r w:rsidR="00CA60B8">
        <w:t xml:space="preserve"> </w:t>
      </w:r>
      <w:r w:rsidR="009A2E6F">
        <w:t xml:space="preserve">wireless </w:t>
      </w:r>
      <w:r w:rsidR="00554798">
        <w:t xml:space="preserve">radio </w:t>
      </w:r>
      <w:r w:rsidR="00CA60B8">
        <w:t xml:space="preserve">licenses </w:t>
      </w:r>
      <w:r w:rsidR="0038684F">
        <w:t xml:space="preserve">held by entities </w:t>
      </w:r>
      <w:r w:rsidR="00CA60B8">
        <w:t xml:space="preserve">formerly controlled </w:t>
      </w:r>
      <w:r w:rsidR="00E56539">
        <w:t xml:space="preserve">by </w:t>
      </w:r>
      <w:r w:rsidR="00CA60B8">
        <w:t>Havens</w:t>
      </w:r>
      <w:r w:rsidR="0038684F">
        <w:t xml:space="preserve"> and now in a receivership</w:t>
      </w:r>
      <w:r w:rsidR="009A2E6F">
        <w:t xml:space="preserve"> established </w:t>
      </w:r>
      <w:r w:rsidR="00652FF8">
        <w:t>by</w:t>
      </w:r>
      <w:r w:rsidR="009A2E6F">
        <w:t xml:space="preserve"> </w:t>
      </w:r>
      <w:r w:rsidR="00AA3D4C">
        <w:t xml:space="preserve">California state court </w:t>
      </w:r>
      <w:r w:rsidR="009A2E6F">
        <w:t>litigation</w:t>
      </w:r>
      <w:r w:rsidR="00782615">
        <w:t>.  This litigation,</w:t>
      </w:r>
      <w:r w:rsidR="009A2E6F">
        <w:t xml:space="preserve"> between Havens and his former business partner Dr.</w:t>
      </w:r>
      <w:r w:rsidR="00397C94">
        <w:t xml:space="preserve"> </w:t>
      </w:r>
      <w:r w:rsidR="009A2E6F">
        <w:t>Arnold Leong</w:t>
      </w:r>
      <w:r w:rsidR="00036918">
        <w:t xml:space="preserve"> </w:t>
      </w:r>
      <w:r w:rsidR="00AA3D4C">
        <w:t>(Leong)</w:t>
      </w:r>
      <w:r w:rsidR="00782615">
        <w:t>, c</w:t>
      </w:r>
      <w:r w:rsidR="00036918">
        <w:t>oncern</w:t>
      </w:r>
      <w:r w:rsidR="005279C6">
        <w:t>s the</w:t>
      </w:r>
      <w:r w:rsidR="00036918">
        <w:t xml:space="preserve"> </w:t>
      </w:r>
      <w:r w:rsidR="00782615">
        <w:t xml:space="preserve">past and future </w:t>
      </w:r>
      <w:r w:rsidR="00036918">
        <w:t>ownership and control of these licenses.</w:t>
      </w:r>
      <w:r>
        <w:rPr>
          <w:rStyle w:val="FootnoteReference"/>
        </w:rPr>
        <w:footnoteReference w:id="4"/>
      </w:r>
      <w:r w:rsidR="00036918">
        <w:t xml:space="preserve">  The April Order</w:t>
      </w:r>
      <w:r w:rsidR="00262E4A">
        <w:t>, consistent with an arbitration award approved by the California court,</w:t>
      </w:r>
      <w:r w:rsidR="00036918">
        <w:t xml:space="preserve"> resolve</w:t>
      </w:r>
      <w:r w:rsidR="00397C94">
        <w:t>d</w:t>
      </w:r>
      <w:r w:rsidR="00036918">
        <w:t xml:space="preserve"> issues related to</w:t>
      </w:r>
      <w:r w:rsidR="00AA3D4C">
        <w:t xml:space="preserve"> Commission action</w:t>
      </w:r>
      <w:r w:rsidR="00151A2B">
        <w:t xml:space="preserve"> regarding these licenses</w:t>
      </w:r>
      <w:r w:rsidR="000235C2">
        <w:t>,</w:t>
      </w:r>
      <w:r w:rsidR="00AA3D4C">
        <w:t xml:space="preserve"> including </w:t>
      </w:r>
      <w:r w:rsidR="008626AF">
        <w:t>the conditions under which</w:t>
      </w:r>
      <w:r w:rsidR="00AA3D4C">
        <w:t xml:space="preserve"> the Commission might approve sale of </w:t>
      </w:r>
      <w:r w:rsidR="007B1B9D">
        <w:t xml:space="preserve">the </w:t>
      </w:r>
      <w:r w:rsidR="00AA3D4C">
        <w:t>licenses by the receiver</w:t>
      </w:r>
      <w:r w:rsidR="006F6328">
        <w:t>.</w:t>
      </w:r>
      <w:r>
        <w:rPr>
          <w:rStyle w:val="FootnoteReference"/>
        </w:rPr>
        <w:footnoteReference w:id="5"/>
      </w:r>
      <w:r w:rsidR="00992141">
        <w:t xml:space="preserve">  </w:t>
      </w:r>
      <w:r w:rsidR="003D1F62">
        <w:t>In the Motion,</w:t>
      </w:r>
      <w:r w:rsidR="00F91CB1">
        <w:t xml:space="preserve"> </w:t>
      </w:r>
      <w:r w:rsidR="00752F78">
        <w:t>Havens</w:t>
      </w:r>
      <w:r w:rsidR="002B03DD">
        <w:t xml:space="preserve"> </w:t>
      </w:r>
      <w:r w:rsidR="00B948B7">
        <w:t xml:space="preserve">relies on </w:t>
      </w:r>
      <w:r w:rsidR="00F91CB1">
        <w:t>his separate pleading filed April 11, 2022</w:t>
      </w:r>
      <w:r w:rsidR="00B01DB9">
        <w:t>—referred</w:t>
      </w:r>
      <w:r w:rsidR="007D0F35">
        <w:t xml:space="preserve"> to</w:t>
      </w:r>
      <w:r w:rsidR="006D56C9">
        <w:t xml:space="preserve"> </w:t>
      </w:r>
      <w:r w:rsidR="00B948B7">
        <w:t xml:space="preserve">as </w:t>
      </w:r>
      <w:r w:rsidR="007D0F35">
        <w:t>h</w:t>
      </w:r>
      <w:r w:rsidR="002B03DD">
        <w:t>is</w:t>
      </w:r>
      <w:r w:rsidR="00F91CB1">
        <w:t xml:space="preserve"> “Initial Challenge”</w:t>
      </w:r>
      <w:r w:rsidR="00B01DB9">
        <w:t xml:space="preserve">—in </w:t>
      </w:r>
      <w:r w:rsidR="002B03DD">
        <w:t xml:space="preserve">which he </w:t>
      </w:r>
      <w:r w:rsidR="00355F67">
        <w:t>o</w:t>
      </w:r>
      <w:r w:rsidR="0001780F">
        <w:t xml:space="preserve">bjects to </w:t>
      </w:r>
      <w:r w:rsidR="00DA611B">
        <w:t xml:space="preserve">various aspects of </w:t>
      </w:r>
      <w:r w:rsidR="00F91CB1">
        <w:t>the April Order.</w:t>
      </w:r>
      <w:r>
        <w:rPr>
          <w:rStyle w:val="FootnoteReference"/>
        </w:rPr>
        <w:footnoteReference w:id="6"/>
      </w:r>
      <w:r w:rsidR="00F91CB1">
        <w:t xml:space="preserve">  </w:t>
      </w:r>
      <w:r w:rsidRPr="007B7C11">
        <w:t xml:space="preserve">In </w:t>
      </w:r>
      <w:r w:rsidR="00036BC6">
        <w:t xml:space="preserve">the present </w:t>
      </w:r>
      <w:r>
        <w:t>O</w:t>
      </w:r>
      <w:r w:rsidRPr="007B7C11">
        <w:t xml:space="preserve">rder, </w:t>
      </w:r>
      <w:r w:rsidR="00E95AF0">
        <w:t xml:space="preserve">for the reasons explained below, </w:t>
      </w:r>
      <w:r w:rsidRPr="007B7C11">
        <w:t>we den</w:t>
      </w:r>
      <w:r w:rsidR="00C812B0">
        <w:t>y</w:t>
      </w:r>
      <w:r w:rsidR="00992141">
        <w:t xml:space="preserve"> </w:t>
      </w:r>
      <w:r w:rsidR="00992141">
        <w:t>Havens</w:t>
      </w:r>
      <w:r w:rsidR="00910DD9">
        <w:t>’</w:t>
      </w:r>
      <w:r w:rsidR="00C556DF">
        <w:t>s</w:t>
      </w:r>
      <w:r w:rsidR="005325F7">
        <w:t xml:space="preserve"> </w:t>
      </w:r>
      <w:r w:rsidR="00952D1B">
        <w:t>Motion</w:t>
      </w:r>
      <w:r w:rsidRPr="007B7C11">
        <w:t xml:space="preserve"> </w:t>
      </w:r>
      <w:r w:rsidR="00C556DF">
        <w:t xml:space="preserve">because </w:t>
      </w:r>
      <w:r w:rsidRPr="007B7C11">
        <w:t>Haven</w:t>
      </w:r>
      <w:r w:rsidR="00910DD9">
        <w:t>s</w:t>
      </w:r>
      <w:r w:rsidRPr="007B7C11">
        <w:t xml:space="preserve"> fail</w:t>
      </w:r>
      <w:r w:rsidR="00C556DF">
        <w:t>s</w:t>
      </w:r>
      <w:r w:rsidRPr="007B7C11">
        <w:t xml:space="preserve"> to satisfy the well-established criteria</w:t>
      </w:r>
      <w:r w:rsidR="005516B6">
        <w:t xml:space="preserve"> described in the </w:t>
      </w:r>
      <w:r w:rsidRPr="00D71D55" w:rsidR="005516B6">
        <w:rPr>
          <w:i/>
          <w:iCs/>
        </w:rPr>
        <w:t>Petroleum Jobbers</w:t>
      </w:r>
      <w:r w:rsidR="005516B6">
        <w:t xml:space="preserve"> case that the Commission uses to decide whether to grant a stay.</w:t>
      </w:r>
      <w:r>
        <w:rPr>
          <w:rStyle w:val="FootnoteReference"/>
        </w:rPr>
        <w:footnoteReference w:id="7"/>
      </w:r>
      <w:r w:rsidR="00A1432E">
        <w:t xml:space="preserve"> </w:t>
      </w:r>
      <w:r w:rsidR="00370637">
        <w:t xml:space="preserve"> </w:t>
      </w:r>
    </w:p>
    <w:p w:rsidR="004F1281" w:rsidP="004F1281" w14:paraId="6A3AAEE0" w14:textId="1FB434B8">
      <w:pPr>
        <w:pStyle w:val="Heading1"/>
      </w:pPr>
      <w:r>
        <w:t xml:space="preserve">Background </w:t>
      </w:r>
    </w:p>
    <w:p w:rsidR="00EE4400" w:rsidP="004B644F" w14:paraId="5136DB99" w14:textId="7FDAC603">
      <w:pPr>
        <w:pStyle w:val="ParaNum"/>
      </w:pPr>
      <w:r>
        <w:t>In the April Order, the Bureau</w:t>
      </w:r>
      <w:r w:rsidR="007F61FA">
        <w:t xml:space="preserve"> </w:t>
      </w:r>
      <w:r w:rsidR="004A23EF">
        <w:t>ruled on petitions filed by both Havens and Leong.  The Bureau</w:t>
      </w:r>
      <w:r>
        <w:t xml:space="preserve"> </w:t>
      </w:r>
      <w:r w:rsidR="006155D4">
        <w:t xml:space="preserve">first </w:t>
      </w:r>
      <w:r>
        <w:t xml:space="preserve">addressed </w:t>
      </w:r>
      <w:r w:rsidR="009845A8">
        <w:t>Havens’s</w:t>
      </w:r>
      <w:r w:rsidR="009845A8">
        <w:t xml:space="preserve"> requests </w:t>
      </w:r>
      <w:r>
        <w:t>that the Commission issue a declaratory ruling</w:t>
      </w:r>
      <w:r w:rsidR="00160436">
        <w:t xml:space="preserve"> faulting Leong’s </w:t>
      </w:r>
      <w:r w:rsidR="00F34E4D">
        <w:t>conduct with re</w:t>
      </w:r>
      <w:r w:rsidR="00A500C4">
        <w:t>spe</w:t>
      </w:r>
      <w:r w:rsidR="00F34E4D">
        <w:t xml:space="preserve">ct to the </w:t>
      </w:r>
      <w:r w:rsidR="00BB50A5">
        <w:t>L</w:t>
      </w:r>
      <w:r w:rsidR="00F34E4D">
        <w:t>icenses</w:t>
      </w:r>
      <w:r w:rsidR="009845A8">
        <w:t>,</w:t>
      </w:r>
      <w:r>
        <w:t xml:space="preserve"> initiate a hearing on the qualifications of Leong to hold </w:t>
      </w:r>
      <w:r w:rsidR="00EE744E">
        <w:t>FCC</w:t>
      </w:r>
      <w:r w:rsidR="009845A8">
        <w:t xml:space="preserve"> </w:t>
      </w:r>
      <w:r>
        <w:t>licenses, a</w:t>
      </w:r>
      <w:r w:rsidR="009845A8">
        <w:t>nd</w:t>
      </w:r>
      <w:r>
        <w:t xml:space="preserve"> issue a stay of any licensing action involving the licenses captioned in the April Order.</w:t>
      </w:r>
      <w:r>
        <w:rPr>
          <w:rStyle w:val="FootnoteReference"/>
        </w:rPr>
        <w:footnoteReference w:id="8"/>
      </w:r>
      <w:r w:rsidR="009845A8">
        <w:t xml:space="preserve">  </w:t>
      </w:r>
      <w:r w:rsidR="004C22F4">
        <w:t>W</w:t>
      </w:r>
      <w:r w:rsidR="004718B9">
        <w:t xml:space="preserve">e found nothing in the Havens Petition that justified </w:t>
      </w:r>
      <w:r w:rsidR="00EE2C91">
        <w:t xml:space="preserve">the requested </w:t>
      </w:r>
      <w:r w:rsidR="004718B9">
        <w:t xml:space="preserve">declaratory ruling, a stay, or the initiation of a hearing on the character qualifications of Leong, and therefore, we denied the Havens Petition in its entirety.  </w:t>
      </w:r>
      <w:r w:rsidR="001126D4">
        <w:t xml:space="preserve">The Bureau found that </w:t>
      </w:r>
      <w:r w:rsidR="001126D4">
        <w:t>Havens’</w:t>
      </w:r>
      <w:r w:rsidR="00613513">
        <w:t>s</w:t>
      </w:r>
      <w:r w:rsidR="001126D4">
        <w:t xml:space="preserve"> request for a declaratory ruling was misplaced and his allegations against Leong raised no substantial question of fact that would justify a character qualification </w:t>
      </w:r>
      <w:r w:rsidR="001126D4">
        <w:t>hearing against Leong.</w:t>
      </w:r>
      <w:r>
        <w:rPr>
          <w:rStyle w:val="FootnoteReference"/>
        </w:rPr>
        <w:footnoteReference w:id="9"/>
      </w:r>
      <w:r w:rsidR="001126D4">
        <w:t xml:space="preserve">  Regarding </w:t>
      </w:r>
      <w:r w:rsidR="001126D4">
        <w:t>Havens’s</w:t>
      </w:r>
      <w:r w:rsidR="001126D4">
        <w:t xml:space="preserve"> request for a stay</w:t>
      </w:r>
      <w:r w:rsidR="009845A8">
        <w:t>, t</w:t>
      </w:r>
      <w:r w:rsidR="00617B55">
        <w:t xml:space="preserve">he Bureau found that </w:t>
      </w:r>
      <w:r w:rsidR="00617B55">
        <w:t>Havens’</w:t>
      </w:r>
      <w:r w:rsidR="004718B9">
        <w:t>s</w:t>
      </w:r>
      <w:r w:rsidR="00617B55">
        <w:t xml:space="preserve"> motion was </w:t>
      </w:r>
      <w:r w:rsidR="004718B9">
        <w:t xml:space="preserve">both </w:t>
      </w:r>
      <w:r w:rsidR="00617B55">
        <w:t>procedurally and substantively defectiv</w:t>
      </w:r>
      <w:r w:rsidR="00682393">
        <w:t>e</w:t>
      </w:r>
      <w:r w:rsidR="004718B9">
        <w:t>,</w:t>
      </w:r>
      <w:r w:rsidR="00D02C25">
        <w:t xml:space="preserve"> </w:t>
      </w:r>
      <w:r w:rsidR="003B61A1">
        <w:t>represent</w:t>
      </w:r>
      <w:r w:rsidR="004718B9">
        <w:t>ing</w:t>
      </w:r>
      <w:r w:rsidR="003B61A1">
        <w:t xml:space="preserve"> a</w:t>
      </w:r>
      <w:r w:rsidR="005B2E3B">
        <w:t xml:space="preserve"> </w:t>
      </w:r>
      <w:r w:rsidR="003B61A1">
        <w:t xml:space="preserve">disruptive collateral attack on the proper functioning of </w:t>
      </w:r>
      <w:r w:rsidR="008556FA">
        <w:t>the state</w:t>
      </w:r>
      <w:r w:rsidR="00D06700">
        <w:t xml:space="preserve"> court.</w:t>
      </w:r>
      <w:r>
        <w:rPr>
          <w:rStyle w:val="FootnoteReference"/>
        </w:rPr>
        <w:footnoteReference w:id="10"/>
      </w:r>
      <w:r w:rsidR="003B3FB7">
        <w:t xml:space="preserve"> </w:t>
      </w:r>
      <w:r w:rsidR="008556FA">
        <w:t xml:space="preserve"> </w:t>
      </w:r>
      <w:r w:rsidR="004B644F">
        <w:t xml:space="preserve"> </w:t>
      </w:r>
      <w:r>
        <w:t>Procedurally</w:t>
      </w:r>
      <w:r w:rsidR="002D5998">
        <w:t xml:space="preserve">, </w:t>
      </w:r>
      <w:r>
        <w:t>the request</w:t>
      </w:r>
      <w:r w:rsidR="001E48EA">
        <w:t xml:space="preserve"> for a stay</w:t>
      </w:r>
      <w:r>
        <w:t xml:space="preserve"> was subject to dismissal </w:t>
      </w:r>
      <w:r w:rsidR="001E48EA">
        <w:t>be</w:t>
      </w:r>
      <w:r w:rsidR="00393459">
        <w:t>cause</w:t>
      </w:r>
      <w:r w:rsidR="0052377A">
        <w:t xml:space="preserve"> </w:t>
      </w:r>
      <w:r>
        <w:t xml:space="preserve">Havens combined the stay request with </w:t>
      </w:r>
      <w:r w:rsidR="001E48EA">
        <w:t>another pleading</w:t>
      </w:r>
      <w:r>
        <w:t>,</w:t>
      </w:r>
      <w:r w:rsidR="002D5998">
        <w:t xml:space="preserve"> specifically,</w:t>
      </w:r>
      <w:r>
        <w:t xml:space="preserve"> a petition for declaratory ruling and request for a hearing.</w:t>
      </w:r>
      <w:r>
        <w:rPr>
          <w:rStyle w:val="FootnoteReference"/>
        </w:rPr>
        <w:footnoteReference w:id="11"/>
      </w:r>
      <w:r>
        <w:t xml:space="preserve"> </w:t>
      </w:r>
      <w:r w:rsidR="003B3FB7">
        <w:t xml:space="preserve"> </w:t>
      </w:r>
      <w:r>
        <w:t xml:space="preserve">Section 1.44(e) of </w:t>
      </w:r>
      <w:r w:rsidR="00393459">
        <w:t>the Commission’s</w:t>
      </w:r>
      <w:r>
        <w:t xml:space="preserve"> rules requires that a stay request be submitted as a separate pleading.</w:t>
      </w:r>
      <w:r>
        <w:rPr>
          <w:rStyle w:val="FootnoteReference"/>
        </w:rPr>
        <w:footnoteReference w:id="12"/>
      </w:r>
      <w:r>
        <w:t xml:space="preserve"> </w:t>
      </w:r>
      <w:r w:rsidR="003B3FB7">
        <w:t xml:space="preserve"> </w:t>
      </w:r>
      <w:r>
        <w:t xml:space="preserve">Substantively, we rejected </w:t>
      </w:r>
      <w:r>
        <w:t>Havens’</w:t>
      </w:r>
      <w:r w:rsidR="00282BE1">
        <w:t>s</w:t>
      </w:r>
      <w:r>
        <w:t xml:space="preserve"> </w:t>
      </w:r>
      <w:r w:rsidR="002D5998">
        <w:t xml:space="preserve">request for a stay </w:t>
      </w:r>
      <w:r w:rsidR="00282BE1">
        <w:t xml:space="preserve">because </w:t>
      </w:r>
      <w:r>
        <w:t xml:space="preserve">Havens </w:t>
      </w:r>
      <w:r w:rsidR="00282BE1">
        <w:t xml:space="preserve">failed to </w:t>
      </w:r>
      <w:r w:rsidR="00FA4DCD">
        <w:t xml:space="preserve">satisfy the four factors necessary to </w:t>
      </w:r>
      <w:r>
        <w:t xml:space="preserve">justify a stay </w:t>
      </w:r>
      <w:r w:rsidR="00513783">
        <w:t>set forth</w:t>
      </w:r>
      <w:r>
        <w:t xml:space="preserve"> in</w:t>
      </w:r>
      <w:r w:rsidR="00227076">
        <w:t xml:space="preserve"> </w:t>
      </w:r>
      <w:r w:rsidRPr="004B644F">
        <w:rPr>
          <w:i/>
          <w:iCs/>
        </w:rPr>
        <w:t>Petroleum Jobbers</w:t>
      </w:r>
      <w:r>
        <w:t>.</w:t>
      </w:r>
      <w:r>
        <w:rPr>
          <w:rStyle w:val="FootnoteReference"/>
        </w:rPr>
        <w:footnoteReference w:id="13"/>
      </w:r>
    </w:p>
    <w:p w:rsidR="008F0F07" w:rsidP="00792BB6" w14:paraId="79A47B64" w14:textId="10DFD464">
      <w:pPr>
        <w:pStyle w:val="ParaNum"/>
      </w:pPr>
      <w:r>
        <w:t>Next, t</w:t>
      </w:r>
      <w:r w:rsidR="00EE4400">
        <w:t xml:space="preserve">he Bureau addressed </w:t>
      </w:r>
      <w:r w:rsidR="00F859CF">
        <w:t xml:space="preserve">a petition for declaratory ruling filed by Leong, through his court-appointed guardian </w:t>
      </w:r>
      <w:r w:rsidRPr="00F859CF" w:rsidR="00F859CF">
        <w:rPr>
          <w:i/>
          <w:iCs/>
        </w:rPr>
        <w:t>ad litem</w:t>
      </w:r>
      <w:r w:rsidR="00F859CF">
        <w:t>, Cheryl Choy, requesting that the Commission remove uncertainty regarding the ability of the court-appointed receiver to effectuate the sale of the Licenses</w:t>
      </w:r>
      <w:r w:rsidR="00690EE8">
        <w:t>.</w:t>
      </w:r>
      <w:r>
        <w:rPr>
          <w:rStyle w:val="FootnoteReference"/>
        </w:rPr>
        <w:footnoteReference w:id="14"/>
      </w:r>
      <w:r w:rsidR="00023441">
        <w:t xml:space="preserve">  </w:t>
      </w:r>
      <w:r w:rsidR="00513783">
        <w:t xml:space="preserve">As </w:t>
      </w:r>
      <w:r w:rsidR="00084D30">
        <w:t>related</w:t>
      </w:r>
      <w:r w:rsidR="00513783">
        <w:t xml:space="preserve"> in the April Order, i</w:t>
      </w:r>
      <w:r w:rsidR="00023441">
        <w:t xml:space="preserve">n November 2015, a California court appointed </w:t>
      </w:r>
      <w:r w:rsidR="00E009D6">
        <w:t xml:space="preserve">Ms. Susan L. </w:t>
      </w:r>
      <w:r w:rsidR="00E009D6">
        <w:t>Uecker</w:t>
      </w:r>
      <w:r w:rsidR="00E009D6">
        <w:t xml:space="preserve"> </w:t>
      </w:r>
      <w:r w:rsidR="00023441">
        <w:t>a</w:t>
      </w:r>
      <w:r w:rsidR="00E009D6">
        <w:t>s</w:t>
      </w:r>
      <w:r w:rsidR="00023441">
        <w:t xml:space="preserve"> </w:t>
      </w:r>
      <w:r w:rsidR="00E009D6">
        <w:t>r</w:t>
      </w:r>
      <w:r w:rsidR="00023441">
        <w:t>eceiver to manage the Skytel entities during the pendency of the Havens-Leong dispute, which had been</w:t>
      </w:r>
      <w:r>
        <w:t xml:space="preserve"> r</w:t>
      </w:r>
      <w:r w:rsidR="00E009D6">
        <w:t>efer</w:t>
      </w:r>
      <w:r>
        <w:t>r</w:t>
      </w:r>
      <w:r w:rsidR="00023441">
        <w:t>ed to arbitration</w:t>
      </w:r>
      <w:r w:rsidR="00917ADC">
        <w:t xml:space="preserve">, and in 2016, the Commission </w:t>
      </w:r>
      <w:r w:rsidR="000748D4">
        <w:t xml:space="preserve">granted </w:t>
      </w:r>
      <w:r w:rsidR="00917ADC">
        <w:t>the involuntary transfer of</w:t>
      </w:r>
      <w:r w:rsidR="00E009D6">
        <w:t xml:space="preserve"> </w:t>
      </w:r>
      <w:r w:rsidR="00917ADC">
        <w:t>control of the Skytel licenses to her.</w:t>
      </w:r>
      <w:r>
        <w:rPr>
          <w:rStyle w:val="FootnoteReference"/>
        </w:rPr>
        <w:footnoteReference w:id="15"/>
      </w:r>
      <w:r w:rsidR="00917ADC">
        <w:t xml:space="preserve">  Subsequently, the arbitrator issued an award, and in June 2021, the </w:t>
      </w:r>
      <w:r w:rsidR="00E009D6">
        <w:t xml:space="preserve">California </w:t>
      </w:r>
      <w:r w:rsidR="00917ADC">
        <w:t xml:space="preserve">court </w:t>
      </w:r>
      <w:r w:rsidR="00E009D6">
        <w:t xml:space="preserve">entered a final judgment in the dispute, confirming the award, and issued an order retaining </w:t>
      </w:r>
      <w:r w:rsidR="00E009D6">
        <w:t>Uecker</w:t>
      </w:r>
      <w:r w:rsidR="00E009D6">
        <w:t xml:space="preserve"> as the post-judgment receiver (Receiver).</w:t>
      </w:r>
      <w:r>
        <w:rPr>
          <w:rStyle w:val="FootnoteReference"/>
        </w:rPr>
        <w:footnoteReference w:id="16"/>
      </w:r>
      <w:r w:rsidR="00917ADC">
        <w:t xml:space="preserve"> </w:t>
      </w:r>
      <w:r w:rsidR="00E009D6">
        <w:t xml:space="preserve"> </w:t>
      </w:r>
      <w:r w:rsidR="00023441">
        <w:t xml:space="preserve">As the minority equity interest shareholder in the Skytel entities and a judgment creditor pursuant to the </w:t>
      </w:r>
      <w:r w:rsidR="00E009D6">
        <w:t>a</w:t>
      </w:r>
      <w:r w:rsidR="00023441">
        <w:t xml:space="preserve">rbitration </w:t>
      </w:r>
      <w:r w:rsidR="00E009D6">
        <w:t>a</w:t>
      </w:r>
      <w:r w:rsidR="00023441">
        <w:t xml:space="preserve">ward, Leong </w:t>
      </w:r>
      <w:r w:rsidR="001D7FF2">
        <w:t xml:space="preserve">sought </w:t>
      </w:r>
      <w:r w:rsidR="00023441">
        <w:t xml:space="preserve">a declaratory ruling that he, and not Havens, should be allowed to obtain any compensation from the sale of the licenses </w:t>
      </w:r>
      <w:r w:rsidR="00EC16F1">
        <w:t xml:space="preserve">and that sale </w:t>
      </w:r>
      <w:r w:rsidR="00023441">
        <w:t xml:space="preserve">would be consistent with the Commission’s </w:t>
      </w:r>
      <w:r w:rsidRPr="008F0F07" w:rsidR="00023441">
        <w:rPr>
          <w:i/>
          <w:iCs/>
        </w:rPr>
        <w:t>Second Thursday</w:t>
      </w:r>
      <w:r w:rsidR="00023441">
        <w:t xml:space="preserve"> policy.</w:t>
      </w:r>
      <w:r>
        <w:rPr>
          <w:rStyle w:val="FootnoteReference"/>
        </w:rPr>
        <w:footnoteReference w:id="17"/>
      </w:r>
      <w:r w:rsidR="00690EE8">
        <w:t xml:space="preserve"> </w:t>
      </w:r>
      <w:r>
        <w:t xml:space="preserve">        </w:t>
      </w:r>
    </w:p>
    <w:p w:rsidR="00023441" w:rsidP="00321963" w14:paraId="3F46EADF" w14:textId="2D09E4F3">
      <w:pPr>
        <w:pStyle w:val="ParaNum"/>
        <w:spacing w:after="0"/>
      </w:pPr>
      <w:r>
        <w:t>W</w:t>
      </w:r>
      <w:r w:rsidR="00F859CF">
        <w:t>e grant</w:t>
      </w:r>
      <w:r>
        <w:t>ed</w:t>
      </w:r>
      <w:r w:rsidR="00F859CF">
        <w:t xml:space="preserve"> the Leong Petition in part, subject to conditions.</w:t>
      </w:r>
      <w:r>
        <w:rPr>
          <w:rStyle w:val="FootnoteReference"/>
        </w:rPr>
        <w:footnoteReference w:id="18"/>
      </w:r>
      <w:r w:rsidR="00F859CF">
        <w:t xml:space="preserve"> </w:t>
      </w:r>
      <w:r>
        <w:t xml:space="preserve"> </w:t>
      </w:r>
      <w:r w:rsidR="00F859CF">
        <w:t>Specifically, we f</w:t>
      </w:r>
      <w:r>
        <w:t>ound</w:t>
      </w:r>
      <w:r w:rsidR="00F859CF">
        <w:t xml:space="preserve"> that Leong is an innocent creditor who meets the criteria enumerated in the Commission’s </w:t>
      </w:r>
      <w:r w:rsidRPr="00967B7A" w:rsidR="00F859CF">
        <w:rPr>
          <w:i/>
          <w:iCs/>
        </w:rPr>
        <w:t>Second Thursday</w:t>
      </w:r>
      <w:r w:rsidR="00F859CF">
        <w:t xml:space="preserve"> policy</w:t>
      </w:r>
      <w:r w:rsidR="00A270C0">
        <w:t>.</w:t>
      </w:r>
      <w:r>
        <w:rPr>
          <w:rStyle w:val="FootnoteReference"/>
        </w:rPr>
        <w:footnoteReference w:id="19"/>
      </w:r>
      <w:r w:rsidR="00F859CF">
        <w:t xml:space="preserve"> </w:t>
      </w:r>
      <w:r>
        <w:t xml:space="preserve"> </w:t>
      </w:r>
      <w:bookmarkStart w:id="0" w:name="_Hlk103872851"/>
      <w:r w:rsidR="00A23397">
        <w:t xml:space="preserve">This </w:t>
      </w:r>
      <w:r w:rsidR="004B5E84">
        <w:t xml:space="preserve">removed any uncertainty regarding Leong’s ability to receive compensation from the sale </w:t>
      </w:r>
      <w:r w:rsidR="004B5E84">
        <w:t>of the Licenses</w:t>
      </w:r>
      <w:bookmarkEnd w:id="0"/>
      <w:r w:rsidR="004B5E84">
        <w:t>.</w:t>
      </w:r>
      <w:r>
        <w:rPr>
          <w:rStyle w:val="FootnoteReference"/>
        </w:rPr>
        <w:footnoteReference w:id="20"/>
      </w:r>
      <w:r w:rsidR="004B5E84">
        <w:t xml:space="preserve">  </w:t>
      </w:r>
      <w:r w:rsidR="005A20D8">
        <w:t>In addition, t</w:t>
      </w:r>
      <w:r w:rsidR="00A270C0">
        <w:t xml:space="preserve">o ensure that </w:t>
      </w:r>
      <w:r w:rsidR="00F859CF">
        <w:t>Havens will play no role in the operation of nor derive any monetary benefit from the sale of the Licenses—pending the resolution of the Commission’s assessment of his character qualifications—we conditio</w:t>
      </w:r>
      <w:r w:rsidR="00A270C0">
        <w:t>ned</w:t>
      </w:r>
      <w:r w:rsidR="00F859CF">
        <w:t xml:space="preserve"> approval of each transaction on the </w:t>
      </w:r>
      <w:r w:rsidR="00A270C0">
        <w:t>R</w:t>
      </w:r>
      <w:r w:rsidR="00F859CF">
        <w:t>eceiver and the buyer making certain representations in filings.</w:t>
      </w:r>
      <w:r>
        <w:rPr>
          <w:rStyle w:val="FootnoteReference"/>
        </w:rPr>
        <w:footnoteReference w:id="21"/>
      </w:r>
      <w:r w:rsidR="00F859CF">
        <w:t xml:space="preserve"> </w:t>
      </w:r>
      <w:r w:rsidR="00A270C0">
        <w:t xml:space="preserve"> </w:t>
      </w:r>
      <w:r w:rsidR="00F859CF">
        <w:t>In making this determination, we recognize</w:t>
      </w:r>
      <w:r w:rsidR="00A270C0">
        <w:t>d</w:t>
      </w:r>
      <w:r w:rsidR="00F859CF">
        <w:t xml:space="preserve"> that the sale of the Licenses will serve the public interest by helping to make valuable spectrum operational.</w:t>
      </w:r>
      <w:r>
        <w:rPr>
          <w:rStyle w:val="FootnoteReference"/>
        </w:rPr>
        <w:footnoteReference w:id="22"/>
      </w:r>
      <w:r w:rsidRPr="002916F4" w:rsidR="002916F4">
        <w:t xml:space="preserve"> </w:t>
      </w:r>
      <w:r w:rsidR="004B5E84">
        <w:t xml:space="preserve"> </w:t>
      </w:r>
      <w:r w:rsidR="00537797">
        <w:t>As we noted in the April Order, consistent with the a</w:t>
      </w:r>
      <w:r w:rsidR="00E009D6">
        <w:t xml:space="preserve">rbitration </w:t>
      </w:r>
      <w:r w:rsidR="00537797">
        <w:t>a</w:t>
      </w:r>
      <w:r w:rsidR="00E009D6">
        <w:t xml:space="preserve">ward, </w:t>
      </w:r>
      <w:r w:rsidR="00537797">
        <w:t>we</w:t>
      </w:r>
      <w:r w:rsidR="00E009D6">
        <w:t xml:space="preserve"> anticipate that the Receiver will submit applications for the sale of </w:t>
      </w:r>
      <w:r w:rsidR="005A20D8">
        <w:t xml:space="preserve">the </w:t>
      </w:r>
      <w:r w:rsidR="00E009D6">
        <w:t>Licenses</w:t>
      </w:r>
      <w:r w:rsidR="004B5E84">
        <w:t>.</w:t>
      </w:r>
      <w:r>
        <w:rPr>
          <w:rStyle w:val="FootnoteReference"/>
        </w:rPr>
        <w:footnoteReference w:id="23"/>
      </w:r>
      <w:r w:rsidR="00C2377E">
        <w:t xml:space="preserve">       </w:t>
      </w:r>
    </w:p>
    <w:p w:rsidR="009F1F30" w:rsidP="009F1F30" w14:paraId="5185D0CE" w14:textId="77777777">
      <w:pPr>
        <w:pStyle w:val="ParaNum"/>
        <w:numPr>
          <w:ilvl w:val="0"/>
          <w:numId w:val="0"/>
        </w:numPr>
      </w:pPr>
    </w:p>
    <w:p w:rsidR="000607ED" w:rsidP="000607ED" w14:paraId="3672B331" w14:textId="76A3BEA0">
      <w:pPr>
        <w:pStyle w:val="Heading1"/>
      </w:pPr>
      <w:r>
        <w:t>Havens’</w:t>
      </w:r>
      <w:r w:rsidR="00F859CF">
        <w:t>s</w:t>
      </w:r>
      <w:r>
        <w:t xml:space="preserve"> request for </w:t>
      </w:r>
      <w:r w:rsidR="00660533">
        <w:t xml:space="preserve">a </w:t>
      </w:r>
      <w:r>
        <w:t>stay</w:t>
      </w:r>
    </w:p>
    <w:p w:rsidR="000607ED" w:rsidP="000607ED" w14:paraId="720F7C09" w14:textId="5A60A9CE">
      <w:pPr>
        <w:pStyle w:val="ParaNum"/>
      </w:pPr>
      <w:r>
        <w:t>Have</w:t>
      </w:r>
      <w:r w:rsidR="005C7CD3">
        <w:t>n</w:t>
      </w:r>
      <w:r>
        <w:t>s’</w:t>
      </w:r>
      <w:r w:rsidR="000A1BD3">
        <w:t>s</w:t>
      </w:r>
      <w:r>
        <w:t xml:space="preserve"> </w:t>
      </w:r>
      <w:r w:rsidR="005C7CD3">
        <w:t>I</w:t>
      </w:r>
      <w:r w:rsidR="003F3549">
        <w:t>nitial</w:t>
      </w:r>
      <w:r>
        <w:t xml:space="preserve"> </w:t>
      </w:r>
      <w:r w:rsidR="005C7CD3">
        <w:t>C</w:t>
      </w:r>
      <w:r>
        <w:t xml:space="preserve">hallenge </w:t>
      </w:r>
      <w:r w:rsidR="0026696D">
        <w:t xml:space="preserve">questions </w:t>
      </w:r>
      <w:r w:rsidR="004C6EAA">
        <w:t xml:space="preserve">numerous aspects of the </w:t>
      </w:r>
      <w:r w:rsidRPr="00A738D8" w:rsidR="004C6EAA">
        <w:t>April Order</w:t>
      </w:r>
      <w:r w:rsidR="00FA6EE8">
        <w:t>.  His</w:t>
      </w:r>
      <w:r w:rsidR="001A0616">
        <w:t xml:space="preserve"> </w:t>
      </w:r>
      <w:r w:rsidR="004C6EAA">
        <w:t>Motion</w:t>
      </w:r>
      <w:r w:rsidR="00CB3773">
        <w:t xml:space="preserve"> </w:t>
      </w:r>
      <w:r w:rsidR="000A1BD3">
        <w:t xml:space="preserve">essentially </w:t>
      </w:r>
      <w:r w:rsidR="004C6EAA">
        <w:t xml:space="preserve">seeks a stay of any </w:t>
      </w:r>
      <w:r w:rsidR="00027F8E">
        <w:t>licensing action</w:t>
      </w:r>
      <w:r w:rsidR="00FA6EE8">
        <w:t xml:space="preserve"> by the Commission</w:t>
      </w:r>
      <w:r w:rsidRPr="0082620F" w:rsidR="0082620F">
        <w:t xml:space="preserve"> </w:t>
      </w:r>
      <w:r w:rsidR="0082620F">
        <w:t xml:space="preserve">regarding the Licenses </w:t>
      </w:r>
      <w:r w:rsidR="00027F8E">
        <w:t xml:space="preserve">pending </w:t>
      </w:r>
      <w:r w:rsidR="00FA6EE8">
        <w:t xml:space="preserve">our </w:t>
      </w:r>
      <w:r w:rsidR="00027F8E">
        <w:t>resolution of the Initial Challenge.</w:t>
      </w:r>
      <w:r>
        <w:rPr>
          <w:rStyle w:val="FootnoteReference"/>
        </w:rPr>
        <w:footnoteReference w:id="24"/>
      </w:r>
      <w:r w:rsidR="000A1BD3">
        <w:t xml:space="preserve">  </w:t>
      </w:r>
      <w:r w:rsidR="00FA6EE8">
        <w:t xml:space="preserve">In this Order, </w:t>
      </w:r>
      <w:r w:rsidR="00CD1365">
        <w:t xml:space="preserve">we </w:t>
      </w:r>
      <w:r w:rsidR="000A1BD3">
        <w:t xml:space="preserve">deny </w:t>
      </w:r>
      <w:r w:rsidR="005511C3">
        <w:t>Havens’s</w:t>
      </w:r>
      <w:r w:rsidR="005511C3">
        <w:t xml:space="preserve"> Motion</w:t>
      </w:r>
      <w:r w:rsidR="000A1BD3">
        <w:t xml:space="preserve"> for the reasons explained below.  </w:t>
      </w:r>
      <w:r w:rsidR="00886230">
        <w:t xml:space="preserve"> </w:t>
      </w:r>
      <w:r w:rsidR="00A738D8">
        <w:t xml:space="preserve"> </w:t>
      </w:r>
    </w:p>
    <w:p w:rsidR="00AF5BCE" w:rsidP="000607ED" w14:paraId="1BE03368" w14:textId="00DE47BB">
      <w:pPr>
        <w:pStyle w:val="ParaNum"/>
      </w:pPr>
      <w:r>
        <w:t xml:space="preserve">Havens </w:t>
      </w:r>
      <w:r w:rsidRPr="0010401C">
        <w:t>contends</w:t>
      </w:r>
      <w:r>
        <w:t xml:space="preserve"> that the Commission does not have a</w:t>
      </w:r>
      <w:r w:rsidR="00FC2ED5">
        <w:t xml:space="preserve">n explicit </w:t>
      </w:r>
      <w:r>
        <w:t>standard</w:t>
      </w:r>
      <w:r w:rsidR="00D4226E">
        <w:t xml:space="preserve"> </w:t>
      </w:r>
      <w:r w:rsidR="0010401C">
        <w:t>by which it assesses a</w:t>
      </w:r>
      <w:r w:rsidR="00245613">
        <w:t xml:space="preserve"> request to stay a Commission action</w:t>
      </w:r>
      <w:r w:rsidR="00FC2ED5">
        <w:t>, since none is set forth in the Commission’s rules</w:t>
      </w:r>
      <w:r w:rsidR="00245613">
        <w:t>.</w:t>
      </w:r>
      <w:r>
        <w:rPr>
          <w:rStyle w:val="FootnoteReference"/>
        </w:rPr>
        <w:footnoteReference w:id="25"/>
      </w:r>
      <w:r w:rsidR="00C67413">
        <w:t xml:space="preserve"> </w:t>
      </w:r>
      <w:r w:rsidR="003321F4">
        <w:t xml:space="preserve"> </w:t>
      </w:r>
      <w:r w:rsidR="003B0AFB">
        <w:t>I</w:t>
      </w:r>
      <w:r w:rsidR="00DC51E9">
        <w:t>t is well established</w:t>
      </w:r>
      <w:r w:rsidR="003B0AFB">
        <w:t xml:space="preserve">, however, </w:t>
      </w:r>
      <w:r w:rsidR="00DC51E9">
        <w:t>that the Com</w:t>
      </w:r>
      <w:r w:rsidR="00AE5A41">
        <w:t xml:space="preserve">mission </w:t>
      </w:r>
      <w:r w:rsidR="001E6BA4">
        <w:t xml:space="preserve">uses the four-prong test described in </w:t>
      </w:r>
      <w:r w:rsidRPr="00B64469" w:rsidR="001E6BA4">
        <w:rPr>
          <w:i/>
          <w:iCs/>
        </w:rPr>
        <w:t>Petroleum Jobbers</w:t>
      </w:r>
      <w:r w:rsidR="001E6BA4">
        <w:t xml:space="preserve"> to decide whether</w:t>
      </w:r>
      <w:r w:rsidR="002D5998">
        <w:t xml:space="preserve"> </w:t>
      </w:r>
      <w:r w:rsidR="001E6BA4">
        <w:t xml:space="preserve">to grant a stay: (1) </w:t>
      </w:r>
      <w:r w:rsidR="00A02F67">
        <w:t>has the petitioner made a strong showing that i</w:t>
      </w:r>
      <w:r w:rsidR="00A026B9">
        <w:t>t</w:t>
      </w:r>
      <w:r w:rsidR="00A02F67">
        <w:t xml:space="preserve"> is </w:t>
      </w:r>
      <w:r w:rsidR="00373499">
        <w:t xml:space="preserve">likely to prevail on the merits; </w:t>
      </w:r>
      <w:bookmarkStart w:id="1" w:name="_Hlk103936354"/>
      <w:r w:rsidR="00373499">
        <w:t>(2)</w:t>
      </w:r>
      <w:r w:rsidR="00A427CC">
        <w:t xml:space="preserve"> has the petitioner shown it will suffer </w:t>
      </w:r>
      <w:r w:rsidR="00A026B9">
        <w:t xml:space="preserve">irreparable harm if </w:t>
      </w:r>
      <w:r w:rsidR="0010401C">
        <w:t>a</w:t>
      </w:r>
      <w:r w:rsidR="00A527B9">
        <w:t xml:space="preserve"> </w:t>
      </w:r>
      <w:r w:rsidR="00A026B9">
        <w:t>stay is</w:t>
      </w:r>
      <w:r w:rsidR="002D5998">
        <w:t xml:space="preserve"> not </w:t>
      </w:r>
      <w:r w:rsidR="00A026B9">
        <w:t xml:space="preserve">granted; </w:t>
      </w:r>
      <w:r w:rsidRPr="00AF7E0B" w:rsidR="00A026B9">
        <w:t>(3)</w:t>
      </w:r>
      <w:r w:rsidR="00A04A8A">
        <w:t xml:space="preserve"> </w:t>
      </w:r>
      <w:r w:rsidR="00EC1260">
        <w:t xml:space="preserve">would a stay </w:t>
      </w:r>
      <w:r w:rsidR="00E11499">
        <w:t>su</w:t>
      </w:r>
      <w:r w:rsidR="002D5998">
        <w:t>bstantially</w:t>
      </w:r>
      <w:r w:rsidR="00CB3773">
        <w:t xml:space="preserve"> </w:t>
      </w:r>
      <w:r w:rsidR="00EC1260">
        <w:t>harm other interested parties; and (4</w:t>
      </w:r>
      <w:r w:rsidR="00561AE6">
        <w:t>) does the public interest support granting a stay</w:t>
      </w:r>
      <w:bookmarkEnd w:id="1"/>
      <w:r w:rsidR="00561AE6">
        <w:t>.</w:t>
      </w:r>
      <w:r>
        <w:rPr>
          <w:rStyle w:val="FootnoteReference"/>
        </w:rPr>
        <w:footnoteReference w:id="26"/>
      </w:r>
      <w:r w:rsidR="00617CA3">
        <w:t xml:space="preserve">  </w:t>
      </w:r>
      <w:r w:rsidR="0026048A">
        <w:t>T</w:t>
      </w:r>
      <w:r w:rsidR="00A21CC3">
        <w:t>he</w:t>
      </w:r>
      <w:r w:rsidR="00617CA3">
        <w:t xml:space="preserve"> Bureau, acting pursuant to delegated authority, </w:t>
      </w:r>
      <w:r w:rsidR="00A21CC3">
        <w:t xml:space="preserve">has </w:t>
      </w:r>
      <w:r w:rsidR="00617CA3">
        <w:t>use</w:t>
      </w:r>
      <w:r w:rsidR="00A21CC3">
        <w:t>d</w:t>
      </w:r>
      <w:r w:rsidR="00617CA3">
        <w:t xml:space="preserve"> the </w:t>
      </w:r>
      <w:r w:rsidRPr="004253F6" w:rsidR="00617CA3">
        <w:rPr>
          <w:i/>
          <w:iCs/>
        </w:rPr>
        <w:t>Petroleum Jobbers</w:t>
      </w:r>
      <w:r w:rsidR="00617CA3">
        <w:t xml:space="preserve"> test when determining whether to grant a stay request</w:t>
      </w:r>
      <w:r w:rsidR="00A21CC3">
        <w:t xml:space="preserve"> in prior cases</w:t>
      </w:r>
      <w:r w:rsidR="00617CA3">
        <w:t>.</w:t>
      </w:r>
      <w:r>
        <w:rPr>
          <w:rStyle w:val="FootnoteReference"/>
        </w:rPr>
        <w:footnoteReference w:id="27"/>
      </w:r>
    </w:p>
    <w:p w:rsidR="009C6F8B" w:rsidP="00BF71FE" w14:paraId="08A577FD" w14:textId="759E97F4">
      <w:pPr>
        <w:pStyle w:val="ParaNum"/>
      </w:pPr>
      <w:r>
        <w:t>W</w:t>
      </w:r>
      <w:r w:rsidR="000717DE">
        <w:t xml:space="preserve">hile </w:t>
      </w:r>
      <w:r w:rsidR="004253F6">
        <w:t xml:space="preserve">arguing </w:t>
      </w:r>
      <w:r w:rsidR="00747CED">
        <w:t xml:space="preserve">that the Commission has </w:t>
      </w:r>
      <w:r w:rsidRPr="004253F6" w:rsidR="00747CED">
        <w:t>no</w:t>
      </w:r>
      <w:r w:rsidRPr="004253F6" w:rsidR="002B62F8">
        <w:t xml:space="preserve"> stay analysis standard</w:t>
      </w:r>
      <w:r w:rsidRPr="004253F6" w:rsidR="000717DE">
        <w:t>,</w:t>
      </w:r>
      <w:r w:rsidR="000717DE">
        <w:t xml:space="preserve"> Havens </w:t>
      </w:r>
      <w:r w:rsidR="0017277D">
        <w:t>nonetheless</w:t>
      </w:r>
      <w:r w:rsidR="000D6F14">
        <w:t xml:space="preserve"> </w:t>
      </w:r>
      <w:r w:rsidR="00B64469">
        <w:t xml:space="preserve">attempts to make a </w:t>
      </w:r>
      <w:r w:rsidRPr="004253F6" w:rsidR="004253F6">
        <w:rPr>
          <w:i/>
          <w:iCs/>
        </w:rPr>
        <w:t>Petroleum Jobbers</w:t>
      </w:r>
      <w:r w:rsidR="004253F6">
        <w:t xml:space="preserve"> </w:t>
      </w:r>
      <w:r w:rsidR="00B64469">
        <w:t>showing</w:t>
      </w:r>
      <w:r w:rsidR="00E82D5F">
        <w:t>.</w:t>
      </w:r>
      <w:r>
        <w:rPr>
          <w:rStyle w:val="FootnoteReference"/>
        </w:rPr>
        <w:footnoteReference w:id="28"/>
      </w:r>
      <w:r w:rsidR="00D61EAF">
        <w:t xml:space="preserve"> </w:t>
      </w:r>
      <w:r w:rsidR="00783D8C">
        <w:t xml:space="preserve"> </w:t>
      </w:r>
      <w:r w:rsidR="009376B0">
        <w:t xml:space="preserve">Havens </w:t>
      </w:r>
      <w:r w:rsidR="00452D14">
        <w:t xml:space="preserve">makes no </w:t>
      </w:r>
      <w:r w:rsidR="009376B0">
        <w:t>attempt to show a likelihood of success on the merits, the first prong of the</w:t>
      </w:r>
      <w:r w:rsidR="00E7752C">
        <w:t xml:space="preserve"> </w:t>
      </w:r>
      <w:r w:rsidR="00F255F3">
        <w:t>stay</w:t>
      </w:r>
      <w:r w:rsidR="00E7752C">
        <w:t xml:space="preserve"> </w:t>
      </w:r>
      <w:r w:rsidR="009376B0">
        <w:t>analysis</w:t>
      </w:r>
      <w:r w:rsidR="00DA56C9">
        <w:t>, but i</w:t>
      </w:r>
      <w:r w:rsidR="00996508">
        <w:t>nstead</w:t>
      </w:r>
      <w:r w:rsidR="00826F2C">
        <w:t xml:space="preserve"> </w:t>
      </w:r>
      <w:r w:rsidR="00996508">
        <w:t xml:space="preserve">attempts to meet </w:t>
      </w:r>
      <w:r w:rsidR="00583B66">
        <w:t xml:space="preserve">the more lenient standard of </w:t>
      </w:r>
      <w:r w:rsidRPr="009C6F8B" w:rsidR="00583B66">
        <w:rPr>
          <w:i/>
          <w:iCs/>
        </w:rPr>
        <w:t>Holiday Tours</w:t>
      </w:r>
      <w:r w:rsidR="00CB51B0">
        <w:t xml:space="preserve">, which is that the party requesting a stay </w:t>
      </w:r>
      <w:r w:rsidR="007C3F3F">
        <w:t xml:space="preserve">need only </w:t>
      </w:r>
      <w:r w:rsidR="00CB51B0">
        <w:t>raise a substantial issue concerning the merits</w:t>
      </w:r>
      <w:r w:rsidR="005B1D2C">
        <w:t xml:space="preserve"> (as opposed to a likelihood of success)</w:t>
      </w:r>
      <w:r w:rsidR="00CB51B0">
        <w:t>, provided that the moving party make</w:t>
      </w:r>
      <w:r w:rsidR="004E6CB2">
        <w:t>s</w:t>
      </w:r>
      <w:r w:rsidR="00CB51B0">
        <w:t xml:space="preserve"> a strong showing </w:t>
      </w:r>
      <w:r w:rsidR="00D24C33">
        <w:t>under</w:t>
      </w:r>
      <w:r w:rsidR="00CB51B0">
        <w:t xml:space="preserve"> the remaining</w:t>
      </w:r>
      <w:r w:rsidR="0017277D">
        <w:t xml:space="preserve"> three</w:t>
      </w:r>
      <w:r w:rsidR="00CB51B0">
        <w:t xml:space="preserve"> prongs of the analysis.</w:t>
      </w:r>
      <w:r>
        <w:rPr>
          <w:rStyle w:val="FootnoteReference"/>
        </w:rPr>
        <w:footnoteReference w:id="29"/>
      </w:r>
      <w:r w:rsidR="00BD22C7">
        <w:t xml:space="preserve">  In other words, the</w:t>
      </w:r>
      <w:r w:rsidR="00FA2E52">
        <w:t xml:space="preserve"> </w:t>
      </w:r>
      <w:r w:rsidRPr="00BF71FE">
        <w:rPr>
          <w:i/>
          <w:iCs/>
        </w:rPr>
        <w:t>Holiday Tours</w:t>
      </w:r>
      <w:r>
        <w:t xml:space="preserve"> </w:t>
      </w:r>
      <w:r>
        <w:t>standard is a r</w:t>
      </w:r>
      <w:r w:rsidR="001A2391">
        <w:t xml:space="preserve">efinement or modification of </w:t>
      </w:r>
      <w:r w:rsidRPr="00BF71FE" w:rsidR="001A2391">
        <w:rPr>
          <w:i/>
          <w:iCs/>
        </w:rPr>
        <w:t>Petroleum Jobbers</w:t>
      </w:r>
      <w:r w:rsidR="008F0BC0">
        <w:rPr>
          <w:i/>
          <w:iCs/>
        </w:rPr>
        <w:t xml:space="preserve"> </w:t>
      </w:r>
      <w:r w:rsidR="008F0BC0">
        <w:t>that</w:t>
      </w:r>
      <w:r w:rsidR="00C3247F">
        <w:t xml:space="preserve"> </w:t>
      </w:r>
      <w:r w:rsidR="00EF56D8">
        <w:t xml:space="preserve">allows for the consideration </w:t>
      </w:r>
      <w:r w:rsidR="00510C1B">
        <w:t>of a stay request whe</w:t>
      </w:r>
      <w:r w:rsidR="00361B26">
        <w:t>n</w:t>
      </w:r>
      <w:r w:rsidR="00510C1B">
        <w:t xml:space="preserve"> </w:t>
      </w:r>
      <w:r w:rsidR="00627633">
        <w:t xml:space="preserve">the likelihood </w:t>
      </w:r>
      <w:r w:rsidR="00AC5D2B">
        <w:t>of success on the merits is not</w:t>
      </w:r>
      <w:r w:rsidR="00AD480C">
        <w:t xml:space="preserve"> </w:t>
      </w:r>
      <w:r w:rsidR="00886DE4">
        <w:t>particularly</w:t>
      </w:r>
      <w:r w:rsidR="00830ECD">
        <w:t xml:space="preserve"> high</w:t>
      </w:r>
      <w:r w:rsidR="00D705B9">
        <w:t xml:space="preserve">, </w:t>
      </w:r>
      <w:r w:rsidR="008F0BC0">
        <w:t>but</w:t>
      </w:r>
      <w:r w:rsidR="00D705B9">
        <w:t xml:space="preserve"> the remaining three </w:t>
      </w:r>
      <w:r w:rsidR="005C5C05">
        <w:t>prong</w:t>
      </w:r>
      <w:r w:rsidR="00240F7F">
        <w:t>s</w:t>
      </w:r>
      <w:r w:rsidR="005C5C05">
        <w:t xml:space="preserve"> weigh significantly in favor of the movant.</w:t>
      </w:r>
      <w:r>
        <w:rPr>
          <w:rStyle w:val="FootnoteReference"/>
        </w:rPr>
        <w:footnoteReference w:id="30"/>
      </w:r>
      <w:r w:rsidR="005C5C05">
        <w:t xml:space="preserve"> </w:t>
      </w:r>
    </w:p>
    <w:p w:rsidR="008F0F3A" w:rsidP="000607ED" w14:paraId="7EF82DC7" w14:textId="42DF091F">
      <w:pPr>
        <w:pStyle w:val="ParaNum"/>
      </w:pPr>
      <w:r>
        <w:t xml:space="preserve">Without </w:t>
      </w:r>
      <w:r w:rsidR="00D218B5">
        <w:t>deciding whether</w:t>
      </w:r>
      <w:r>
        <w:t xml:space="preserve"> </w:t>
      </w:r>
      <w:r>
        <w:t>Havens’</w:t>
      </w:r>
      <w:r w:rsidR="00361B26">
        <w:t>s</w:t>
      </w:r>
      <w:r>
        <w:t xml:space="preserve"> Initial Challenge </w:t>
      </w:r>
      <w:r w:rsidR="00D712CD">
        <w:t>meets even th</w:t>
      </w:r>
      <w:r w:rsidR="00DA2C8A">
        <w:t xml:space="preserve">e </w:t>
      </w:r>
      <w:r w:rsidR="00D712CD">
        <w:t>more lenient</w:t>
      </w:r>
      <w:r w:rsidR="00DA2C8A">
        <w:t xml:space="preserve"> </w:t>
      </w:r>
      <w:r w:rsidRPr="00DA2C8A" w:rsidR="00DA2C8A">
        <w:rPr>
          <w:i/>
          <w:iCs/>
        </w:rPr>
        <w:t>Holiday Tours</w:t>
      </w:r>
      <w:r w:rsidR="00D712CD">
        <w:t xml:space="preserve"> </w:t>
      </w:r>
      <w:r w:rsidR="00E7480D">
        <w:t>standard</w:t>
      </w:r>
      <w:r w:rsidR="00C07957">
        <w:t xml:space="preserve"> under the first prong</w:t>
      </w:r>
      <w:r w:rsidR="00D712CD">
        <w:t xml:space="preserve">, we find that </w:t>
      </w:r>
      <w:r w:rsidR="00361B26">
        <w:t>Havens</w:t>
      </w:r>
      <w:r w:rsidR="00D712CD">
        <w:t xml:space="preserve"> fails to make the showing</w:t>
      </w:r>
      <w:r w:rsidR="00361B26">
        <w:t>s</w:t>
      </w:r>
      <w:r w:rsidR="00D712CD">
        <w:t xml:space="preserve"> required</w:t>
      </w:r>
      <w:r w:rsidR="00590DCF">
        <w:t xml:space="preserve"> </w:t>
      </w:r>
      <w:r w:rsidR="00361B26">
        <w:t>by</w:t>
      </w:r>
      <w:r w:rsidR="00B00714">
        <w:t xml:space="preserve"> </w:t>
      </w:r>
      <w:r w:rsidR="00CC2A66">
        <w:t>prongs</w:t>
      </w:r>
      <w:r w:rsidR="00E7480D">
        <w:t xml:space="preserve"> (2)–(4)</w:t>
      </w:r>
      <w:r w:rsidR="00CC2A66">
        <w:t xml:space="preserve"> of the </w:t>
      </w:r>
      <w:r w:rsidR="00E7480D">
        <w:t xml:space="preserve">stay </w:t>
      </w:r>
      <w:r w:rsidR="00CC2A66">
        <w:t>test</w:t>
      </w:r>
      <w:r w:rsidR="00361B26">
        <w:t>:</w:t>
      </w:r>
      <w:r w:rsidR="00CC2A66">
        <w:t xml:space="preserve"> </w:t>
      </w:r>
      <w:r w:rsidR="00361B26">
        <w:t xml:space="preserve">(2) has the petitioner shown it will suffer irreparable harm if a stay is not granted; </w:t>
      </w:r>
      <w:r w:rsidRPr="00AF7E0B" w:rsidR="00361B26">
        <w:t>(3)</w:t>
      </w:r>
      <w:r w:rsidR="00361B26">
        <w:t xml:space="preserve"> would a stay substantially harm other interested parties; and (4) does the public interest support granting a stay</w:t>
      </w:r>
      <w:r w:rsidR="007016A7">
        <w:t>.</w:t>
      </w:r>
      <w:r>
        <w:rPr>
          <w:rStyle w:val="FootnoteReference"/>
        </w:rPr>
        <w:footnoteReference w:id="31"/>
      </w:r>
      <w:r w:rsidR="00361B26">
        <w:t xml:space="preserve"> </w:t>
      </w:r>
      <w:r w:rsidR="007016A7">
        <w:t xml:space="preserve"> Indeed, </w:t>
      </w:r>
      <w:r w:rsidR="00590DCF">
        <w:t>Havens does not</w:t>
      </w:r>
      <w:r w:rsidR="00D9131F">
        <w:t xml:space="preserve">, </w:t>
      </w:r>
      <w:r w:rsidR="00590DCF">
        <w:t xml:space="preserve">at any </w:t>
      </w:r>
      <w:r w:rsidR="00226EDA">
        <w:t>point</w:t>
      </w:r>
      <w:r w:rsidR="00590DCF">
        <w:t xml:space="preserve"> in</w:t>
      </w:r>
      <w:r w:rsidR="001157F8">
        <w:t xml:space="preserve"> his Motion</w:t>
      </w:r>
      <w:r w:rsidR="00D9131F">
        <w:t>,</w:t>
      </w:r>
      <w:r w:rsidR="00590DCF">
        <w:t xml:space="preserve"> </w:t>
      </w:r>
      <w:r w:rsidR="00B50688">
        <w:t xml:space="preserve">relate the </w:t>
      </w:r>
      <w:r w:rsidR="007016A7">
        <w:t xml:space="preserve">specific </w:t>
      </w:r>
      <w:r w:rsidR="00C07135">
        <w:t>fact</w:t>
      </w:r>
      <w:r w:rsidR="001157F8">
        <w:t>s</w:t>
      </w:r>
      <w:r w:rsidR="00C07135">
        <w:t xml:space="preserve"> of the case</w:t>
      </w:r>
      <w:r w:rsidR="00B50688">
        <w:t xml:space="preserve"> to the </w:t>
      </w:r>
      <w:r w:rsidR="001047B0">
        <w:t>factors necessary to justify a stay</w:t>
      </w:r>
      <w:r w:rsidR="00C07135">
        <w:t xml:space="preserve">. </w:t>
      </w:r>
    </w:p>
    <w:p w:rsidR="00C07135" w:rsidP="004E29EC" w14:paraId="3304D6E2" w14:textId="6868B972">
      <w:pPr>
        <w:pStyle w:val="ParaNum"/>
      </w:pPr>
      <w:r>
        <w:t>Specifically</w:t>
      </w:r>
      <w:r w:rsidR="002F2448">
        <w:t>,</w:t>
      </w:r>
      <w:r>
        <w:t xml:space="preserve"> </w:t>
      </w:r>
      <w:r w:rsidR="00D9131F">
        <w:t>with regard to</w:t>
      </w:r>
      <w:r>
        <w:t xml:space="preserve"> </w:t>
      </w:r>
      <w:r w:rsidR="00E75B7D">
        <w:t>the second prong</w:t>
      </w:r>
      <w:r w:rsidR="00F1467E">
        <w:t xml:space="preserve">, Havens does not specify the harm </w:t>
      </w:r>
      <w:r w:rsidR="00E75B7D">
        <w:t>that he would suffer</w:t>
      </w:r>
      <w:r w:rsidR="00F928A6">
        <w:t xml:space="preserve"> </w:t>
      </w:r>
      <w:r w:rsidR="00E75B7D">
        <w:t>if a stay is not granted</w:t>
      </w:r>
      <w:r w:rsidR="00215FF5">
        <w:t>, let alone</w:t>
      </w:r>
      <w:r w:rsidR="00CF1C77">
        <w:t xml:space="preserve"> show</w:t>
      </w:r>
      <w:r w:rsidR="00215FF5">
        <w:t xml:space="preserve"> </w:t>
      </w:r>
      <w:r w:rsidR="002F2448">
        <w:t xml:space="preserve">that the </w:t>
      </w:r>
      <w:r w:rsidR="001157F8">
        <w:t xml:space="preserve">harm </w:t>
      </w:r>
      <w:r w:rsidR="002F2448">
        <w:t xml:space="preserve">is </w:t>
      </w:r>
      <w:r w:rsidR="00A37D74">
        <w:t xml:space="preserve">irreparable. </w:t>
      </w:r>
      <w:r w:rsidR="009A51F1">
        <w:t xml:space="preserve"> </w:t>
      </w:r>
      <w:r w:rsidR="00A37D74">
        <w:t xml:space="preserve">Havens </w:t>
      </w:r>
      <w:r w:rsidR="00FB50F1">
        <w:t>merely</w:t>
      </w:r>
      <w:r w:rsidR="00366E23">
        <w:t xml:space="preserve"> generally</w:t>
      </w:r>
      <w:r w:rsidR="00A37D74">
        <w:t xml:space="preserve"> refers to </w:t>
      </w:r>
      <w:r w:rsidR="00717E93">
        <w:t>his</w:t>
      </w:r>
      <w:r w:rsidR="00A37D74">
        <w:t xml:space="preserve"> Initial </w:t>
      </w:r>
      <w:r w:rsidR="0028466B">
        <w:t xml:space="preserve">Challenge and the “aggressive language” in the </w:t>
      </w:r>
      <w:r w:rsidRPr="00D4226E" w:rsidR="0028466B">
        <w:t>April Order</w:t>
      </w:r>
      <w:r w:rsidR="0028466B">
        <w:t>.</w:t>
      </w:r>
      <w:r>
        <w:rPr>
          <w:rStyle w:val="FootnoteReference"/>
        </w:rPr>
        <w:footnoteReference w:id="32"/>
      </w:r>
      <w:r w:rsidR="00D9131F">
        <w:t xml:space="preserve">  </w:t>
      </w:r>
      <w:r w:rsidR="005B1D0F">
        <w:t xml:space="preserve">These </w:t>
      </w:r>
      <w:r w:rsidR="006F6A94">
        <w:t xml:space="preserve">vague </w:t>
      </w:r>
      <w:r w:rsidR="005B1D0F">
        <w:t>references do</w:t>
      </w:r>
      <w:r w:rsidR="00F05342">
        <w:t xml:space="preserve"> not </w:t>
      </w:r>
      <w:r w:rsidR="006F6A94">
        <w:t xml:space="preserve">begin to </w:t>
      </w:r>
      <w:r w:rsidR="00F05342">
        <w:t xml:space="preserve">meet the </w:t>
      </w:r>
      <w:r w:rsidRPr="00F05342" w:rsidR="00F05342">
        <w:rPr>
          <w:i/>
          <w:iCs/>
        </w:rPr>
        <w:t>Wisconsin Gas</w:t>
      </w:r>
      <w:r w:rsidR="00F05342">
        <w:t xml:space="preserve"> standard</w:t>
      </w:r>
      <w:r w:rsidR="004D054B">
        <w:t xml:space="preserve"> </w:t>
      </w:r>
      <w:r w:rsidR="00E7480D">
        <w:t>for establishing</w:t>
      </w:r>
      <w:r w:rsidR="009A51F1">
        <w:t xml:space="preserve"> harm</w:t>
      </w:r>
      <w:r w:rsidR="00717E93">
        <w:t>,</w:t>
      </w:r>
      <w:r w:rsidR="009A51F1">
        <w:t xml:space="preserve"> </w:t>
      </w:r>
      <w:r w:rsidR="004D054B">
        <w:t>which requires</w:t>
      </w:r>
      <w:r w:rsidR="005B1D0F">
        <w:t xml:space="preserve"> that</w:t>
      </w:r>
      <w:r w:rsidR="004D054B">
        <w:t xml:space="preserve"> </w:t>
      </w:r>
      <w:r w:rsidR="00D71553">
        <w:t xml:space="preserve">the stay </w:t>
      </w:r>
      <w:r w:rsidR="00716058">
        <w:t>movant’s</w:t>
      </w:r>
      <w:r w:rsidR="00D71553">
        <w:t xml:space="preserve"> injury </w:t>
      </w:r>
      <w:r w:rsidR="004D054B">
        <w:t xml:space="preserve">must </w:t>
      </w:r>
      <w:r w:rsidR="00D71553">
        <w:t xml:space="preserve">be both “certain and great” and “of such </w:t>
      </w:r>
      <w:r w:rsidRPr="0016430F" w:rsidR="00D71553">
        <w:t>imminence</w:t>
      </w:r>
      <w:r w:rsidR="00D71553">
        <w:t xml:space="preserve"> that the</w:t>
      </w:r>
      <w:r w:rsidR="00B630A5">
        <w:t xml:space="preserve">re is a ‘clear and present’ need for equitable </w:t>
      </w:r>
      <w:r w:rsidR="00716058">
        <w:t>relief</w:t>
      </w:r>
      <w:r w:rsidR="00B630A5">
        <w:t xml:space="preserve"> to prevent </w:t>
      </w:r>
      <w:r w:rsidR="00716058">
        <w:t>irreparable</w:t>
      </w:r>
      <w:r w:rsidR="00B630A5">
        <w:t xml:space="preserve"> harm.</w:t>
      </w:r>
      <w:r w:rsidR="009A51F1">
        <w:t>”</w:t>
      </w:r>
      <w:r>
        <w:rPr>
          <w:rStyle w:val="FootnoteReference"/>
        </w:rPr>
        <w:footnoteReference w:id="33"/>
      </w:r>
    </w:p>
    <w:p w:rsidR="004E29EC" w:rsidP="004E29EC" w14:paraId="4B07B0D8" w14:textId="2E6C4A4A">
      <w:pPr>
        <w:pStyle w:val="ParaNum"/>
      </w:pPr>
      <w:r>
        <w:t>With regard to the third prong</w:t>
      </w:r>
      <w:r w:rsidR="0047272C">
        <w:t xml:space="preserve">, </w:t>
      </w:r>
      <w:r w:rsidR="000D1C2C">
        <w:t>Haven</w:t>
      </w:r>
      <w:r w:rsidR="003C6037">
        <w:t>s</w:t>
      </w:r>
      <w:r w:rsidR="000D1C2C">
        <w:t xml:space="preserve"> again </w:t>
      </w:r>
      <w:r w:rsidR="00D80D2F">
        <w:t xml:space="preserve">generally </w:t>
      </w:r>
      <w:r w:rsidR="000D1C2C">
        <w:t xml:space="preserve">references the </w:t>
      </w:r>
      <w:r w:rsidR="00AC0AE9">
        <w:t xml:space="preserve">Initial </w:t>
      </w:r>
      <w:r w:rsidR="00A4322A">
        <w:t>Challenge</w:t>
      </w:r>
      <w:r w:rsidR="007A495E">
        <w:t xml:space="preserve"> </w:t>
      </w:r>
      <w:r w:rsidR="00717E93">
        <w:t>but</w:t>
      </w:r>
      <w:r w:rsidR="007A495E">
        <w:t xml:space="preserve"> fails to</w:t>
      </w:r>
      <w:r w:rsidR="00382E08">
        <w:t xml:space="preserve"> </w:t>
      </w:r>
      <w:r w:rsidR="00D8243F">
        <w:t xml:space="preserve">allege specific facts </w:t>
      </w:r>
      <w:r w:rsidR="00382E08">
        <w:t>show</w:t>
      </w:r>
      <w:r w:rsidR="00D57D5D">
        <w:t>ing</w:t>
      </w:r>
      <w:r w:rsidR="00382E08">
        <w:t xml:space="preserve"> that</w:t>
      </w:r>
      <w:r w:rsidR="00905061">
        <w:t xml:space="preserve"> a</w:t>
      </w:r>
      <w:r w:rsidR="00400FC0">
        <w:t xml:space="preserve"> </w:t>
      </w:r>
      <w:r w:rsidR="0074312C">
        <w:t xml:space="preserve">grant of </w:t>
      </w:r>
      <w:r w:rsidR="007A495E">
        <w:t>a</w:t>
      </w:r>
      <w:r w:rsidR="00905061">
        <w:t xml:space="preserve"> </w:t>
      </w:r>
      <w:r w:rsidR="0074312C">
        <w:t>stay</w:t>
      </w:r>
      <w:r w:rsidR="00400FC0">
        <w:t xml:space="preserve"> would</w:t>
      </w:r>
      <w:r w:rsidR="00E73D45">
        <w:t xml:space="preserve"> not</w:t>
      </w:r>
      <w:r w:rsidR="00400FC0">
        <w:t xml:space="preserve"> </w:t>
      </w:r>
      <w:r w:rsidR="001157F8">
        <w:t>substantially</w:t>
      </w:r>
      <w:r w:rsidR="00400FC0">
        <w:t xml:space="preserve"> harm </w:t>
      </w:r>
      <w:r w:rsidR="00247EFE">
        <w:t>other</w:t>
      </w:r>
      <w:r w:rsidR="00400FC0">
        <w:t xml:space="preserve"> parties</w:t>
      </w:r>
      <w:r w:rsidR="00247EFE">
        <w:t>.</w:t>
      </w:r>
      <w:r>
        <w:rPr>
          <w:rStyle w:val="FootnoteReference"/>
        </w:rPr>
        <w:footnoteReference w:id="34"/>
      </w:r>
      <w:r w:rsidR="00247EFE">
        <w:t xml:space="preserve"> </w:t>
      </w:r>
      <w:r w:rsidR="001A5D68">
        <w:t xml:space="preserve"> </w:t>
      </w:r>
      <w:r w:rsidR="00247EFE">
        <w:t xml:space="preserve">As with the </w:t>
      </w:r>
      <w:r w:rsidR="0026476F">
        <w:t>other</w:t>
      </w:r>
      <w:r w:rsidR="00247EFE">
        <w:t xml:space="preserve"> stay </w:t>
      </w:r>
      <w:r w:rsidR="00BA1034">
        <w:t>criteria</w:t>
      </w:r>
      <w:r w:rsidR="00247EFE">
        <w:t xml:space="preserve">, the burden is on the party seeking the stay to demonstrate that </w:t>
      </w:r>
      <w:r w:rsidR="0026476F">
        <w:t xml:space="preserve">grant of </w:t>
      </w:r>
      <w:r w:rsidR="00BA1034">
        <w:t xml:space="preserve">a stay would </w:t>
      </w:r>
      <w:r w:rsidR="00E73D45">
        <w:t>not</w:t>
      </w:r>
      <w:r w:rsidR="007D6146">
        <w:t xml:space="preserve"> </w:t>
      </w:r>
      <w:r w:rsidR="001157F8">
        <w:t>substantial</w:t>
      </w:r>
      <w:r w:rsidR="0026476F">
        <w:t>ly</w:t>
      </w:r>
      <w:r w:rsidR="001157F8">
        <w:t xml:space="preserve"> </w:t>
      </w:r>
      <w:r w:rsidR="009556DB">
        <w:t>harm other p</w:t>
      </w:r>
      <w:r w:rsidR="00E777AF">
        <w:t>arties.</w:t>
      </w:r>
      <w:r>
        <w:rPr>
          <w:rStyle w:val="FootnoteReference"/>
        </w:rPr>
        <w:footnoteReference w:id="35"/>
      </w:r>
      <w:r w:rsidR="00DB7D4B">
        <w:t xml:space="preserve"> </w:t>
      </w:r>
      <w:r w:rsidR="00E777AF">
        <w:t xml:space="preserve"> </w:t>
      </w:r>
      <w:r w:rsidR="004F0348">
        <w:t xml:space="preserve">In </w:t>
      </w:r>
      <w:r w:rsidR="00140A5B">
        <w:t xml:space="preserve">any event, </w:t>
      </w:r>
      <w:r w:rsidR="004F0348">
        <w:t xml:space="preserve">Leong would </w:t>
      </w:r>
      <w:r w:rsidR="0026476F">
        <w:t>certainly</w:t>
      </w:r>
      <w:r w:rsidR="001A5D68">
        <w:t xml:space="preserve"> be</w:t>
      </w:r>
      <w:r w:rsidR="004F0348">
        <w:t xml:space="preserve"> harmed by a stay </w:t>
      </w:r>
      <w:r w:rsidR="0026476F">
        <w:t>because</w:t>
      </w:r>
      <w:r w:rsidR="004F0348">
        <w:t xml:space="preserve"> he would be barred from receiving the proc</w:t>
      </w:r>
      <w:r w:rsidR="00FC209C">
        <w:t>eeds</w:t>
      </w:r>
      <w:r w:rsidR="005863AB">
        <w:t xml:space="preserve"> from any sale of </w:t>
      </w:r>
      <w:r w:rsidR="00E7480D">
        <w:t xml:space="preserve">the </w:t>
      </w:r>
      <w:r w:rsidR="005863AB">
        <w:t>licenses in the receivership</w:t>
      </w:r>
      <w:r w:rsidR="00D154A4">
        <w:t xml:space="preserve"> that might have been approved</w:t>
      </w:r>
      <w:r w:rsidR="003476D5">
        <w:t>.</w:t>
      </w:r>
      <w:r w:rsidR="005863AB">
        <w:t xml:space="preserve"> </w:t>
      </w:r>
    </w:p>
    <w:p w:rsidR="00010C37" w:rsidP="004E29EC" w14:paraId="6A1AFC77" w14:textId="19FE58FA">
      <w:pPr>
        <w:pStyle w:val="ParaNum"/>
      </w:pPr>
      <w:r>
        <w:t xml:space="preserve">Finally, with regard to </w:t>
      </w:r>
      <w:r w:rsidR="00FC209C">
        <w:t>the fourth prong</w:t>
      </w:r>
      <w:r w:rsidR="000A6EF2">
        <w:t>, Havens do</w:t>
      </w:r>
      <w:r w:rsidR="00094AC4">
        <w:t>es</w:t>
      </w:r>
      <w:r w:rsidR="000A6EF2">
        <w:t xml:space="preserve"> not explain why a stay would </w:t>
      </w:r>
      <w:r w:rsidR="006158F0">
        <w:t>promote</w:t>
      </w:r>
      <w:r w:rsidR="000A6EF2">
        <w:t xml:space="preserve"> the public interest.</w:t>
      </w:r>
      <w:r w:rsidR="0099378C">
        <w:t xml:space="preserve">  </w:t>
      </w:r>
      <w:r w:rsidR="006E2214">
        <w:t xml:space="preserve">We find no </w:t>
      </w:r>
      <w:r w:rsidR="006158F0">
        <w:t xml:space="preserve">public interest </w:t>
      </w:r>
      <w:r w:rsidR="00E7554B">
        <w:t xml:space="preserve">benefit to </w:t>
      </w:r>
      <w:r w:rsidR="006158F0">
        <w:t xml:space="preserve">letting spectrum </w:t>
      </w:r>
      <w:r w:rsidR="004D6016">
        <w:t>remain</w:t>
      </w:r>
      <w:r w:rsidR="006158F0">
        <w:t xml:space="preserve"> </w:t>
      </w:r>
      <w:r w:rsidR="00032E36">
        <w:t xml:space="preserve">unused and in a state of limbo. </w:t>
      </w:r>
      <w:r w:rsidR="00E7554B">
        <w:t xml:space="preserve"> </w:t>
      </w:r>
      <w:r w:rsidR="00A27D4A">
        <w:t xml:space="preserve">To the contrary, </w:t>
      </w:r>
      <w:r w:rsidR="00E7554B">
        <w:t xml:space="preserve">as we noted in the April Order, </w:t>
      </w:r>
      <w:r w:rsidR="00A27D4A">
        <w:t xml:space="preserve">the public interest would be served by </w:t>
      </w:r>
      <w:r w:rsidR="008B3D24">
        <w:t xml:space="preserve">expeditiously </w:t>
      </w:r>
      <w:r w:rsidR="00A27D4A">
        <w:t xml:space="preserve">granting assignments of the </w:t>
      </w:r>
      <w:r w:rsidR="00E7554B">
        <w:t>l</w:t>
      </w:r>
      <w:r w:rsidR="00A27D4A">
        <w:t xml:space="preserve">icenses </w:t>
      </w:r>
      <w:r w:rsidR="00E7554B">
        <w:t>in the receivership, particularly since the licenses can potentially be used to support smart grid electronic systems.</w:t>
      </w:r>
      <w:r>
        <w:rPr>
          <w:rStyle w:val="FootnoteReference"/>
        </w:rPr>
        <w:footnoteReference w:id="36"/>
      </w:r>
    </w:p>
    <w:p w:rsidR="00032E36" w:rsidP="00032E36" w14:paraId="3D4B4FA1" w14:textId="56C0B69D">
      <w:pPr>
        <w:pStyle w:val="Heading1"/>
      </w:pPr>
      <w:r>
        <w:t xml:space="preserve">Conclusion </w:t>
      </w:r>
    </w:p>
    <w:p w:rsidR="00032E36" w:rsidP="00032E36" w14:paraId="3A2A7E20" w14:textId="4D14385F">
      <w:pPr>
        <w:pStyle w:val="ParaNum"/>
      </w:pPr>
      <w:r>
        <w:t>For the reasons stated herein, w</w:t>
      </w:r>
      <w:r w:rsidR="001E70A5">
        <w:t xml:space="preserve">e deny </w:t>
      </w:r>
      <w:r w:rsidR="001E70A5">
        <w:t>Havens’</w:t>
      </w:r>
      <w:r>
        <w:t>s</w:t>
      </w:r>
      <w:r w:rsidR="001E70A5">
        <w:t xml:space="preserve"> request for a stay </w:t>
      </w:r>
      <w:r>
        <w:t>because</w:t>
      </w:r>
      <w:r w:rsidR="001E70A5">
        <w:t xml:space="preserve"> Havens has failed to meet </w:t>
      </w:r>
      <w:r w:rsidR="00391567">
        <w:t xml:space="preserve">either </w:t>
      </w:r>
      <w:r w:rsidR="001E70A5">
        <w:t xml:space="preserve">the Commission’s long-standing </w:t>
      </w:r>
      <w:r w:rsidRPr="006036CC" w:rsidR="001E70A5">
        <w:rPr>
          <w:i/>
          <w:iCs/>
        </w:rPr>
        <w:t>P</w:t>
      </w:r>
      <w:r w:rsidRPr="006036CC" w:rsidR="002D590E">
        <w:rPr>
          <w:i/>
          <w:iCs/>
        </w:rPr>
        <w:t>etroleum Jobbers</w:t>
      </w:r>
      <w:r w:rsidR="002D590E">
        <w:t xml:space="preserve"> test</w:t>
      </w:r>
      <w:r w:rsidR="004E53AA">
        <w:t xml:space="preserve"> or the </w:t>
      </w:r>
      <w:r w:rsidR="00607B57">
        <w:t xml:space="preserve">related </w:t>
      </w:r>
      <w:r w:rsidRPr="00391567" w:rsidR="004E53AA">
        <w:rPr>
          <w:i/>
          <w:iCs/>
        </w:rPr>
        <w:t>Holiday Tours</w:t>
      </w:r>
      <w:r w:rsidR="004E53AA">
        <w:t xml:space="preserve"> test</w:t>
      </w:r>
      <w:r w:rsidR="004D6016">
        <w:t xml:space="preserve"> for granting a stay</w:t>
      </w:r>
      <w:r w:rsidR="002D590E">
        <w:t xml:space="preserve">. </w:t>
      </w:r>
      <w:r w:rsidR="004E53AA">
        <w:t xml:space="preserve"> </w:t>
      </w:r>
      <w:r w:rsidR="006036CC">
        <w:t>Havens has not</w:t>
      </w:r>
      <w:r w:rsidR="00F14FA5">
        <w:t xml:space="preserve"> demonstrated any need </w:t>
      </w:r>
      <w:r w:rsidR="001D613D">
        <w:t>to maintain the state quo ante pending a ruling on his Initial Challenge.</w:t>
      </w:r>
      <w:r w:rsidR="00391567">
        <w:t xml:space="preserve">  Accordingly, we confirm that we may proceed with licensing action</w:t>
      </w:r>
      <w:r w:rsidR="005D21C5">
        <w:t>s</w:t>
      </w:r>
      <w:r w:rsidR="00391567">
        <w:t xml:space="preserve"> involving the licenses in the receivership, subject to the conditions and as described in the April Order.</w:t>
      </w:r>
      <w:r>
        <w:rPr>
          <w:rStyle w:val="FootnoteReference"/>
        </w:rPr>
        <w:footnoteReference w:id="37"/>
      </w:r>
      <w:r w:rsidR="001D613D">
        <w:t xml:space="preserve"> </w:t>
      </w:r>
    </w:p>
    <w:p w:rsidR="0007277C" w:rsidP="0007277C" w14:paraId="6E8DE986" w14:textId="1D20D62F">
      <w:pPr>
        <w:pStyle w:val="Heading1"/>
      </w:pPr>
      <w:r>
        <w:t>Ordering clau</w:t>
      </w:r>
      <w:r w:rsidR="008A5FEA">
        <w:t xml:space="preserve">se </w:t>
      </w:r>
    </w:p>
    <w:p w:rsidR="00203E71" w:rsidRPr="003476D5" w:rsidP="00900A46" w14:paraId="6AA23C15" w14:textId="1223A6B5">
      <w:pPr>
        <w:pStyle w:val="ParaNum"/>
      </w:pPr>
      <w:r>
        <w:t>Accordingly,  IT IS ORDERED that, pursuant</w:t>
      </w:r>
      <w:r w:rsidR="006910E8">
        <w:t xml:space="preserve"> </w:t>
      </w:r>
      <w:r w:rsidRPr="006910E8" w:rsidR="006910E8">
        <w:t>to Section 4(i) of the Communications Act</w:t>
      </w:r>
      <w:r w:rsidR="006910E8">
        <w:t xml:space="preserve"> </w:t>
      </w:r>
      <w:r w:rsidRPr="006910E8" w:rsidR="006910E8">
        <w:t>of 1934, as amended, 47 U.S.C. § 154(i); and Section</w:t>
      </w:r>
      <w:r w:rsidR="00C55817">
        <w:t>s</w:t>
      </w:r>
      <w:r w:rsidRPr="006910E8" w:rsidR="006910E8">
        <w:t xml:space="preserve"> </w:t>
      </w:r>
      <w:r w:rsidR="00D3396F">
        <w:t xml:space="preserve">0.131, 0.331, </w:t>
      </w:r>
      <w:r w:rsidR="00C55817">
        <w:t>1.102(b)</w:t>
      </w:r>
      <w:r w:rsidR="00D3396F">
        <w:t>,</w:t>
      </w:r>
      <w:r w:rsidR="00C55817">
        <w:t xml:space="preserve"> and 1.106(n)</w:t>
      </w:r>
      <w:r w:rsidR="00D3396F">
        <w:t xml:space="preserve"> </w:t>
      </w:r>
      <w:r w:rsidRPr="006910E8" w:rsidR="006910E8">
        <w:t xml:space="preserve">of the Commission’s rules, 47 CFR </w:t>
      </w:r>
      <w:r w:rsidR="00B304B6">
        <w:t>§</w:t>
      </w:r>
      <w:r w:rsidRPr="006910E8" w:rsidR="006910E8">
        <w:t xml:space="preserve">§ </w:t>
      </w:r>
      <w:r w:rsidR="00D3396F">
        <w:t xml:space="preserve">0.131, 0.331, </w:t>
      </w:r>
      <w:r w:rsidR="00C55817">
        <w:t xml:space="preserve">1.102(b), </w:t>
      </w:r>
      <w:r w:rsidR="00D3396F">
        <w:t xml:space="preserve">and </w:t>
      </w:r>
      <w:r w:rsidR="00C55817">
        <w:t>1.106(n)</w:t>
      </w:r>
      <w:r w:rsidR="0099378C">
        <w:t xml:space="preserve">, </w:t>
      </w:r>
      <w:r w:rsidRPr="003476D5" w:rsidR="0099378C">
        <w:rPr>
          <w:snapToGrid/>
          <w:kern w:val="0"/>
          <w:szCs w:val="22"/>
        </w:rPr>
        <w:t>that the</w:t>
      </w:r>
      <w:r w:rsidRPr="003476D5" w:rsidR="00087322">
        <w:rPr>
          <w:snapToGrid/>
          <w:kern w:val="0"/>
          <w:szCs w:val="22"/>
        </w:rPr>
        <w:t xml:space="preserve"> Motion for Stay</w:t>
      </w:r>
      <w:r w:rsidRPr="003476D5" w:rsidR="0099378C">
        <w:rPr>
          <w:snapToGrid/>
          <w:kern w:val="0"/>
          <w:szCs w:val="22"/>
        </w:rPr>
        <w:t xml:space="preserve"> dated April 14, 2022</w:t>
      </w:r>
      <w:r w:rsidRPr="003476D5" w:rsidR="006131D5">
        <w:rPr>
          <w:snapToGrid/>
          <w:kern w:val="0"/>
          <w:szCs w:val="22"/>
        </w:rPr>
        <w:t>,</w:t>
      </w:r>
      <w:r w:rsidRPr="003476D5" w:rsidR="0099378C">
        <w:rPr>
          <w:snapToGrid/>
          <w:kern w:val="0"/>
          <w:szCs w:val="22"/>
        </w:rPr>
        <w:t xml:space="preserve"> </w:t>
      </w:r>
      <w:r w:rsidRPr="003476D5" w:rsidR="00D17C86">
        <w:rPr>
          <w:snapToGrid/>
          <w:kern w:val="0"/>
          <w:szCs w:val="22"/>
        </w:rPr>
        <w:t>filed by Warren Havens</w:t>
      </w:r>
      <w:r w:rsidRPr="003476D5" w:rsidR="006131D5">
        <w:rPr>
          <w:snapToGrid/>
          <w:kern w:val="0"/>
          <w:szCs w:val="22"/>
        </w:rPr>
        <w:t xml:space="preserve"> and Polaris PNT 1 PBC LLC</w:t>
      </w:r>
      <w:r w:rsidRPr="003476D5" w:rsidR="00D17C86">
        <w:rPr>
          <w:snapToGrid/>
          <w:kern w:val="0"/>
          <w:szCs w:val="22"/>
        </w:rPr>
        <w:t xml:space="preserve"> in the above-captioned matter is </w:t>
      </w:r>
      <w:r w:rsidRPr="003476D5" w:rsidR="006131D5">
        <w:rPr>
          <w:snapToGrid/>
          <w:kern w:val="0"/>
          <w:szCs w:val="22"/>
        </w:rPr>
        <w:t>DENIED</w:t>
      </w:r>
      <w:r w:rsidRPr="003476D5" w:rsidR="00D17C86">
        <w:rPr>
          <w:snapToGrid/>
          <w:kern w:val="0"/>
          <w:szCs w:val="22"/>
        </w:rPr>
        <w:t xml:space="preserve">. </w:t>
      </w:r>
      <w:r w:rsidRPr="003476D5" w:rsidR="006131D5">
        <w:rPr>
          <w:snapToGrid/>
          <w:kern w:val="0"/>
          <w:szCs w:val="22"/>
        </w:rPr>
        <w:t xml:space="preserve">  </w:t>
      </w:r>
    </w:p>
    <w:p w:rsidR="007B1103" w:rsidP="007B1103" w14:paraId="79854688" w14:textId="77777777">
      <w:pPr>
        <w:pStyle w:val="ParaNum"/>
        <w:numPr>
          <w:ilvl w:val="0"/>
          <w:numId w:val="0"/>
        </w:numPr>
        <w:rPr>
          <w:rFonts w:ascii="TimesNewRomanPSMT" w:hAnsi="TimesNewRomanPSMT" w:cs="TimesNewRomanPSMT"/>
          <w:snapToGrid/>
          <w:kern w:val="0"/>
          <w:szCs w:val="22"/>
        </w:rPr>
      </w:pPr>
    </w:p>
    <w:p w:rsidR="007B1103" w:rsidP="00D81E45" w14:paraId="205AD3E6" w14:textId="77777777">
      <w:pPr>
        <w:widowControl/>
        <w:autoSpaceDE w:val="0"/>
        <w:autoSpaceDN w:val="0"/>
        <w:adjustRightInd w:val="0"/>
        <w:ind w:left="4320"/>
        <w:rPr>
          <w:snapToGrid/>
          <w:kern w:val="0"/>
          <w:szCs w:val="22"/>
        </w:rPr>
      </w:pPr>
      <w:r>
        <w:rPr>
          <w:snapToGrid/>
          <w:kern w:val="0"/>
          <w:szCs w:val="22"/>
        </w:rPr>
        <w:t>FEDERAL COMMUNICATIONS COMMISSION</w:t>
      </w:r>
    </w:p>
    <w:p w:rsidR="007B1103" w:rsidP="00D81E45" w14:paraId="5EBD7D97" w14:textId="77777777">
      <w:pPr>
        <w:widowControl/>
        <w:autoSpaceDE w:val="0"/>
        <w:autoSpaceDN w:val="0"/>
        <w:adjustRightInd w:val="0"/>
        <w:rPr>
          <w:snapToGrid/>
          <w:kern w:val="0"/>
          <w:szCs w:val="22"/>
        </w:rPr>
      </w:pPr>
    </w:p>
    <w:p w:rsidR="007B1103" w:rsidP="00D81E45" w14:paraId="45ACFB8B" w14:textId="77777777">
      <w:pPr>
        <w:widowControl/>
        <w:autoSpaceDE w:val="0"/>
        <w:autoSpaceDN w:val="0"/>
        <w:adjustRightInd w:val="0"/>
        <w:rPr>
          <w:snapToGrid/>
          <w:kern w:val="0"/>
          <w:szCs w:val="22"/>
        </w:rPr>
      </w:pPr>
    </w:p>
    <w:p w:rsidR="007B1103" w:rsidP="00D81E45" w14:paraId="261EB459" w14:textId="77777777">
      <w:pPr>
        <w:widowControl/>
        <w:autoSpaceDE w:val="0"/>
        <w:autoSpaceDN w:val="0"/>
        <w:adjustRightInd w:val="0"/>
        <w:rPr>
          <w:snapToGrid/>
          <w:kern w:val="0"/>
          <w:szCs w:val="22"/>
        </w:rPr>
      </w:pPr>
    </w:p>
    <w:p w:rsidR="007B1103" w:rsidP="00D81E45" w14:paraId="362FED49" w14:textId="77777777">
      <w:pPr>
        <w:widowControl/>
        <w:autoSpaceDE w:val="0"/>
        <w:autoSpaceDN w:val="0"/>
        <w:adjustRightInd w:val="0"/>
        <w:rPr>
          <w:snapToGrid/>
          <w:kern w:val="0"/>
          <w:szCs w:val="22"/>
        </w:rPr>
      </w:pPr>
    </w:p>
    <w:p w:rsidR="002D7758" w:rsidP="002D7758" w14:paraId="1531F580" w14:textId="77777777">
      <w:pPr>
        <w:widowControl/>
        <w:autoSpaceDE w:val="0"/>
        <w:autoSpaceDN w:val="0"/>
        <w:adjustRightInd w:val="0"/>
        <w:ind w:left="4320"/>
        <w:rPr>
          <w:snapToGrid/>
          <w:kern w:val="0"/>
          <w:szCs w:val="22"/>
        </w:rPr>
      </w:pPr>
      <w:r>
        <w:rPr>
          <w:snapToGrid/>
          <w:kern w:val="0"/>
          <w:szCs w:val="22"/>
        </w:rPr>
        <w:t>Joel D. Taubenblatt</w:t>
      </w:r>
    </w:p>
    <w:p w:rsidR="007B1103" w:rsidP="00D81E45" w14:paraId="577FE2AA" w14:textId="48A65431">
      <w:pPr>
        <w:widowControl/>
        <w:autoSpaceDE w:val="0"/>
        <w:autoSpaceDN w:val="0"/>
        <w:adjustRightInd w:val="0"/>
        <w:ind w:left="4320"/>
        <w:rPr>
          <w:snapToGrid/>
          <w:kern w:val="0"/>
          <w:szCs w:val="22"/>
        </w:rPr>
      </w:pPr>
      <w:r>
        <w:rPr>
          <w:snapToGrid/>
          <w:kern w:val="0"/>
          <w:szCs w:val="22"/>
        </w:rPr>
        <w:t>Acting Chief</w:t>
      </w:r>
    </w:p>
    <w:p w:rsidR="007B1103" w:rsidRPr="008A5FEA" w:rsidP="00D81E45" w14:paraId="74910447" w14:textId="602771DE">
      <w:pPr>
        <w:pStyle w:val="ParaNum"/>
        <w:numPr>
          <w:ilvl w:val="0"/>
          <w:numId w:val="0"/>
        </w:numPr>
        <w:ind w:left="3600" w:firstLine="720"/>
      </w:pPr>
      <w:r>
        <w:rPr>
          <w:snapToGrid/>
          <w:kern w:val="0"/>
          <w:szCs w:val="22"/>
        </w:rPr>
        <w:t>Wireless Telecommunications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C9D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77E4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EEA253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7A2D0D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1AF9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29BF" w14:paraId="3623D40E" w14:textId="77777777">
      <w:r>
        <w:separator/>
      </w:r>
    </w:p>
  </w:footnote>
  <w:footnote w:type="continuationSeparator" w:id="1">
    <w:p w:rsidR="00C229BF" w:rsidP="00C721AC" w14:paraId="47A5E57D" w14:textId="77777777">
      <w:pPr>
        <w:spacing w:before="120"/>
        <w:rPr>
          <w:sz w:val="20"/>
        </w:rPr>
      </w:pPr>
      <w:r>
        <w:rPr>
          <w:sz w:val="20"/>
        </w:rPr>
        <w:t xml:space="preserve">(Continued from previous page)  </w:t>
      </w:r>
      <w:r>
        <w:rPr>
          <w:sz w:val="20"/>
        </w:rPr>
        <w:separator/>
      </w:r>
    </w:p>
  </w:footnote>
  <w:footnote w:type="continuationNotice" w:id="2">
    <w:p w:rsidR="00C229BF" w:rsidP="00C721AC" w14:paraId="3A4D4A73" w14:textId="77777777">
      <w:pPr>
        <w:jc w:val="right"/>
        <w:rPr>
          <w:sz w:val="20"/>
        </w:rPr>
      </w:pPr>
      <w:r>
        <w:rPr>
          <w:sz w:val="20"/>
        </w:rPr>
        <w:t>(continued….)</w:t>
      </w:r>
    </w:p>
  </w:footnote>
  <w:footnote w:id="3">
    <w:p w:rsidR="006E332B" w:rsidRPr="00BB1CE1" w:rsidP="00B114DA" w14:paraId="7D3B7428" w14:textId="3158AAD7">
      <w:pPr>
        <w:pStyle w:val="FootnoteText"/>
      </w:pPr>
      <w:r>
        <w:rPr>
          <w:rStyle w:val="FootnoteReference"/>
        </w:rPr>
        <w:footnoteRef/>
      </w:r>
      <w:r>
        <w:t xml:space="preserve"> </w:t>
      </w:r>
      <w:r w:rsidRPr="00B114DA" w:rsidR="00B114DA">
        <w:t xml:space="preserve">Motion </w:t>
      </w:r>
      <w:r w:rsidR="0090259B">
        <w:t>f</w:t>
      </w:r>
      <w:r w:rsidRPr="00B114DA" w:rsidR="00B114DA">
        <w:t xml:space="preserve">or </w:t>
      </w:r>
      <w:r w:rsidR="0090259B">
        <w:t>a</w:t>
      </w:r>
      <w:r w:rsidRPr="00B114DA" w:rsidR="00B114DA">
        <w:t xml:space="preserve"> Stay Based </w:t>
      </w:r>
      <w:r w:rsidR="00135826">
        <w:t>o</w:t>
      </w:r>
      <w:r w:rsidRPr="00B114DA" w:rsidR="00B114DA">
        <w:t>n</w:t>
      </w:r>
      <w:r w:rsidR="0090259B">
        <w:t xml:space="preserve"> t</w:t>
      </w:r>
      <w:r w:rsidRPr="00B114DA" w:rsidR="00B114DA">
        <w:t xml:space="preserve">he Existing Filing </w:t>
      </w:r>
      <w:r w:rsidR="00135826">
        <w:t>i</w:t>
      </w:r>
      <w:r w:rsidRPr="00B114DA" w:rsidR="00B114DA">
        <w:t>n Docket 11-71</w:t>
      </w:r>
      <w:r w:rsidR="007940DD">
        <w:t xml:space="preserve">, </w:t>
      </w:r>
      <w:r w:rsidRPr="00B114DA" w:rsidR="00B114DA">
        <w:rPr>
          <w:i/>
          <w:iCs/>
        </w:rPr>
        <w:t>"Initial Challenge To And Requests Regarding D</w:t>
      </w:r>
      <w:r w:rsidR="003C0578">
        <w:rPr>
          <w:i/>
          <w:iCs/>
        </w:rPr>
        <w:t>A</w:t>
      </w:r>
      <w:r w:rsidRPr="00B114DA" w:rsidR="00B114DA">
        <w:rPr>
          <w:i/>
          <w:iCs/>
        </w:rPr>
        <w:t xml:space="preserve"> 22-766 Based On Failures</w:t>
      </w:r>
      <w:r w:rsidR="00B114DA">
        <w:t xml:space="preserve"> </w:t>
      </w:r>
      <w:r w:rsidRPr="00B114DA" w:rsidR="00B114DA">
        <w:rPr>
          <w:i/>
          <w:iCs/>
        </w:rPr>
        <w:t>To Comply With Relevant Rules And Due Process Of</w:t>
      </w:r>
      <w:r w:rsidR="00B114DA">
        <w:rPr>
          <w:i/>
          <w:iCs/>
        </w:rPr>
        <w:t xml:space="preserve"> </w:t>
      </w:r>
      <w:r w:rsidRPr="00B114DA" w:rsidR="00B114DA">
        <w:rPr>
          <w:i/>
          <w:iCs/>
        </w:rPr>
        <w:t>Law" (4-11-2022)</w:t>
      </w:r>
      <w:r w:rsidR="00B114DA">
        <w:rPr>
          <w:i/>
          <w:iCs/>
        </w:rPr>
        <w:t xml:space="preserve"> </w:t>
      </w:r>
      <w:r w:rsidRPr="00B114DA" w:rsidR="00B114DA">
        <w:rPr>
          <w:i/>
          <w:iCs/>
        </w:rPr>
        <w:t>And For Additional Reasons</w:t>
      </w:r>
      <w:r w:rsidR="00595368">
        <w:rPr>
          <w:i/>
          <w:iCs/>
        </w:rPr>
        <w:t xml:space="preserve">, </w:t>
      </w:r>
      <w:r w:rsidR="00C17DC3">
        <w:t>EB Docket No. 11-71</w:t>
      </w:r>
      <w:r w:rsidR="00B4588D">
        <w:t>,</w:t>
      </w:r>
      <w:r w:rsidR="00C44D31">
        <w:t xml:space="preserve"> (filed Apr. 14, 2022)</w:t>
      </w:r>
      <w:r w:rsidR="000925D0">
        <w:t xml:space="preserve">, </w:t>
      </w:r>
      <w:hyperlink r:id="rId1" w:history="1">
        <w:r w:rsidRPr="006704CB" w:rsidR="0014577B">
          <w:rPr>
            <w:rStyle w:val="Hyperlink"/>
          </w:rPr>
          <w:t>https://www.fcc.gov/ecfs/search/search-filings/filing/10414371515061</w:t>
        </w:r>
      </w:hyperlink>
      <w:r w:rsidR="0014577B">
        <w:t xml:space="preserve"> </w:t>
      </w:r>
      <w:r w:rsidRPr="00595368" w:rsidR="00B114DA">
        <w:t>(</w:t>
      </w:r>
      <w:r w:rsidR="00563292">
        <w:t>Motion</w:t>
      </w:r>
      <w:r w:rsidRPr="00595368" w:rsidR="00B114DA">
        <w:t>)</w:t>
      </w:r>
      <w:r w:rsidR="00BB1CE1">
        <w:t>.</w:t>
      </w:r>
      <w:r w:rsidR="00563292">
        <w:t xml:space="preserve">  </w:t>
      </w:r>
      <w:r w:rsidR="00946FBB">
        <w:t xml:space="preserve">The Motion requests a stay of </w:t>
      </w:r>
      <w:r w:rsidRPr="009C599A" w:rsidR="00946FBB">
        <w:rPr>
          <w:i/>
          <w:iCs/>
        </w:rPr>
        <w:t>Skybridge Spectrum Foundation et al.,</w:t>
      </w:r>
      <w:r w:rsidR="00946FBB">
        <w:t xml:space="preserve"> </w:t>
      </w:r>
      <w:r w:rsidRPr="002B2C11" w:rsidR="00946FBB">
        <w:t>Memorandum Opinion and Order</w:t>
      </w:r>
      <w:r w:rsidR="00946FBB">
        <w:t>, DA 22-376 (Apr. 11, 2022) (</w:t>
      </w:r>
      <w:r w:rsidRPr="00725449" w:rsidR="00946FBB">
        <w:t>April Order</w:t>
      </w:r>
      <w:r w:rsidRPr="00850B1C" w:rsidR="00946FBB">
        <w:t>)</w:t>
      </w:r>
      <w:r w:rsidR="00946FBB">
        <w:t xml:space="preserve">.  </w:t>
      </w:r>
      <w:r w:rsidR="003C0578">
        <w:t>In the Motion, Havens refers incorrectly to the April Order as “DA 22-766” when the correct DA number is DA 22-376.  Havens a</w:t>
      </w:r>
      <w:r w:rsidR="004E2EC3">
        <w:t xml:space="preserve">lso suggests </w:t>
      </w:r>
      <w:r w:rsidR="003D1F62">
        <w:t xml:space="preserve">inappropriately </w:t>
      </w:r>
      <w:r w:rsidR="004E2EC3">
        <w:t xml:space="preserve">that the Motion </w:t>
      </w:r>
      <w:r w:rsidR="00752F78">
        <w:t xml:space="preserve">should </w:t>
      </w:r>
      <w:r w:rsidR="004E2EC3">
        <w:t>be reviewed by the Commission’s Office of General Counsel (OGC)</w:t>
      </w:r>
      <w:r w:rsidR="00B50982">
        <w:t xml:space="preserve">, which </w:t>
      </w:r>
      <w:r w:rsidR="00565F82">
        <w:t>lacks authority to act on the motion</w:t>
      </w:r>
      <w:r w:rsidR="00B50982">
        <w:t xml:space="preserve">, even if, as Havens alleges, </w:t>
      </w:r>
      <w:r w:rsidR="001E1F52">
        <w:t>the Bureau lacked delegated authority to render the underlying April Ord</w:t>
      </w:r>
      <w:r w:rsidR="00565F82">
        <w:t>e</w:t>
      </w:r>
      <w:r w:rsidR="001E1F52">
        <w:t>r</w:t>
      </w:r>
      <w:r w:rsidR="004E2EC3">
        <w:t xml:space="preserve">.  </w:t>
      </w:r>
      <w:r w:rsidRPr="00632939" w:rsidR="004E2EC3">
        <w:rPr>
          <w:i/>
          <w:iCs/>
        </w:rPr>
        <w:t>See</w:t>
      </w:r>
      <w:r w:rsidR="004E2EC3">
        <w:t xml:space="preserve"> Motion at 2</w:t>
      </w:r>
      <w:r w:rsidR="003D1F62">
        <w:t xml:space="preserve"> n.2.</w:t>
      </w:r>
      <w:r w:rsidR="00AF6721">
        <w:t xml:space="preserve">  On April 21, 2022, Dr. Arnold Leong (Leong), Havens’s former business partner </w:t>
      </w:r>
      <w:r w:rsidR="00565D02">
        <w:t>who is</w:t>
      </w:r>
      <w:r w:rsidR="00AF6721">
        <w:t xml:space="preserve"> </w:t>
      </w:r>
      <w:r w:rsidR="00C61B7C">
        <w:t xml:space="preserve">also </w:t>
      </w:r>
      <w:r w:rsidR="00565D02">
        <w:t>affected by</w:t>
      </w:r>
      <w:r w:rsidR="00AF6721">
        <w:t xml:space="preserve"> the April Order, filed an opposition to the Motion.</w:t>
      </w:r>
      <w:r w:rsidR="00C556DF">
        <w:t xml:space="preserve">  </w:t>
      </w:r>
      <w:r w:rsidR="0016755F">
        <w:t>(</w:t>
      </w:r>
      <w:r w:rsidR="00285420">
        <w:t xml:space="preserve">Opposition of Arnold Leong to Motion for Stay, </w:t>
      </w:r>
      <w:r w:rsidR="00862128">
        <w:t>EB</w:t>
      </w:r>
      <w:r w:rsidR="00316BAC">
        <w:t xml:space="preserve"> Docket No.</w:t>
      </w:r>
      <w:r w:rsidR="00862128">
        <w:t xml:space="preserve"> 11-71</w:t>
      </w:r>
      <w:r w:rsidR="00302A53">
        <w:t>,</w:t>
      </w:r>
      <w:r w:rsidR="00E45DA1">
        <w:t xml:space="preserve"> (Apr. 21</w:t>
      </w:r>
      <w:r w:rsidR="00C33F02">
        <w:t>, 2022)</w:t>
      </w:r>
      <w:r w:rsidR="00A05414">
        <w:t xml:space="preserve">, </w:t>
      </w:r>
      <w:hyperlink r:id="rId2" w:history="1">
        <w:r w:rsidRPr="00F86A68" w:rsidR="0026330A">
          <w:rPr>
            <w:rStyle w:val="Hyperlink"/>
          </w:rPr>
          <w:t>https://www.fcc.gov/ecfs/search/search-filings/filing/10520821612558</w:t>
        </w:r>
      </w:hyperlink>
      <w:r w:rsidR="0026330A">
        <w:t>)</w:t>
      </w:r>
      <w:r w:rsidR="00775D20">
        <w:t>.</w:t>
      </w:r>
      <w:r w:rsidR="0026330A">
        <w:t xml:space="preserve"> </w:t>
      </w:r>
      <w:r w:rsidR="00BB1CE1">
        <w:t xml:space="preserve"> </w:t>
      </w:r>
    </w:p>
  </w:footnote>
  <w:footnote w:id="4">
    <w:p w:rsidR="005B7B64" w14:paraId="189F159A" w14:textId="4F2D3C17">
      <w:pPr>
        <w:pStyle w:val="FootnoteText"/>
      </w:pPr>
      <w:r>
        <w:rPr>
          <w:rStyle w:val="FootnoteReference"/>
        </w:rPr>
        <w:footnoteRef/>
      </w:r>
      <w:r>
        <w:t xml:space="preserve"> The legal dispute between Havens and Leong is described in detail in the April Order.  </w:t>
      </w:r>
      <w:r w:rsidRPr="005B7B64">
        <w:rPr>
          <w:i/>
          <w:iCs/>
        </w:rPr>
        <w:t>See</w:t>
      </w:r>
      <w:r>
        <w:t xml:space="preserve"> April Order at 2-4, paras. 3-6.</w:t>
      </w:r>
    </w:p>
  </w:footnote>
  <w:footnote w:id="5">
    <w:p w:rsidR="00FA0039" w14:paraId="1CA10FFD" w14:textId="2C16D554">
      <w:pPr>
        <w:pStyle w:val="FootnoteText"/>
      </w:pPr>
      <w:r>
        <w:rPr>
          <w:rStyle w:val="FootnoteReference"/>
        </w:rPr>
        <w:footnoteRef/>
      </w:r>
      <w:r>
        <w:t xml:space="preserve"> </w:t>
      </w:r>
      <w:r w:rsidRPr="00FA0039">
        <w:rPr>
          <w:i/>
          <w:iCs/>
        </w:rPr>
        <w:t>See</w:t>
      </w:r>
      <w:r>
        <w:t xml:space="preserve"> </w:t>
      </w:r>
      <w:r w:rsidRPr="005B7B64" w:rsidR="005B7B64">
        <w:rPr>
          <w:i/>
          <w:iCs/>
        </w:rPr>
        <w:t>id</w:t>
      </w:r>
      <w:r w:rsidR="005B7B64">
        <w:t xml:space="preserve">. </w:t>
      </w:r>
      <w:r w:rsidR="000235C2">
        <w:t>at</w:t>
      </w:r>
      <w:r w:rsidR="005F6AB7">
        <w:t xml:space="preserve"> 17, para. 34</w:t>
      </w:r>
      <w:r>
        <w:t>.</w:t>
      </w:r>
    </w:p>
  </w:footnote>
  <w:footnote w:id="6">
    <w:p w:rsidR="00F91CB1" w:rsidP="00A25B4B" w14:paraId="58F8D13F" w14:textId="6D26CCBD">
      <w:pPr>
        <w:pStyle w:val="FootnoteText"/>
      </w:pPr>
      <w:r>
        <w:rPr>
          <w:rStyle w:val="FootnoteReference"/>
        </w:rPr>
        <w:footnoteRef/>
      </w:r>
      <w:r>
        <w:t xml:space="preserve"> </w:t>
      </w:r>
      <w:r w:rsidRPr="00035C66" w:rsidR="009E251A">
        <w:t xml:space="preserve">Initial Challenge </w:t>
      </w:r>
      <w:r w:rsidR="009E251A">
        <w:t>t</w:t>
      </w:r>
      <w:r w:rsidRPr="00035C66" w:rsidR="009E251A">
        <w:t xml:space="preserve">o </w:t>
      </w:r>
      <w:r w:rsidR="009E251A">
        <w:t>a</w:t>
      </w:r>
      <w:r w:rsidRPr="00035C66" w:rsidR="009E251A">
        <w:t>nd Requests Regarding D</w:t>
      </w:r>
      <w:r w:rsidR="009E251A">
        <w:t>A</w:t>
      </w:r>
      <w:r w:rsidRPr="00035C66" w:rsidR="009E251A">
        <w:t xml:space="preserve"> 22-766 Based </w:t>
      </w:r>
      <w:r w:rsidR="009B5F5D">
        <w:t>o</w:t>
      </w:r>
      <w:r w:rsidRPr="00035C66" w:rsidR="009E251A">
        <w:t>n</w:t>
      </w:r>
      <w:r w:rsidR="009E251A">
        <w:t xml:space="preserve"> </w:t>
      </w:r>
      <w:r w:rsidRPr="00035C66" w:rsidR="009E251A">
        <w:t xml:space="preserve">Failures </w:t>
      </w:r>
      <w:r w:rsidR="009B5F5D">
        <w:t>t</w:t>
      </w:r>
      <w:r w:rsidRPr="00035C66" w:rsidR="009E251A">
        <w:t xml:space="preserve">o Comply </w:t>
      </w:r>
      <w:r w:rsidR="008B3299">
        <w:t>w</w:t>
      </w:r>
      <w:r w:rsidRPr="00035C66" w:rsidR="009E251A">
        <w:t xml:space="preserve">ith Relevant Rules </w:t>
      </w:r>
      <w:r w:rsidR="008B3299">
        <w:t>a</w:t>
      </w:r>
      <w:r w:rsidRPr="00035C66" w:rsidR="009E251A">
        <w:t xml:space="preserve">nd Due Process </w:t>
      </w:r>
      <w:r w:rsidR="008B3299">
        <w:t>o</w:t>
      </w:r>
      <w:r w:rsidRPr="00035C66" w:rsidR="009E251A">
        <w:t>f Law</w:t>
      </w:r>
      <w:r w:rsidR="008B3299">
        <w:t>, EB</w:t>
      </w:r>
      <w:r w:rsidR="00D82652">
        <w:t xml:space="preserve"> Docket No.11</w:t>
      </w:r>
      <w:r w:rsidR="002E109E">
        <w:t>-71</w:t>
      </w:r>
      <w:r w:rsidR="00CA5E8E">
        <w:t xml:space="preserve">, </w:t>
      </w:r>
      <w:r w:rsidR="007616C9">
        <w:t>(filed Apr.11, 2022)</w:t>
      </w:r>
      <w:r w:rsidR="00037A69">
        <w:t xml:space="preserve">, </w:t>
      </w:r>
      <w:hyperlink r:id="rId3" w:history="1">
        <w:r w:rsidRPr="001A76AA" w:rsidR="00037A69">
          <w:rPr>
            <w:rStyle w:val="Hyperlink"/>
          </w:rPr>
          <w:t>https://www.fcc.gov/ecfs/search/search-filings/filing/104121149212725</w:t>
        </w:r>
      </w:hyperlink>
      <w:r w:rsidR="00CA5E8E">
        <w:t xml:space="preserve"> </w:t>
      </w:r>
      <w:r>
        <w:t>(Initial Challenge)</w:t>
      </w:r>
      <w:r w:rsidR="00037A69">
        <w:t>.</w:t>
      </w:r>
      <w:r w:rsidR="00DE21ED">
        <w:t xml:space="preserve">  </w:t>
      </w:r>
      <w:r w:rsidR="000E0C94">
        <w:t xml:space="preserve">We </w:t>
      </w:r>
      <w:r w:rsidR="00DA611B">
        <w:t>will</w:t>
      </w:r>
      <w:r w:rsidR="009B07F2">
        <w:t xml:space="preserve"> treat the Initial Challenge as a petition for reconsideration and</w:t>
      </w:r>
      <w:r w:rsidR="00DA611B">
        <w:t xml:space="preserve"> address </w:t>
      </w:r>
      <w:r w:rsidR="009B07F2">
        <w:t>it</w:t>
      </w:r>
      <w:r w:rsidR="00DA611B">
        <w:t xml:space="preserve"> </w:t>
      </w:r>
      <w:r w:rsidR="00386EF6">
        <w:t xml:space="preserve">in a separate order </w:t>
      </w:r>
      <w:r w:rsidR="00DA611B">
        <w:t>at a later date.</w:t>
      </w:r>
      <w:r w:rsidR="00AF6721">
        <w:t xml:space="preserve">  </w:t>
      </w:r>
      <w:r w:rsidR="00386EF6">
        <w:t>We will also address separately</w:t>
      </w:r>
      <w:r w:rsidR="00417E76">
        <w:t xml:space="preserve"> </w:t>
      </w:r>
      <w:r w:rsidR="00D54EF3">
        <w:t>Havens’s</w:t>
      </w:r>
      <w:r w:rsidR="00AF6721">
        <w:t xml:space="preserve"> additional petition for reconsideration filed May 11, 2022, concerning the same subject matter</w:t>
      </w:r>
      <w:r w:rsidR="00E676BB">
        <w:t>,</w:t>
      </w:r>
      <w:r w:rsidR="00A245C6">
        <w:t xml:space="preserve"> </w:t>
      </w:r>
      <w:r w:rsidRPr="00A25B4B" w:rsidR="00A25B4B">
        <w:t xml:space="preserve">5-11-2022 Further Challenge </w:t>
      </w:r>
      <w:r w:rsidR="00A25B4B">
        <w:t>t</w:t>
      </w:r>
      <w:r w:rsidRPr="00A25B4B" w:rsidR="00A25B4B">
        <w:t>o D</w:t>
      </w:r>
      <w:r w:rsidR="00A25B4B">
        <w:t>A</w:t>
      </w:r>
      <w:r w:rsidRPr="00A25B4B" w:rsidR="00A25B4B">
        <w:t xml:space="preserve"> 22-766</w:t>
      </w:r>
      <w:r w:rsidR="00A25B4B">
        <w:t xml:space="preserve"> </w:t>
      </w:r>
      <w:r w:rsidRPr="00A25B4B" w:rsidR="00A25B4B">
        <w:t>Including Under § 1.106 - A Petition For Reconsideration</w:t>
      </w:r>
      <w:r w:rsidR="00554FA9">
        <w:t>, EB Docket No. 11-71</w:t>
      </w:r>
      <w:r w:rsidR="00CA5E8E">
        <w:t xml:space="preserve">, </w:t>
      </w:r>
      <w:r w:rsidR="00554FA9">
        <w:t>(filed May 11, 2022)</w:t>
      </w:r>
      <w:r w:rsidR="00E24363">
        <w:t xml:space="preserve">. </w:t>
      </w:r>
      <w:r w:rsidR="00A25B4B">
        <w:t xml:space="preserve"> </w:t>
      </w:r>
    </w:p>
  </w:footnote>
  <w:footnote w:id="7">
    <w:p w:rsidR="005516B6" w14:paraId="2B61FF94" w14:textId="4CC42AA3">
      <w:pPr>
        <w:pStyle w:val="FootnoteText"/>
      </w:pPr>
      <w:r>
        <w:rPr>
          <w:rStyle w:val="FootnoteReference"/>
        </w:rPr>
        <w:footnoteRef/>
      </w:r>
      <w:r>
        <w:t xml:space="preserve"> </w:t>
      </w:r>
      <w:r w:rsidRPr="00632939" w:rsidR="00D8753C">
        <w:rPr>
          <w:i/>
          <w:iCs/>
        </w:rPr>
        <w:t xml:space="preserve">See Virginia Petroleum Jobbers </w:t>
      </w:r>
      <w:r w:rsidRPr="00632939" w:rsidR="00D8753C">
        <w:rPr>
          <w:i/>
          <w:iCs/>
        </w:rPr>
        <w:t>Ass’n v. FPC</w:t>
      </w:r>
      <w:r w:rsidR="00D8753C">
        <w:t>, 259 F.2d 921, 925 (D.C. Cir. 1958) (</w:t>
      </w:r>
      <w:r w:rsidRPr="00632939" w:rsidR="00D8753C">
        <w:rPr>
          <w:i/>
          <w:iCs/>
        </w:rPr>
        <w:t>Petroleum Jobbers</w:t>
      </w:r>
      <w:r w:rsidR="00D8753C">
        <w:t>).</w:t>
      </w:r>
    </w:p>
  </w:footnote>
  <w:footnote w:id="8">
    <w:p w:rsidR="009845A8" w14:paraId="31EA0CC7" w14:textId="0C2B4700">
      <w:pPr>
        <w:pStyle w:val="FootnoteText"/>
      </w:pPr>
      <w:r>
        <w:rPr>
          <w:rStyle w:val="FootnoteReference"/>
        </w:rPr>
        <w:footnoteRef/>
      </w:r>
      <w:r>
        <w:t xml:space="preserve"> </w:t>
      </w:r>
      <w:r w:rsidRPr="009845A8">
        <w:rPr>
          <w:i/>
          <w:iCs/>
        </w:rPr>
        <w:t>See</w:t>
      </w:r>
      <w:r>
        <w:t xml:space="preserve"> April Order</w:t>
      </w:r>
      <w:r w:rsidR="00F23418">
        <w:t xml:space="preserve">.  </w:t>
      </w:r>
      <w:r w:rsidR="00281481">
        <w:t xml:space="preserve">The April Order addresses </w:t>
      </w:r>
      <w:r w:rsidR="00F23418">
        <w:t>Havens</w:t>
      </w:r>
      <w:r w:rsidR="00281481">
        <w:t>’s</w:t>
      </w:r>
      <w:r w:rsidR="00F23418">
        <w:t xml:space="preserve"> pleading dated January 28, 2021, together with supplemental and amendatory materials supporting the pleading, </w:t>
      </w:r>
      <w:r w:rsidR="00281481">
        <w:t xml:space="preserve">submitted </w:t>
      </w:r>
      <w:r w:rsidRPr="005B5624" w:rsidR="005F6AB7">
        <w:t>in the above-captioned enforcement docket and in the Commission’s Universal Licensing System (ULS) for the captioned licensees</w:t>
      </w:r>
      <w:r w:rsidR="005F6AB7">
        <w:t xml:space="preserve">, and under </w:t>
      </w:r>
      <w:r w:rsidRPr="0081622C" w:rsidR="005F6AB7">
        <w:t xml:space="preserve">the following lease: </w:t>
      </w:r>
      <w:r w:rsidRPr="00302078" w:rsidR="005F6AB7">
        <w:t>L000015500</w:t>
      </w:r>
      <w:r w:rsidR="00F23418">
        <w:t xml:space="preserve"> (collectively, Havens Petition)</w:t>
      </w:r>
      <w:r w:rsidRPr="0081622C" w:rsidR="005F6AB7">
        <w:t>.</w:t>
      </w:r>
      <w:r w:rsidRPr="005B5624" w:rsidR="005F6AB7">
        <w:t xml:space="preserve">  The exhibits, amendments, and other supplementary materials were submitted in the enforcement docket, ULS, or both.</w:t>
      </w:r>
      <w:r w:rsidR="00F23418">
        <w:t xml:space="preserve">  </w:t>
      </w:r>
      <w:r w:rsidR="00041A5D">
        <w:t>In this Order</w:t>
      </w:r>
      <w:r w:rsidR="00D971ED">
        <w:t>, as in the April Order</w:t>
      </w:r>
      <w:r w:rsidR="00041A5D">
        <w:t>, w</w:t>
      </w:r>
      <w:r w:rsidR="00EE744E">
        <w:t>e refer to</w:t>
      </w:r>
      <w:r w:rsidR="001126D4">
        <w:t xml:space="preserve"> </w:t>
      </w:r>
      <w:r w:rsidR="00EE744E">
        <w:t>the entities included in the receivership as the “Skytel entities.”  We also refer to Havens and the Skytel entities that hold FCC licenses as the “Licensees” and the FCC licenses that they hold as the “Licenses.”</w:t>
      </w:r>
    </w:p>
  </w:footnote>
  <w:footnote w:id="9">
    <w:p w:rsidR="001126D4" w:rsidP="001126D4" w14:paraId="0EA12F55" w14:textId="454CFC0F">
      <w:pPr>
        <w:pStyle w:val="FootnoteText"/>
      </w:pPr>
      <w:r>
        <w:rPr>
          <w:rStyle w:val="FootnoteReference"/>
        </w:rPr>
        <w:footnoteRef/>
      </w:r>
      <w:r>
        <w:t xml:space="preserve"> </w:t>
      </w:r>
      <w:r w:rsidR="00E34A75">
        <w:t xml:space="preserve">April Order </w:t>
      </w:r>
      <w:r>
        <w:t xml:space="preserve">at 1, 9-10, paras. 1, 18, 20. </w:t>
      </w:r>
    </w:p>
  </w:footnote>
  <w:footnote w:id="10">
    <w:p w:rsidR="00D06700" w14:paraId="2E74AF91" w14:textId="1096D78C">
      <w:pPr>
        <w:pStyle w:val="FootnoteText"/>
      </w:pPr>
      <w:r>
        <w:rPr>
          <w:rStyle w:val="FootnoteReference"/>
        </w:rPr>
        <w:footnoteRef/>
      </w:r>
      <w:r>
        <w:t xml:space="preserve"> </w:t>
      </w:r>
      <w:r w:rsidR="00613513">
        <w:rPr>
          <w:i/>
          <w:iCs/>
        </w:rPr>
        <w:t>Id.</w:t>
      </w:r>
      <w:r>
        <w:t xml:space="preserve"> </w:t>
      </w:r>
      <w:r w:rsidR="006C319C">
        <w:t>at 1,</w:t>
      </w:r>
      <w:r w:rsidR="00235FB8">
        <w:t xml:space="preserve"> 10,</w:t>
      </w:r>
      <w:r w:rsidR="006C319C">
        <w:t xml:space="preserve"> </w:t>
      </w:r>
      <w:r>
        <w:t>para</w:t>
      </w:r>
      <w:r w:rsidR="00235FB8">
        <w:t>s</w:t>
      </w:r>
      <w:r>
        <w:t>. 1</w:t>
      </w:r>
      <w:r w:rsidR="00235FB8">
        <w:t>, 21</w:t>
      </w:r>
      <w:r w:rsidR="0078425B">
        <w:t xml:space="preserve">. </w:t>
      </w:r>
    </w:p>
  </w:footnote>
  <w:footnote w:id="11">
    <w:p w:rsidR="00EE4400" w:rsidP="00EE4400" w14:paraId="40934CE8" w14:textId="4A295A33">
      <w:pPr>
        <w:pStyle w:val="FootnoteText"/>
      </w:pPr>
      <w:r>
        <w:rPr>
          <w:rStyle w:val="FootnoteReference"/>
        </w:rPr>
        <w:footnoteRef/>
      </w:r>
      <w:r>
        <w:t xml:space="preserve"> </w:t>
      </w:r>
      <w:r w:rsidR="00613513">
        <w:rPr>
          <w:i/>
          <w:iCs/>
        </w:rPr>
        <w:t>Id.</w:t>
      </w:r>
      <w:r w:rsidR="00986645">
        <w:t xml:space="preserve"> </w:t>
      </w:r>
    </w:p>
  </w:footnote>
  <w:footnote w:id="12">
    <w:p w:rsidR="00EE4400" w:rsidP="00EE4400" w14:paraId="6DFA2F54" w14:textId="18FA7759">
      <w:pPr>
        <w:pStyle w:val="FootnoteText"/>
      </w:pPr>
      <w:r>
        <w:rPr>
          <w:rStyle w:val="FootnoteReference"/>
        </w:rPr>
        <w:footnoteRef/>
      </w:r>
      <w:r>
        <w:t xml:space="preserve"> 47 CFR </w:t>
      </w:r>
      <w:r w:rsidR="00FE7B08">
        <w:t xml:space="preserve">§ </w:t>
      </w:r>
      <w:r>
        <w:t xml:space="preserve">1.44(e) </w:t>
      </w:r>
      <w:r w:rsidR="004E3EB9">
        <w:t>(</w:t>
      </w:r>
      <w:r w:rsidR="009840A3">
        <w:t>“</w:t>
      </w:r>
      <w:r>
        <w:t>Any request to stay the effectiveness of any decision or order of the Commission shall be filed as a separate pleading. Any such request which is not filed as a separate pleading will not be considered by the Commission</w:t>
      </w:r>
      <w:r w:rsidR="00794841">
        <w:t>”</w:t>
      </w:r>
      <w:r w:rsidR="004E3EB9">
        <w:t>).</w:t>
      </w:r>
      <w:r w:rsidR="00FE7B08">
        <w:t xml:space="preserve"> </w:t>
      </w:r>
    </w:p>
  </w:footnote>
  <w:footnote w:id="13">
    <w:p w:rsidR="00EE4400" w:rsidP="00EE4400" w14:paraId="31F69B8F" w14:textId="7AF1E265">
      <w:pPr>
        <w:pStyle w:val="FootnoteText"/>
      </w:pPr>
      <w:r>
        <w:rPr>
          <w:rStyle w:val="FootnoteReference"/>
        </w:rPr>
        <w:footnoteRef/>
      </w:r>
      <w:r>
        <w:t xml:space="preserve"> </w:t>
      </w:r>
      <w:r w:rsidR="00E80447">
        <w:t xml:space="preserve">April Order at 11-12, paras. 22-23. </w:t>
      </w:r>
    </w:p>
  </w:footnote>
  <w:footnote w:id="14">
    <w:p w:rsidR="00690EE8" w14:paraId="3B8E7FA7" w14:textId="299807BC">
      <w:pPr>
        <w:pStyle w:val="FootnoteText"/>
      </w:pPr>
      <w:r>
        <w:rPr>
          <w:rStyle w:val="FootnoteReference"/>
        </w:rPr>
        <w:footnoteRef/>
      </w:r>
      <w:r>
        <w:t xml:space="preserve"> Petition for Declaratory Ruling by Arnold Leong, EB Docket No. 11-71</w:t>
      </w:r>
      <w:r w:rsidR="000D1145">
        <w:t>,</w:t>
      </w:r>
      <w:r>
        <w:t>(filed Mar. 11, 2021)</w:t>
      </w:r>
      <w:r w:rsidR="001F08AC">
        <w:t xml:space="preserve"> </w:t>
      </w:r>
      <w:hyperlink r:id="rId4" w:history="1">
        <w:r w:rsidRPr="00926981" w:rsidR="00687DC8">
          <w:rPr>
            <w:rStyle w:val="Hyperlink"/>
          </w:rPr>
          <w:t>https://www.fcc.gov/ecfs/search/search-filings/filing/103111858802078</w:t>
        </w:r>
      </w:hyperlink>
      <w:r w:rsidR="00687DC8">
        <w:t xml:space="preserve"> </w:t>
      </w:r>
      <w:r>
        <w:t>(Leong Petition).</w:t>
      </w:r>
    </w:p>
  </w:footnote>
  <w:footnote w:id="15">
    <w:p w:rsidR="00917ADC" w14:paraId="159E8F03" w14:textId="104F2FF0">
      <w:pPr>
        <w:pStyle w:val="FootnoteText"/>
      </w:pPr>
      <w:r>
        <w:rPr>
          <w:rStyle w:val="FootnoteReference"/>
        </w:rPr>
        <w:footnoteRef/>
      </w:r>
      <w:r>
        <w:t xml:space="preserve"> </w:t>
      </w:r>
      <w:r w:rsidRPr="00917ADC">
        <w:rPr>
          <w:i/>
          <w:iCs/>
        </w:rPr>
        <w:t>See</w:t>
      </w:r>
      <w:r>
        <w:t xml:space="preserve"> April Order at 3-4, paras. 5-6.</w:t>
      </w:r>
    </w:p>
  </w:footnote>
  <w:footnote w:id="16">
    <w:p w:rsidR="00E009D6" w14:paraId="069B8839" w14:textId="7B7408EE">
      <w:pPr>
        <w:pStyle w:val="FootnoteText"/>
      </w:pPr>
      <w:r>
        <w:rPr>
          <w:rStyle w:val="FootnoteReference"/>
        </w:rPr>
        <w:footnoteRef/>
      </w:r>
      <w:r>
        <w:t xml:space="preserve"> </w:t>
      </w:r>
      <w:r w:rsidRPr="00E009D6">
        <w:rPr>
          <w:i/>
          <w:iCs/>
        </w:rPr>
        <w:t>Id</w:t>
      </w:r>
      <w:r>
        <w:t>. at 4, para. 6.</w:t>
      </w:r>
    </w:p>
  </w:footnote>
  <w:footnote w:id="17">
    <w:p w:rsidR="008F0F07" w:rsidRPr="00D66E68" w14:paraId="73F6737E" w14:textId="57EAF204">
      <w:pPr>
        <w:pStyle w:val="FootnoteText"/>
      </w:pPr>
      <w:r>
        <w:rPr>
          <w:rStyle w:val="FootnoteReference"/>
        </w:rPr>
        <w:footnoteRef/>
      </w:r>
      <w:r>
        <w:t xml:space="preserve"> </w:t>
      </w:r>
      <w:r w:rsidRPr="008F0F07">
        <w:rPr>
          <w:i/>
          <w:iCs/>
        </w:rPr>
        <w:t>Id.</w:t>
      </w:r>
      <w:r>
        <w:t xml:space="preserve"> at 14, para. 26.</w:t>
      </w:r>
      <w:r w:rsidR="00967B7A">
        <w:t xml:space="preserve">  </w:t>
      </w:r>
      <w:r w:rsidRPr="00967B7A" w:rsidR="00967B7A">
        <w:rPr>
          <w:i/>
          <w:iCs/>
        </w:rPr>
        <w:t xml:space="preserve">See </w:t>
      </w:r>
      <w:r w:rsidR="00967B7A">
        <w:rPr>
          <w:i/>
          <w:iCs/>
        </w:rPr>
        <w:t>Second Thursday Corp.</w:t>
      </w:r>
      <w:r w:rsidR="00967B7A">
        <w:t xml:space="preserve">, 22 FCC 2d 515, </w:t>
      </w:r>
      <w:r w:rsidR="00967B7A">
        <w:rPr>
          <w:i/>
          <w:iCs/>
        </w:rPr>
        <w:t>recon. granted</w:t>
      </w:r>
      <w:r w:rsidR="00967B7A">
        <w:t>, 25 FCC 2d 112 (1970) (</w:t>
      </w:r>
      <w:r w:rsidR="00967B7A">
        <w:rPr>
          <w:i/>
          <w:iCs/>
        </w:rPr>
        <w:t>Second Thursday</w:t>
      </w:r>
      <w:r w:rsidR="00967B7A">
        <w:t>)</w:t>
      </w:r>
      <w:r w:rsidR="00B4077B">
        <w:t>.</w:t>
      </w:r>
      <w:r w:rsidR="00967B7A">
        <w:t xml:space="preserve">  In </w:t>
      </w:r>
      <w:r w:rsidRPr="00555EB7" w:rsidR="00967B7A">
        <w:rPr>
          <w:i/>
          <w:iCs/>
        </w:rPr>
        <w:t>Second Thursday</w:t>
      </w:r>
      <w:r w:rsidR="00967B7A">
        <w:t xml:space="preserve">, the Commission established an exception to the </w:t>
      </w:r>
      <w:r w:rsidRPr="00555EB7" w:rsidR="00967B7A">
        <w:rPr>
          <w:i/>
          <w:iCs/>
        </w:rPr>
        <w:t>Jefferson Radio</w:t>
      </w:r>
      <w:r w:rsidR="00593C76">
        <w:t xml:space="preserve"> policy</w:t>
      </w:r>
      <w:r w:rsidR="0070546E">
        <w:t>,</w:t>
      </w:r>
      <w:r w:rsidR="00593C76">
        <w:t xml:space="preserve"> which generally pr</w:t>
      </w:r>
      <w:r w:rsidR="00555EB7">
        <w:t>ohibits</w:t>
      </w:r>
      <w:r w:rsidR="00593C76">
        <w:t xml:space="preserve"> licenses from being assigned while basic qualifications issues raised against the licensee remain unresolved</w:t>
      </w:r>
      <w:r w:rsidR="00FF241B">
        <w:t xml:space="preserve">.  </w:t>
      </w:r>
      <w:r w:rsidRPr="00371C0F" w:rsidR="00371C0F">
        <w:rPr>
          <w:i/>
          <w:iCs/>
        </w:rPr>
        <w:t>Id</w:t>
      </w:r>
      <w:r w:rsidR="00371C0F">
        <w:t>. at 516.</w:t>
      </w:r>
      <w:r w:rsidR="005841BF">
        <w:t xml:space="preserve">  </w:t>
      </w:r>
      <w:r w:rsidR="005841BF">
        <w:rPr>
          <w:i/>
          <w:iCs/>
        </w:rPr>
        <w:t>Jefferson Radio</w:t>
      </w:r>
      <w:r w:rsidR="005841BF">
        <w:t xml:space="preserve"> is implicated</w:t>
      </w:r>
      <w:r w:rsidR="00593C76">
        <w:t xml:space="preserve"> here because an investigation regarding the character qualifications of Havens and his companies</w:t>
      </w:r>
      <w:r w:rsidR="00D55A0E">
        <w:t>, based on issues raised in an unrelated proceeding,</w:t>
      </w:r>
      <w:r w:rsidR="00593C76">
        <w:t xml:space="preserve"> remains pending at the Commission.</w:t>
      </w:r>
      <w:r w:rsidR="005D5386">
        <w:t xml:space="preserve">  </w:t>
      </w:r>
      <w:r w:rsidRPr="005D5386" w:rsidR="005D5386">
        <w:rPr>
          <w:i/>
          <w:iCs/>
        </w:rPr>
        <w:t>See</w:t>
      </w:r>
      <w:r w:rsidR="005D5386">
        <w:t xml:space="preserve"> April Order at 3-5, paras. 4-7</w:t>
      </w:r>
      <w:r w:rsidR="005E7AD4">
        <w:t>;</w:t>
      </w:r>
      <w:r w:rsidR="00EE3200">
        <w:t xml:space="preserve"> </w:t>
      </w:r>
      <w:r w:rsidRPr="00B92F2D" w:rsidR="00EE3200">
        <w:rPr>
          <w:i/>
          <w:iCs/>
        </w:rPr>
        <w:t>Maritime</w:t>
      </w:r>
      <w:r w:rsidRPr="00B92F2D" w:rsidR="00EE3200">
        <w:t xml:space="preserve"> </w:t>
      </w:r>
      <w:r w:rsidRPr="00B92F2D" w:rsidR="00EE3200">
        <w:rPr>
          <w:i/>
          <w:iCs/>
        </w:rPr>
        <w:t>Communications/Land Mobile, LLC</w:t>
      </w:r>
      <w:r w:rsidRPr="00B92F2D" w:rsidR="00EE3200">
        <w:t xml:space="preserve">, Memorandum Opinion and Order, 33 FCC </w:t>
      </w:r>
      <w:r w:rsidRPr="00B92F2D" w:rsidR="00EE3200">
        <w:t>Rcd 11822 (2018)</w:t>
      </w:r>
      <w:r w:rsidR="00EE3200">
        <w:t xml:space="preserve">, </w:t>
      </w:r>
      <w:r w:rsidRPr="00AF59C9" w:rsidR="00EE3200">
        <w:rPr>
          <w:i/>
          <w:iCs/>
        </w:rPr>
        <w:t>pet. for recon. pending</w:t>
      </w:r>
      <w:r w:rsidRPr="00B92F2D" w:rsidR="00EE3200">
        <w:t>.</w:t>
      </w:r>
      <w:r w:rsidR="005E7AD4">
        <w:t xml:space="preserve">  </w:t>
      </w:r>
      <w:r w:rsidR="00D66E68">
        <w:t xml:space="preserve">The </w:t>
      </w:r>
      <w:r w:rsidR="00D66E68">
        <w:rPr>
          <w:i/>
          <w:iCs/>
        </w:rPr>
        <w:t>Second Thursday</w:t>
      </w:r>
      <w:r w:rsidR="00D66E68">
        <w:t xml:space="preserve"> exception applies when </w:t>
      </w:r>
      <w:r w:rsidRPr="0070311A" w:rsidR="00D66E68">
        <w:t>the assignment</w:t>
      </w:r>
      <w:r w:rsidR="00BA68D7">
        <w:t xml:space="preserve"> will</w:t>
      </w:r>
      <w:r w:rsidRPr="0070311A" w:rsidR="00D66E68">
        <w:t xml:space="preserve"> benefit innocent</w:t>
      </w:r>
      <w:r w:rsidR="00D66E68">
        <w:t xml:space="preserve"> </w:t>
      </w:r>
      <w:r w:rsidRPr="0070311A" w:rsidR="00D66E68">
        <w:t xml:space="preserve">creditors of the licensee </w:t>
      </w:r>
      <w:r w:rsidR="00B730B4">
        <w:t>and</w:t>
      </w:r>
      <w:r w:rsidRPr="0070311A" w:rsidR="00D66E68">
        <w:t xml:space="preserve"> the persons charged with the misconduct (1) w</w:t>
      </w:r>
      <w:r w:rsidR="00B730B4">
        <w:t>ill</w:t>
      </w:r>
      <w:r w:rsidRPr="0070311A" w:rsidR="00D66E68">
        <w:t xml:space="preserve"> have no part in the</w:t>
      </w:r>
      <w:r w:rsidR="00D66E68">
        <w:t xml:space="preserve"> </w:t>
      </w:r>
      <w:r w:rsidRPr="0070311A" w:rsidR="00D66E68">
        <w:t>proposed operations, and (2) w</w:t>
      </w:r>
      <w:r w:rsidR="00B730B4">
        <w:t>ill</w:t>
      </w:r>
      <w:r w:rsidRPr="0070311A" w:rsidR="00D66E68">
        <w:t xml:space="preserve"> either derive no benefit from favorable action on the application or</w:t>
      </w:r>
      <w:r w:rsidR="00D66E68">
        <w:t xml:space="preserve"> </w:t>
      </w:r>
      <w:r w:rsidRPr="0070311A" w:rsidR="00D66E68">
        <w:t>derive only a minor benefit that is outweighed by equitable consideration in favor of innocent creditors</w:t>
      </w:r>
      <w:r w:rsidR="00DD1E52">
        <w:t>.</w:t>
      </w:r>
    </w:p>
  </w:footnote>
  <w:footnote w:id="18">
    <w:p w:rsidR="00A270C0" w14:paraId="3266F2C9" w14:textId="44A5929D">
      <w:pPr>
        <w:pStyle w:val="FootnoteText"/>
      </w:pPr>
      <w:r>
        <w:rPr>
          <w:rStyle w:val="FootnoteReference"/>
        </w:rPr>
        <w:footnoteRef/>
      </w:r>
      <w:r>
        <w:t xml:space="preserve"> </w:t>
      </w:r>
      <w:r w:rsidRPr="00A270C0">
        <w:rPr>
          <w:i/>
          <w:iCs/>
        </w:rPr>
        <w:t>See</w:t>
      </w:r>
      <w:r>
        <w:t xml:space="preserve"> April Order at 2, para. 2.</w:t>
      </w:r>
    </w:p>
  </w:footnote>
  <w:footnote w:id="19">
    <w:p w:rsidR="00E95FAB" w14:paraId="5992FE21" w14:textId="472E683D">
      <w:pPr>
        <w:pStyle w:val="FootnoteText"/>
      </w:pPr>
      <w:r>
        <w:rPr>
          <w:rStyle w:val="FootnoteReference"/>
        </w:rPr>
        <w:footnoteRef/>
      </w:r>
      <w:r>
        <w:t xml:space="preserve"> </w:t>
      </w:r>
      <w:r w:rsidRPr="00E95FAB">
        <w:rPr>
          <w:i/>
          <w:iCs/>
        </w:rPr>
        <w:t>See id</w:t>
      </w:r>
      <w:r>
        <w:t>. at 14, para. 28.</w:t>
      </w:r>
    </w:p>
  </w:footnote>
  <w:footnote w:id="20">
    <w:p w:rsidR="00E95FAB" w14:paraId="3E2F34AE" w14:textId="46D41B7E">
      <w:pPr>
        <w:pStyle w:val="FootnoteText"/>
      </w:pPr>
      <w:r>
        <w:rPr>
          <w:rStyle w:val="FootnoteReference"/>
        </w:rPr>
        <w:footnoteRef/>
      </w:r>
      <w:r>
        <w:t xml:space="preserve"> </w:t>
      </w:r>
      <w:r w:rsidRPr="00E95FAB">
        <w:rPr>
          <w:i/>
          <w:iCs/>
        </w:rPr>
        <w:t>See id</w:t>
      </w:r>
      <w:r>
        <w:t>. at 14, para. 27.</w:t>
      </w:r>
    </w:p>
  </w:footnote>
  <w:footnote w:id="21">
    <w:p w:rsidR="00AC4030" w14:paraId="171C7F79" w14:textId="4E3A9D05">
      <w:pPr>
        <w:pStyle w:val="FootnoteText"/>
      </w:pPr>
      <w:r>
        <w:rPr>
          <w:rStyle w:val="FootnoteReference"/>
        </w:rPr>
        <w:footnoteRef/>
      </w:r>
      <w:r>
        <w:t xml:space="preserve"> </w:t>
      </w:r>
      <w:r w:rsidRPr="00AC4030">
        <w:rPr>
          <w:i/>
          <w:iCs/>
        </w:rPr>
        <w:t>See id</w:t>
      </w:r>
      <w:r>
        <w:t>. at 17, para. 34.</w:t>
      </w:r>
    </w:p>
  </w:footnote>
  <w:footnote w:id="22">
    <w:p w:rsidR="00AC4030" w14:paraId="7361F1CC" w14:textId="5719DFB6">
      <w:pPr>
        <w:pStyle w:val="FootnoteText"/>
      </w:pPr>
      <w:r>
        <w:rPr>
          <w:rStyle w:val="FootnoteReference"/>
        </w:rPr>
        <w:footnoteRef/>
      </w:r>
      <w:r>
        <w:t xml:space="preserve"> </w:t>
      </w:r>
      <w:r w:rsidRPr="00AC4030">
        <w:rPr>
          <w:i/>
          <w:iCs/>
        </w:rPr>
        <w:t>See id</w:t>
      </w:r>
      <w:r>
        <w:t>. at 2, para. 2.</w:t>
      </w:r>
    </w:p>
  </w:footnote>
  <w:footnote w:id="23">
    <w:p w:rsidR="004B5E84" w14:paraId="2CC98578" w14:textId="353829C1">
      <w:pPr>
        <w:pStyle w:val="FootnoteText"/>
      </w:pPr>
      <w:r>
        <w:rPr>
          <w:rStyle w:val="FootnoteReference"/>
        </w:rPr>
        <w:footnoteRef/>
      </w:r>
      <w:r>
        <w:t xml:space="preserve"> </w:t>
      </w:r>
      <w:r w:rsidRPr="004B5E84">
        <w:rPr>
          <w:i/>
          <w:iCs/>
        </w:rPr>
        <w:t>See id</w:t>
      </w:r>
      <w:r>
        <w:t>. at 4, para. 6.</w:t>
      </w:r>
    </w:p>
  </w:footnote>
  <w:footnote w:id="24">
    <w:p w:rsidR="00027F8E" w14:paraId="4E022587" w14:textId="3B8DE9CD">
      <w:pPr>
        <w:pStyle w:val="FootnoteText"/>
      </w:pPr>
      <w:r>
        <w:rPr>
          <w:rStyle w:val="FootnoteReference"/>
        </w:rPr>
        <w:footnoteRef/>
      </w:r>
      <w:r>
        <w:t xml:space="preserve"> </w:t>
      </w:r>
      <w:r w:rsidR="0082620F">
        <w:t xml:space="preserve">Motion </w:t>
      </w:r>
      <w:r w:rsidR="00C253E8">
        <w:t xml:space="preserve">at </w:t>
      </w:r>
      <w:r w:rsidR="003434D0">
        <w:t>5</w:t>
      </w:r>
      <w:r w:rsidR="00C253E8">
        <w:t xml:space="preserve">. </w:t>
      </w:r>
    </w:p>
  </w:footnote>
  <w:footnote w:id="25">
    <w:p w:rsidR="00245613" w14:paraId="59097F58" w14:textId="73A1C9B6">
      <w:pPr>
        <w:pStyle w:val="FootnoteText"/>
      </w:pPr>
      <w:r>
        <w:rPr>
          <w:rStyle w:val="FootnoteReference"/>
        </w:rPr>
        <w:footnoteRef/>
      </w:r>
      <w:r>
        <w:t xml:space="preserve"> </w:t>
      </w:r>
      <w:r w:rsidRPr="002C5C0B" w:rsidR="002C5C0B">
        <w:rPr>
          <w:i/>
          <w:iCs/>
        </w:rPr>
        <w:t>Id</w:t>
      </w:r>
      <w:r w:rsidR="002C5C0B">
        <w:t>.</w:t>
      </w:r>
      <w:r w:rsidR="002D7BAA">
        <w:t xml:space="preserve"> </w:t>
      </w:r>
      <w:r w:rsidR="004E502C">
        <w:t xml:space="preserve">at </w:t>
      </w:r>
      <w:r w:rsidR="007B07B4">
        <w:t>4.</w:t>
      </w:r>
      <w:r>
        <w:t xml:space="preserve"> </w:t>
      </w:r>
    </w:p>
  </w:footnote>
  <w:footnote w:id="26">
    <w:p w:rsidR="00561AE6" w14:paraId="334E97E1" w14:textId="486D7AE2">
      <w:pPr>
        <w:pStyle w:val="FootnoteText"/>
      </w:pPr>
      <w:r>
        <w:rPr>
          <w:rStyle w:val="FootnoteReference"/>
        </w:rPr>
        <w:footnoteRef/>
      </w:r>
      <w:r>
        <w:t xml:space="preserve"> </w:t>
      </w:r>
      <w:r w:rsidRPr="00FF7746" w:rsidR="00B235F0">
        <w:rPr>
          <w:i/>
          <w:iCs/>
        </w:rPr>
        <w:t>See</w:t>
      </w:r>
      <w:r w:rsidRPr="00FF7746" w:rsidR="00B235F0">
        <w:t xml:space="preserve"> </w:t>
      </w:r>
      <w:r w:rsidRPr="00FF7746" w:rsidR="00B235F0">
        <w:rPr>
          <w:i/>
          <w:iCs/>
        </w:rPr>
        <w:t>Petroleum Jobbers</w:t>
      </w:r>
      <w:r w:rsidRPr="00725449" w:rsidR="007A6B00">
        <w:t xml:space="preserve">, </w:t>
      </w:r>
      <w:r w:rsidRPr="00FF7746" w:rsidR="007A6B00">
        <w:t xml:space="preserve">259 F.2d </w:t>
      </w:r>
      <w:r w:rsidRPr="00725449" w:rsidR="007A6B00">
        <w:t xml:space="preserve"> </w:t>
      </w:r>
      <w:r w:rsidRPr="00FF7746" w:rsidR="00723688">
        <w:t>at 925</w:t>
      </w:r>
      <w:r w:rsidRPr="00FF7746" w:rsidR="00B235F0">
        <w:t xml:space="preserve">; </w:t>
      </w:r>
      <w:r w:rsidRPr="00FF7746" w:rsidR="00B235F0">
        <w:rPr>
          <w:i/>
          <w:iCs/>
        </w:rPr>
        <w:t>Washington Metro. Area Transit Comm’n v. Holiday Tours, Inc</w:t>
      </w:r>
      <w:r w:rsidRPr="00FF7746" w:rsidR="00B235F0">
        <w:t>., 559 F.2d 841, 843-44 (D.C. Cir. 1977) (</w:t>
      </w:r>
      <w:r w:rsidRPr="00FF7746" w:rsidR="00B235F0">
        <w:rPr>
          <w:i/>
          <w:iCs/>
        </w:rPr>
        <w:t>Holiday Tours</w:t>
      </w:r>
      <w:r w:rsidRPr="00FF7746" w:rsidR="00B235F0">
        <w:t xml:space="preserve">); </w:t>
      </w:r>
      <w:r w:rsidRPr="00FF7746" w:rsidR="009C422A">
        <w:rPr>
          <w:i/>
          <w:iCs/>
        </w:rPr>
        <w:t>see also</w:t>
      </w:r>
      <w:r w:rsidRPr="00FF7746" w:rsidR="009C422A">
        <w:t xml:space="preserve"> </w:t>
      </w:r>
      <w:r w:rsidRPr="00FF7746" w:rsidR="001E17A2">
        <w:rPr>
          <w:i/>
          <w:iCs/>
        </w:rPr>
        <w:t>In re Amendment of Section 73.1125 and 73.1130 of the Commission's Rules, the Main Studio and Program Origination Rules for Radio and Television Broadcast Stations</w:t>
      </w:r>
      <w:r w:rsidRPr="00725449" w:rsidR="005C3997">
        <w:t xml:space="preserve">, </w:t>
      </w:r>
      <w:r w:rsidRPr="00725449" w:rsidR="00CD66CE">
        <w:t>FCC 87-248</w:t>
      </w:r>
      <w:r w:rsidRPr="00FF7746" w:rsidR="001E17A2">
        <w:rPr>
          <w:i/>
          <w:iCs/>
        </w:rPr>
        <w:t xml:space="preserve"> </w:t>
      </w:r>
      <w:r w:rsidRPr="00FF7746" w:rsidR="001E17A2">
        <w:t>(</w:t>
      </w:r>
      <w:r w:rsidRPr="00725449" w:rsidR="00FF7746">
        <w:t xml:space="preserve">OHMSV July 17, </w:t>
      </w:r>
      <w:r w:rsidRPr="00FF7746" w:rsidR="001E17A2">
        <w:t>1987</w:t>
      </w:r>
      <w:r w:rsidRPr="00725449" w:rsidR="00FF7746">
        <w:t>)</w:t>
      </w:r>
      <w:r w:rsidR="00FF7746">
        <w:t>.</w:t>
      </w:r>
      <w:r w:rsidR="00E8394B">
        <w:t xml:space="preserve"> </w:t>
      </w:r>
      <w:bookmarkStart w:id="2" w:name="_Hlk103933120"/>
    </w:p>
    <w:bookmarkEnd w:id="2"/>
  </w:footnote>
  <w:footnote w:id="27">
    <w:p w:rsidR="00617CA3" w14:paraId="1B86C4DD" w14:textId="023C30D1">
      <w:pPr>
        <w:pStyle w:val="FootnoteText"/>
      </w:pPr>
      <w:r>
        <w:rPr>
          <w:rStyle w:val="FootnoteReference"/>
        </w:rPr>
        <w:footnoteRef/>
      </w:r>
      <w:r>
        <w:t xml:space="preserve"> </w:t>
      </w:r>
      <w:r w:rsidRPr="0017277D" w:rsidR="0017277D">
        <w:rPr>
          <w:i/>
          <w:iCs/>
        </w:rPr>
        <w:t>See</w:t>
      </w:r>
      <w:r w:rsidR="00F20D67">
        <w:rPr>
          <w:i/>
          <w:iCs/>
        </w:rPr>
        <w:t>, e.g.,</w:t>
      </w:r>
      <w:r w:rsidR="0017277D">
        <w:t xml:space="preserve"> </w:t>
      </w:r>
      <w:r w:rsidR="00FF7746">
        <w:rPr>
          <w:i/>
          <w:iCs/>
        </w:rPr>
        <w:t xml:space="preserve">In re </w:t>
      </w:r>
      <w:r w:rsidRPr="00E8394B">
        <w:rPr>
          <w:i/>
          <w:iCs/>
        </w:rPr>
        <w:t>Motions for Stay of the ALLTEL Corporation and Telephone and Data Systems, Inc., and the Motion for Extension of Time to Comply of the ALLTEL Corporation</w:t>
      </w:r>
      <w:r w:rsidR="001F1805">
        <w:rPr>
          <w:i/>
          <w:iCs/>
        </w:rPr>
        <w:t xml:space="preserve">, </w:t>
      </w:r>
      <w:r w:rsidR="006677DE">
        <w:rPr>
          <w:rFonts w:ascii="TimesLTStd-Roman" w:hAnsi="TimesLTStd-Roman" w:cs="TimesLTStd-Roman"/>
        </w:rPr>
        <w:t xml:space="preserve">2 FCC </w:t>
      </w:r>
      <w:r w:rsidR="006677DE">
        <w:rPr>
          <w:rFonts w:ascii="TimesLTStd-Roman" w:hAnsi="TimesLTStd-Roman" w:cs="TimesLTStd-Roman"/>
        </w:rPr>
        <w:t xml:space="preserve">Rcd 1203 </w:t>
      </w:r>
      <w:r w:rsidR="00487BB8">
        <w:rPr>
          <w:rFonts w:ascii="TimesLTStd-Roman" w:hAnsi="TimesLTStd-Roman" w:cs="TimesLTStd-Roman"/>
        </w:rPr>
        <w:t>(1987)</w:t>
      </w:r>
      <w:r>
        <w:rPr>
          <w:i/>
          <w:iCs/>
        </w:rPr>
        <w:t xml:space="preserve">. </w:t>
      </w:r>
    </w:p>
  </w:footnote>
  <w:footnote w:id="28">
    <w:p w:rsidR="00D61EAF" w14:paraId="7874E1C1" w14:textId="4A42EFE9">
      <w:pPr>
        <w:pStyle w:val="FootnoteText"/>
      </w:pPr>
      <w:r>
        <w:rPr>
          <w:rStyle w:val="FootnoteReference"/>
        </w:rPr>
        <w:footnoteRef/>
      </w:r>
      <w:r>
        <w:t xml:space="preserve"> </w:t>
      </w:r>
      <w:r w:rsidR="004253F6">
        <w:t xml:space="preserve">Motion at </w:t>
      </w:r>
      <w:r w:rsidR="00BD22C7">
        <w:t>4</w:t>
      </w:r>
      <w:r w:rsidR="004253F6">
        <w:t>-7.</w:t>
      </w:r>
      <w:r w:rsidR="0000001F">
        <w:t xml:space="preserve"> </w:t>
      </w:r>
    </w:p>
  </w:footnote>
  <w:footnote w:id="29">
    <w:p w:rsidR="00BD22C7" w14:paraId="71C811BC" w14:textId="206E7ED4">
      <w:pPr>
        <w:pStyle w:val="FootnoteText"/>
      </w:pPr>
      <w:r>
        <w:rPr>
          <w:rStyle w:val="FootnoteReference"/>
        </w:rPr>
        <w:footnoteRef/>
      </w:r>
      <w:r>
        <w:t xml:space="preserve"> </w:t>
      </w:r>
      <w:r w:rsidRPr="00660738">
        <w:rPr>
          <w:i/>
          <w:iCs/>
        </w:rPr>
        <w:t>Id</w:t>
      </w:r>
      <w:r>
        <w:t xml:space="preserve">.; </w:t>
      </w:r>
      <w:r>
        <w:rPr>
          <w:i/>
          <w:iCs/>
        </w:rPr>
        <w:t>s</w:t>
      </w:r>
      <w:r w:rsidRPr="00660738">
        <w:rPr>
          <w:i/>
          <w:iCs/>
        </w:rPr>
        <w:t>ee</w:t>
      </w:r>
      <w:r>
        <w:t xml:space="preserve"> </w:t>
      </w:r>
      <w:r w:rsidRPr="00BA4352">
        <w:rPr>
          <w:i/>
          <w:iCs/>
        </w:rPr>
        <w:t>Holiday Tours</w:t>
      </w:r>
      <w:r w:rsidR="003A6244">
        <w:t xml:space="preserve">, </w:t>
      </w:r>
      <w:r w:rsidR="00BF0C51">
        <w:t>559</w:t>
      </w:r>
      <w:r w:rsidR="00DA6806">
        <w:t xml:space="preserve"> F.2d </w:t>
      </w:r>
      <w:r>
        <w:t>at 843 (“</w:t>
      </w:r>
      <w:r w:rsidRPr="001105BD">
        <w:t>[W]e hold that under Virginia Petroleum Jobbers a court, when confronted with a case in which the other three factors strongly favor interim relief may exercise its discretion to grant a stay if the movant has made a substantial case on the merits. The court is not required to find that ultimate success by the movant is a mathematical probability, and indeed, as in this case, may grant a stay even though its own approach may be contrary to movant's view of the merits. The necessary “level” or “degree” of possibility of success will vary according to the court's assessment of the other factors.”</w:t>
      </w:r>
      <w:r>
        <w:t>)</w:t>
      </w:r>
    </w:p>
  </w:footnote>
  <w:footnote w:id="30">
    <w:p w:rsidR="00E061CF" w14:paraId="53E6427A" w14:textId="766D4E19">
      <w:pPr>
        <w:pStyle w:val="FootnoteText"/>
      </w:pPr>
      <w:r>
        <w:rPr>
          <w:rStyle w:val="FootnoteReference"/>
        </w:rPr>
        <w:footnoteRef/>
      </w:r>
      <w:r>
        <w:t xml:space="preserve"> </w:t>
      </w:r>
      <w:r w:rsidRPr="0017277D" w:rsidR="0017277D">
        <w:rPr>
          <w:i/>
          <w:iCs/>
        </w:rPr>
        <w:t>See</w:t>
      </w:r>
      <w:r w:rsidR="0017277D">
        <w:t xml:space="preserve"> </w:t>
      </w:r>
      <w:r w:rsidRPr="00A74CC9" w:rsidR="00A74CC9">
        <w:rPr>
          <w:i/>
          <w:iCs/>
        </w:rPr>
        <w:t>Holiday Tours</w:t>
      </w:r>
      <w:r w:rsidR="00A74CC9">
        <w:t>, 5</w:t>
      </w:r>
      <w:r w:rsidR="004E20EE">
        <w:t xml:space="preserve">59 F.2d at </w:t>
      </w:r>
      <w:r w:rsidR="00C4521B">
        <w:t xml:space="preserve">843-44. </w:t>
      </w:r>
    </w:p>
  </w:footnote>
  <w:footnote w:id="31">
    <w:p w:rsidR="007016A7" w14:paraId="79C64E73" w14:textId="315D2366">
      <w:pPr>
        <w:pStyle w:val="FootnoteText"/>
      </w:pPr>
      <w:r>
        <w:rPr>
          <w:rStyle w:val="FootnoteReference"/>
        </w:rPr>
        <w:footnoteRef/>
      </w:r>
      <w:r>
        <w:t xml:space="preserve"> </w:t>
      </w:r>
      <w:r w:rsidRPr="0094510D">
        <w:rPr>
          <w:i/>
          <w:iCs/>
        </w:rPr>
        <w:t>Petroleum Jobbers</w:t>
      </w:r>
      <w:r w:rsidRPr="00725449" w:rsidR="000A0E99">
        <w:t>,</w:t>
      </w:r>
      <w:r w:rsidRPr="0094510D" w:rsidR="00D540EC">
        <w:t xml:space="preserve"> 259 F.2d </w:t>
      </w:r>
      <w:r w:rsidRPr="0094510D">
        <w:t>at 925</w:t>
      </w:r>
      <w:r w:rsidR="002D7758">
        <w:t xml:space="preserve">; </w:t>
      </w:r>
      <w:r w:rsidR="002D7758">
        <w:rPr>
          <w:i/>
          <w:iCs/>
        </w:rPr>
        <w:t>Holiday Tours</w:t>
      </w:r>
      <w:r w:rsidR="002D7758">
        <w:t xml:space="preserve">, 559 F.2d at 842-43 (quoting </w:t>
      </w:r>
      <w:r w:rsidR="002D7758">
        <w:rPr>
          <w:i/>
          <w:iCs/>
        </w:rPr>
        <w:t>Petroleum Jobbers</w:t>
      </w:r>
      <w:r w:rsidR="002D7758">
        <w:t>)</w:t>
      </w:r>
      <w:r w:rsidRPr="0094510D">
        <w:t>.</w:t>
      </w:r>
    </w:p>
  </w:footnote>
  <w:footnote w:id="32">
    <w:p w:rsidR="0028466B" w14:paraId="6A112352" w14:textId="0239B8E3">
      <w:pPr>
        <w:pStyle w:val="FootnoteText"/>
      </w:pPr>
      <w:r>
        <w:rPr>
          <w:rStyle w:val="FootnoteReference"/>
        </w:rPr>
        <w:footnoteRef/>
      </w:r>
      <w:r>
        <w:t xml:space="preserve"> </w:t>
      </w:r>
      <w:r w:rsidR="005B1D0F">
        <w:t xml:space="preserve">Motion </w:t>
      </w:r>
      <w:r w:rsidR="00E85FD9">
        <w:t>at</w:t>
      </w:r>
      <w:r w:rsidR="00F05342">
        <w:t xml:space="preserve"> 6</w:t>
      </w:r>
      <w:r w:rsidR="00E85FD9">
        <w:t xml:space="preserve">. </w:t>
      </w:r>
    </w:p>
  </w:footnote>
  <w:footnote w:id="33">
    <w:p w:rsidR="00716058" w14:paraId="4D7ACE62" w14:textId="7BC8D5DC">
      <w:pPr>
        <w:pStyle w:val="FootnoteText"/>
      </w:pPr>
      <w:r>
        <w:rPr>
          <w:rStyle w:val="FootnoteReference"/>
        </w:rPr>
        <w:footnoteRef/>
      </w:r>
      <w:r>
        <w:t xml:space="preserve"> </w:t>
      </w:r>
      <w:r w:rsidRPr="004E29EC" w:rsidR="004E29EC">
        <w:rPr>
          <w:i/>
          <w:iCs/>
        </w:rPr>
        <w:t>Wisconsin Gas Co. v. FERC</w:t>
      </w:r>
      <w:r w:rsidRPr="004E29EC" w:rsidR="004E29EC">
        <w:t>, 758 F.2d 669, 674 (D.C.Cir.1985)</w:t>
      </w:r>
      <w:r w:rsidR="0016430F">
        <w:t xml:space="preserve"> (</w:t>
      </w:r>
      <w:r w:rsidRPr="0016430F" w:rsidR="0016430F">
        <w:rPr>
          <w:i/>
          <w:iCs/>
        </w:rPr>
        <w:t>Wisconsin Gas</w:t>
      </w:r>
      <w:r w:rsidR="0016430F">
        <w:t>)</w:t>
      </w:r>
      <w:r w:rsidR="00717E35">
        <w:t>,</w:t>
      </w:r>
      <w:r w:rsidRPr="004E29EC" w:rsidR="004E29EC">
        <w:t xml:space="preserve"> </w:t>
      </w:r>
      <w:r w:rsidRPr="004E29EC" w:rsidR="004E29EC">
        <w:rPr>
          <w:i/>
          <w:iCs/>
        </w:rPr>
        <w:t>quoting</w:t>
      </w:r>
      <w:r w:rsidRPr="004E29EC" w:rsidR="004E29EC">
        <w:t xml:space="preserve"> </w:t>
      </w:r>
      <w:r w:rsidRPr="004E29EC" w:rsidR="004E29EC">
        <w:rPr>
          <w:i/>
          <w:iCs/>
        </w:rPr>
        <w:t>Ashland Oil, Inc. v. FTC</w:t>
      </w:r>
      <w:r w:rsidRPr="004E29EC" w:rsidR="004E29EC">
        <w:t xml:space="preserve">, 409 F. Supp. 297, 307 (D.D.C.), </w:t>
      </w:r>
      <w:r w:rsidRPr="004E29EC" w:rsidR="004E29EC">
        <w:rPr>
          <w:i/>
          <w:iCs/>
        </w:rPr>
        <w:t>aff'd</w:t>
      </w:r>
      <w:r w:rsidRPr="004E29EC" w:rsidR="004E29EC">
        <w:t xml:space="preserve">, 548 F.2d 977 (D.C.Cir.1976); </w:t>
      </w:r>
      <w:r w:rsidRPr="004E29EC" w:rsidR="004E29EC">
        <w:rPr>
          <w:i/>
          <w:iCs/>
        </w:rPr>
        <w:t>see also</w:t>
      </w:r>
      <w:r w:rsidRPr="004E29EC" w:rsidR="004E29EC">
        <w:rPr>
          <w:i/>
        </w:rPr>
        <w:t xml:space="preserve"> </w:t>
      </w:r>
      <w:r w:rsidRPr="004E29EC" w:rsidR="004E29EC">
        <w:rPr>
          <w:i/>
          <w:iCs/>
        </w:rPr>
        <w:t>In re Expanded Interconnection with Local Telephone Facilities</w:t>
      </w:r>
      <w:r w:rsidRPr="004E29EC" w:rsidR="004E29EC">
        <w:t xml:space="preserve">, Order, 8 FCC </w:t>
      </w:r>
      <w:r w:rsidRPr="004E29EC" w:rsidR="004E29EC">
        <w:t>Rcd 123, 125, para. 8 (1992).</w:t>
      </w:r>
    </w:p>
  </w:footnote>
  <w:footnote w:id="34">
    <w:p w:rsidR="009854D9" w14:paraId="4B91175F" w14:textId="0EE4AE3A">
      <w:pPr>
        <w:pStyle w:val="FootnoteText"/>
      </w:pPr>
      <w:r>
        <w:rPr>
          <w:rStyle w:val="FootnoteReference"/>
        </w:rPr>
        <w:footnoteRef/>
      </w:r>
      <w:r>
        <w:t xml:space="preserve"> </w:t>
      </w:r>
      <w:r w:rsidR="007A495E">
        <w:t xml:space="preserve">Motion at 5-6. </w:t>
      </w:r>
    </w:p>
  </w:footnote>
  <w:footnote w:id="35">
    <w:p w:rsidR="00760416" w:rsidRPr="00B72CF7" w14:paraId="5672173A" w14:textId="1B265656">
      <w:pPr>
        <w:pStyle w:val="FootnoteText"/>
      </w:pPr>
      <w:r>
        <w:rPr>
          <w:rStyle w:val="FootnoteReference"/>
        </w:rPr>
        <w:footnoteRef/>
      </w:r>
      <w:r>
        <w:t xml:space="preserve"> </w:t>
      </w:r>
      <w:r w:rsidRPr="00950AD7" w:rsidR="0026476F">
        <w:rPr>
          <w:i/>
          <w:iCs/>
        </w:rPr>
        <w:t>See, e.g.</w:t>
      </w:r>
      <w:r w:rsidRPr="00950AD7" w:rsidR="0026476F">
        <w:t xml:space="preserve">, </w:t>
      </w:r>
      <w:r w:rsidRPr="00950AD7" w:rsidR="0026476F">
        <w:rPr>
          <w:i/>
          <w:iCs/>
        </w:rPr>
        <w:t>Martinez Rodriguez v. Jimenez</w:t>
      </w:r>
      <w:r w:rsidRPr="00950AD7" w:rsidR="0026476F">
        <w:t>, 537 F.2d 1, 2 (1st Cir. 1976) (explaining that “[t]he applicable standards for a party seeking a stay are … (3) a showing that no substantial harm will come to other interested parties….”)</w:t>
      </w:r>
      <w:r w:rsidR="0026476F">
        <w:t>.</w:t>
      </w:r>
      <w:r w:rsidR="00B72CF7">
        <w:t xml:space="preserve"> </w:t>
      </w:r>
    </w:p>
  </w:footnote>
  <w:footnote w:id="36">
    <w:p w:rsidR="00E7554B" w14:paraId="3F47BCA6" w14:textId="0191B79C">
      <w:pPr>
        <w:pStyle w:val="FootnoteText"/>
      </w:pPr>
      <w:r>
        <w:rPr>
          <w:rStyle w:val="FootnoteReference"/>
        </w:rPr>
        <w:footnoteRef/>
      </w:r>
      <w:r>
        <w:t xml:space="preserve"> April Order at 1</w:t>
      </w:r>
      <w:r w:rsidR="0008761C">
        <w:t>1</w:t>
      </w:r>
      <w:r>
        <w:t>, para. 22.</w:t>
      </w:r>
    </w:p>
  </w:footnote>
  <w:footnote w:id="37">
    <w:p w:rsidR="00391567" w14:paraId="0F69324B" w14:textId="02F57FA0">
      <w:pPr>
        <w:pStyle w:val="FootnoteText"/>
      </w:pPr>
      <w:r>
        <w:rPr>
          <w:rStyle w:val="FootnoteReference"/>
        </w:rPr>
        <w:footnoteRef/>
      </w:r>
      <w:r>
        <w:t xml:space="preserve"> </w:t>
      </w:r>
      <w:r w:rsidRPr="00391567">
        <w:rPr>
          <w:i/>
          <w:iCs/>
        </w:rPr>
        <w:t>See id</w:t>
      </w:r>
      <w:r>
        <w:t>. at 17, para.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BA7" w:rsidP="00EA0BA7" w14:paraId="1FADAF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A0BA7" w14:paraId="1855ABF1" w14:textId="43B0DF98">
    <w:pPr>
      <w:pStyle w:val="Header"/>
    </w:pPr>
    <w:r>
      <w:tab/>
    </w:r>
    <w:r>
      <w:t>Federal Communications Commission</w:t>
    </w:r>
    <w:r>
      <w:tab/>
    </w:r>
    <w:r w:rsidR="00EA0BA7">
      <w:t>DA 22-654</w:t>
    </w:r>
  </w:p>
  <w:p w:rsidR="00D25FB5" w14:paraId="29B1EE3B" w14:textId="09934AA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A0D11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A0BA7" w14:paraId="387684AF" w14:textId="0437EDB1">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EA0BA7">
      <w:t>DA 22-654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68CEDE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21"/>
    <w:rsid w:val="0000001F"/>
    <w:rsid w:val="00010C37"/>
    <w:rsid w:val="000123C8"/>
    <w:rsid w:val="00012F55"/>
    <w:rsid w:val="00015A3D"/>
    <w:rsid w:val="0001780F"/>
    <w:rsid w:val="00023441"/>
    <w:rsid w:val="000235C2"/>
    <w:rsid w:val="00024260"/>
    <w:rsid w:val="00027F8E"/>
    <w:rsid w:val="00032E36"/>
    <w:rsid w:val="00033142"/>
    <w:rsid w:val="00035C66"/>
    <w:rsid w:val="00036039"/>
    <w:rsid w:val="00036918"/>
    <w:rsid w:val="00036BC6"/>
    <w:rsid w:val="000377AF"/>
    <w:rsid w:val="00037A69"/>
    <w:rsid w:val="00037F90"/>
    <w:rsid w:val="00041A5D"/>
    <w:rsid w:val="0005088D"/>
    <w:rsid w:val="00053759"/>
    <w:rsid w:val="000607ED"/>
    <w:rsid w:val="0006357C"/>
    <w:rsid w:val="000717DE"/>
    <w:rsid w:val="0007277C"/>
    <w:rsid w:val="00073C59"/>
    <w:rsid w:val="000748D4"/>
    <w:rsid w:val="00075AF3"/>
    <w:rsid w:val="00084D30"/>
    <w:rsid w:val="00087322"/>
    <w:rsid w:val="000875BF"/>
    <w:rsid w:val="0008761C"/>
    <w:rsid w:val="00087F94"/>
    <w:rsid w:val="00091268"/>
    <w:rsid w:val="000925D0"/>
    <w:rsid w:val="00094AC4"/>
    <w:rsid w:val="00096D8C"/>
    <w:rsid w:val="000A0A90"/>
    <w:rsid w:val="000A0E99"/>
    <w:rsid w:val="000A1BD3"/>
    <w:rsid w:val="000A6893"/>
    <w:rsid w:val="000A6EF2"/>
    <w:rsid w:val="000B1C42"/>
    <w:rsid w:val="000B206F"/>
    <w:rsid w:val="000C0B65"/>
    <w:rsid w:val="000C33AE"/>
    <w:rsid w:val="000C55C0"/>
    <w:rsid w:val="000C61B2"/>
    <w:rsid w:val="000C66F1"/>
    <w:rsid w:val="000D0B69"/>
    <w:rsid w:val="000D1145"/>
    <w:rsid w:val="000D1C2C"/>
    <w:rsid w:val="000D3638"/>
    <w:rsid w:val="000D6F14"/>
    <w:rsid w:val="000E05FE"/>
    <w:rsid w:val="000E0C94"/>
    <w:rsid w:val="000E3D42"/>
    <w:rsid w:val="000E40F9"/>
    <w:rsid w:val="000E5022"/>
    <w:rsid w:val="000F0621"/>
    <w:rsid w:val="000F7BD6"/>
    <w:rsid w:val="00100A3B"/>
    <w:rsid w:val="00101397"/>
    <w:rsid w:val="0010401C"/>
    <w:rsid w:val="001047B0"/>
    <w:rsid w:val="001070F8"/>
    <w:rsid w:val="001105BD"/>
    <w:rsid w:val="001106F0"/>
    <w:rsid w:val="001126D4"/>
    <w:rsid w:val="00113539"/>
    <w:rsid w:val="001157F8"/>
    <w:rsid w:val="0012018D"/>
    <w:rsid w:val="00122BD5"/>
    <w:rsid w:val="00123025"/>
    <w:rsid w:val="00130478"/>
    <w:rsid w:val="00131758"/>
    <w:rsid w:val="001318C0"/>
    <w:rsid w:val="0013318B"/>
    <w:rsid w:val="00133F79"/>
    <w:rsid w:val="00134C57"/>
    <w:rsid w:val="00135826"/>
    <w:rsid w:val="00136D2C"/>
    <w:rsid w:val="00140A5B"/>
    <w:rsid w:val="0014577B"/>
    <w:rsid w:val="00147020"/>
    <w:rsid w:val="00147171"/>
    <w:rsid w:val="00151A2B"/>
    <w:rsid w:val="00160436"/>
    <w:rsid w:val="00163977"/>
    <w:rsid w:val="0016430F"/>
    <w:rsid w:val="0016721B"/>
    <w:rsid w:val="0016755F"/>
    <w:rsid w:val="0017277D"/>
    <w:rsid w:val="001727BF"/>
    <w:rsid w:val="00175915"/>
    <w:rsid w:val="0018299B"/>
    <w:rsid w:val="001864FB"/>
    <w:rsid w:val="001932A1"/>
    <w:rsid w:val="00194A66"/>
    <w:rsid w:val="00195B73"/>
    <w:rsid w:val="001A038B"/>
    <w:rsid w:val="001A0616"/>
    <w:rsid w:val="001A2391"/>
    <w:rsid w:val="001A4F1C"/>
    <w:rsid w:val="001A5D68"/>
    <w:rsid w:val="001A73F6"/>
    <w:rsid w:val="001A76AA"/>
    <w:rsid w:val="001B260B"/>
    <w:rsid w:val="001B3677"/>
    <w:rsid w:val="001B7B63"/>
    <w:rsid w:val="001C1719"/>
    <w:rsid w:val="001D10DA"/>
    <w:rsid w:val="001D3582"/>
    <w:rsid w:val="001D45E9"/>
    <w:rsid w:val="001D613D"/>
    <w:rsid w:val="001D6BCF"/>
    <w:rsid w:val="001D6BD6"/>
    <w:rsid w:val="001D762D"/>
    <w:rsid w:val="001D7FF2"/>
    <w:rsid w:val="001E01CA"/>
    <w:rsid w:val="001E17A2"/>
    <w:rsid w:val="001E1F52"/>
    <w:rsid w:val="001E48EA"/>
    <w:rsid w:val="001E6BA4"/>
    <w:rsid w:val="001E70A5"/>
    <w:rsid w:val="001F08AC"/>
    <w:rsid w:val="001F1805"/>
    <w:rsid w:val="00203E71"/>
    <w:rsid w:val="0020453A"/>
    <w:rsid w:val="00205772"/>
    <w:rsid w:val="0020774F"/>
    <w:rsid w:val="00215947"/>
    <w:rsid w:val="00215FF5"/>
    <w:rsid w:val="00216A68"/>
    <w:rsid w:val="002202E8"/>
    <w:rsid w:val="00221732"/>
    <w:rsid w:val="00222F63"/>
    <w:rsid w:val="00226EDA"/>
    <w:rsid w:val="00227076"/>
    <w:rsid w:val="00235FB8"/>
    <w:rsid w:val="002363E3"/>
    <w:rsid w:val="00240A53"/>
    <w:rsid w:val="00240F7F"/>
    <w:rsid w:val="00245613"/>
    <w:rsid w:val="0024568B"/>
    <w:rsid w:val="00245B54"/>
    <w:rsid w:val="002465F6"/>
    <w:rsid w:val="0024681F"/>
    <w:rsid w:val="00247EFE"/>
    <w:rsid w:val="0026048A"/>
    <w:rsid w:val="00261624"/>
    <w:rsid w:val="00262E4A"/>
    <w:rsid w:val="0026330A"/>
    <w:rsid w:val="00264364"/>
    <w:rsid w:val="0026476F"/>
    <w:rsid w:val="0026696D"/>
    <w:rsid w:val="00275CF5"/>
    <w:rsid w:val="00276BE0"/>
    <w:rsid w:val="00280FDC"/>
    <w:rsid w:val="00281481"/>
    <w:rsid w:val="00282BE1"/>
    <w:rsid w:val="0028301F"/>
    <w:rsid w:val="0028466B"/>
    <w:rsid w:val="00285017"/>
    <w:rsid w:val="00285420"/>
    <w:rsid w:val="002855C4"/>
    <w:rsid w:val="00287506"/>
    <w:rsid w:val="002916F4"/>
    <w:rsid w:val="00293920"/>
    <w:rsid w:val="00295C3B"/>
    <w:rsid w:val="002A0511"/>
    <w:rsid w:val="002A05DE"/>
    <w:rsid w:val="002A2D2E"/>
    <w:rsid w:val="002A61C3"/>
    <w:rsid w:val="002A6FE7"/>
    <w:rsid w:val="002B03DD"/>
    <w:rsid w:val="002B2C11"/>
    <w:rsid w:val="002B41DC"/>
    <w:rsid w:val="002B62F8"/>
    <w:rsid w:val="002C00E8"/>
    <w:rsid w:val="002C383C"/>
    <w:rsid w:val="002C5C0B"/>
    <w:rsid w:val="002C72E5"/>
    <w:rsid w:val="002D52EE"/>
    <w:rsid w:val="002D590E"/>
    <w:rsid w:val="002D5998"/>
    <w:rsid w:val="002D7758"/>
    <w:rsid w:val="002D7B7F"/>
    <w:rsid w:val="002D7BAA"/>
    <w:rsid w:val="002E109E"/>
    <w:rsid w:val="002E1338"/>
    <w:rsid w:val="002F2448"/>
    <w:rsid w:val="002F3789"/>
    <w:rsid w:val="002F3C62"/>
    <w:rsid w:val="0030200B"/>
    <w:rsid w:val="00302078"/>
    <w:rsid w:val="00302A53"/>
    <w:rsid w:val="00302D3C"/>
    <w:rsid w:val="003078DA"/>
    <w:rsid w:val="00313063"/>
    <w:rsid w:val="00314B3E"/>
    <w:rsid w:val="00316BAC"/>
    <w:rsid w:val="00317689"/>
    <w:rsid w:val="00317E40"/>
    <w:rsid w:val="003205AE"/>
    <w:rsid w:val="0032154D"/>
    <w:rsid w:val="00321963"/>
    <w:rsid w:val="0033041C"/>
    <w:rsid w:val="003321F4"/>
    <w:rsid w:val="00334517"/>
    <w:rsid w:val="00340DCD"/>
    <w:rsid w:val="003434D0"/>
    <w:rsid w:val="00343749"/>
    <w:rsid w:val="003476D5"/>
    <w:rsid w:val="00353413"/>
    <w:rsid w:val="00355F67"/>
    <w:rsid w:val="00357A28"/>
    <w:rsid w:val="003601EF"/>
    <w:rsid w:val="00360ECB"/>
    <w:rsid w:val="00361B26"/>
    <w:rsid w:val="003647A4"/>
    <w:rsid w:val="003660ED"/>
    <w:rsid w:val="00366E23"/>
    <w:rsid w:val="00370637"/>
    <w:rsid w:val="00370AC3"/>
    <w:rsid w:val="00371C0F"/>
    <w:rsid w:val="00373499"/>
    <w:rsid w:val="0038009B"/>
    <w:rsid w:val="00382DAF"/>
    <w:rsid w:val="00382E08"/>
    <w:rsid w:val="003836F4"/>
    <w:rsid w:val="00385272"/>
    <w:rsid w:val="0038684F"/>
    <w:rsid w:val="00386EF6"/>
    <w:rsid w:val="00391567"/>
    <w:rsid w:val="00393459"/>
    <w:rsid w:val="00396597"/>
    <w:rsid w:val="00397C94"/>
    <w:rsid w:val="003A070B"/>
    <w:rsid w:val="003A0B27"/>
    <w:rsid w:val="003A20C4"/>
    <w:rsid w:val="003A41EE"/>
    <w:rsid w:val="003A4D36"/>
    <w:rsid w:val="003A6244"/>
    <w:rsid w:val="003B0550"/>
    <w:rsid w:val="003B0AFB"/>
    <w:rsid w:val="003B1074"/>
    <w:rsid w:val="003B1B24"/>
    <w:rsid w:val="003B3FB7"/>
    <w:rsid w:val="003B61A1"/>
    <w:rsid w:val="003B694F"/>
    <w:rsid w:val="003C0578"/>
    <w:rsid w:val="003C6037"/>
    <w:rsid w:val="003D1F62"/>
    <w:rsid w:val="003E2079"/>
    <w:rsid w:val="003E23A2"/>
    <w:rsid w:val="003E2FBD"/>
    <w:rsid w:val="003F171C"/>
    <w:rsid w:val="003F1775"/>
    <w:rsid w:val="003F3549"/>
    <w:rsid w:val="00400FC0"/>
    <w:rsid w:val="00403E63"/>
    <w:rsid w:val="0040666E"/>
    <w:rsid w:val="00407345"/>
    <w:rsid w:val="00412FC5"/>
    <w:rsid w:val="0041552D"/>
    <w:rsid w:val="00415ACC"/>
    <w:rsid w:val="00415DCB"/>
    <w:rsid w:val="00416764"/>
    <w:rsid w:val="00417E76"/>
    <w:rsid w:val="00422276"/>
    <w:rsid w:val="004226D5"/>
    <w:rsid w:val="0042299E"/>
    <w:rsid w:val="004242F1"/>
    <w:rsid w:val="004249DF"/>
    <w:rsid w:val="004253F6"/>
    <w:rsid w:val="004315C9"/>
    <w:rsid w:val="004364A5"/>
    <w:rsid w:val="00437C01"/>
    <w:rsid w:val="00441755"/>
    <w:rsid w:val="004418A0"/>
    <w:rsid w:val="00445A00"/>
    <w:rsid w:val="00451B0F"/>
    <w:rsid w:val="00452D14"/>
    <w:rsid w:val="0046247C"/>
    <w:rsid w:val="00462A69"/>
    <w:rsid w:val="004718B9"/>
    <w:rsid w:val="0047272C"/>
    <w:rsid w:val="0047657E"/>
    <w:rsid w:val="00487BA8"/>
    <w:rsid w:val="00487BB8"/>
    <w:rsid w:val="004928AF"/>
    <w:rsid w:val="00495320"/>
    <w:rsid w:val="004A23EF"/>
    <w:rsid w:val="004A28F6"/>
    <w:rsid w:val="004A3428"/>
    <w:rsid w:val="004A7B4A"/>
    <w:rsid w:val="004B0027"/>
    <w:rsid w:val="004B0B36"/>
    <w:rsid w:val="004B1786"/>
    <w:rsid w:val="004B2999"/>
    <w:rsid w:val="004B5E84"/>
    <w:rsid w:val="004B644F"/>
    <w:rsid w:val="004C22F4"/>
    <w:rsid w:val="004C2EE3"/>
    <w:rsid w:val="004C5C22"/>
    <w:rsid w:val="004C6EAA"/>
    <w:rsid w:val="004D054B"/>
    <w:rsid w:val="004D3E5D"/>
    <w:rsid w:val="004D6016"/>
    <w:rsid w:val="004E20EE"/>
    <w:rsid w:val="004E29EC"/>
    <w:rsid w:val="004E2EC3"/>
    <w:rsid w:val="004E35D4"/>
    <w:rsid w:val="004E3828"/>
    <w:rsid w:val="004E3EB9"/>
    <w:rsid w:val="004E4A22"/>
    <w:rsid w:val="004E4E33"/>
    <w:rsid w:val="004E502C"/>
    <w:rsid w:val="004E53AA"/>
    <w:rsid w:val="004E5540"/>
    <w:rsid w:val="004E55AD"/>
    <w:rsid w:val="004E6CB2"/>
    <w:rsid w:val="004F0348"/>
    <w:rsid w:val="004F1281"/>
    <w:rsid w:val="005038D4"/>
    <w:rsid w:val="005059C2"/>
    <w:rsid w:val="00510372"/>
    <w:rsid w:val="00510680"/>
    <w:rsid w:val="00510C1B"/>
    <w:rsid w:val="00511968"/>
    <w:rsid w:val="00513783"/>
    <w:rsid w:val="005161C9"/>
    <w:rsid w:val="0052377A"/>
    <w:rsid w:val="00525025"/>
    <w:rsid w:val="00526355"/>
    <w:rsid w:val="005279C6"/>
    <w:rsid w:val="00527BAC"/>
    <w:rsid w:val="005325F7"/>
    <w:rsid w:val="0053690A"/>
    <w:rsid w:val="00537797"/>
    <w:rsid w:val="00537842"/>
    <w:rsid w:val="00543B62"/>
    <w:rsid w:val="005511C3"/>
    <w:rsid w:val="005516B6"/>
    <w:rsid w:val="0055360B"/>
    <w:rsid w:val="0055444F"/>
    <w:rsid w:val="00554798"/>
    <w:rsid w:val="00554FA9"/>
    <w:rsid w:val="0055535E"/>
    <w:rsid w:val="00555EB7"/>
    <w:rsid w:val="0055614C"/>
    <w:rsid w:val="005612B1"/>
    <w:rsid w:val="00561AE6"/>
    <w:rsid w:val="00563292"/>
    <w:rsid w:val="00564C0F"/>
    <w:rsid w:val="00565D02"/>
    <w:rsid w:val="00565F82"/>
    <w:rsid w:val="00566D06"/>
    <w:rsid w:val="00574CC9"/>
    <w:rsid w:val="00583B66"/>
    <w:rsid w:val="0058401C"/>
    <w:rsid w:val="005841BF"/>
    <w:rsid w:val="005863AB"/>
    <w:rsid w:val="00590DCF"/>
    <w:rsid w:val="00591E02"/>
    <w:rsid w:val="00592F5C"/>
    <w:rsid w:val="00593C76"/>
    <w:rsid w:val="0059497F"/>
    <w:rsid w:val="00595368"/>
    <w:rsid w:val="005A20D8"/>
    <w:rsid w:val="005A26AE"/>
    <w:rsid w:val="005B0131"/>
    <w:rsid w:val="005B0FFB"/>
    <w:rsid w:val="005B1D0F"/>
    <w:rsid w:val="005B1D2C"/>
    <w:rsid w:val="005B2E3B"/>
    <w:rsid w:val="005B4377"/>
    <w:rsid w:val="005B5624"/>
    <w:rsid w:val="005B7B64"/>
    <w:rsid w:val="005C3997"/>
    <w:rsid w:val="005C5C05"/>
    <w:rsid w:val="005C7867"/>
    <w:rsid w:val="005C7CD3"/>
    <w:rsid w:val="005D1CB0"/>
    <w:rsid w:val="005D21C5"/>
    <w:rsid w:val="005D350B"/>
    <w:rsid w:val="005D5386"/>
    <w:rsid w:val="005E0C78"/>
    <w:rsid w:val="005E14C2"/>
    <w:rsid w:val="005E35E4"/>
    <w:rsid w:val="005E7AD4"/>
    <w:rsid w:val="005F6AB7"/>
    <w:rsid w:val="005F7493"/>
    <w:rsid w:val="0060045B"/>
    <w:rsid w:val="006036CC"/>
    <w:rsid w:val="00604630"/>
    <w:rsid w:val="006048DC"/>
    <w:rsid w:val="006050FC"/>
    <w:rsid w:val="00607B57"/>
    <w:rsid w:val="00607BA5"/>
    <w:rsid w:val="00610796"/>
    <w:rsid w:val="0061180A"/>
    <w:rsid w:val="00612D7C"/>
    <w:rsid w:val="006131D5"/>
    <w:rsid w:val="00613513"/>
    <w:rsid w:val="006155D4"/>
    <w:rsid w:val="006158F0"/>
    <w:rsid w:val="00615B6C"/>
    <w:rsid w:val="00616101"/>
    <w:rsid w:val="00616CBE"/>
    <w:rsid w:val="006177BC"/>
    <w:rsid w:val="00617B55"/>
    <w:rsid w:val="00617CA3"/>
    <w:rsid w:val="00620EA0"/>
    <w:rsid w:val="006217D6"/>
    <w:rsid w:val="00625FF8"/>
    <w:rsid w:val="00626EB6"/>
    <w:rsid w:val="00627633"/>
    <w:rsid w:val="006312EB"/>
    <w:rsid w:val="00632099"/>
    <w:rsid w:val="00632939"/>
    <w:rsid w:val="00641CB6"/>
    <w:rsid w:val="00643AC4"/>
    <w:rsid w:val="00650578"/>
    <w:rsid w:val="00652D73"/>
    <w:rsid w:val="00652FF8"/>
    <w:rsid w:val="00655D03"/>
    <w:rsid w:val="00660302"/>
    <w:rsid w:val="00660533"/>
    <w:rsid w:val="00660738"/>
    <w:rsid w:val="0066577B"/>
    <w:rsid w:val="006677DE"/>
    <w:rsid w:val="006704CB"/>
    <w:rsid w:val="00674DA7"/>
    <w:rsid w:val="0068092B"/>
    <w:rsid w:val="00682393"/>
    <w:rsid w:val="00683388"/>
    <w:rsid w:val="00683F84"/>
    <w:rsid w:val="00686C33"/>
    <w:rsid w:val="00687DC8"/>
    <w:rsid w:val="00690EE8"/>
    <w:rsid w:val="006910E8"/>
    <w:rsid w:val="00693E51"/>
    <w:rsid w:val="0069777F"/>
    <w:rsid w:val="006A1AB9"/>
    <w:rsid w:val="006A6A81"/>
    <w:rsid w:val="006B2202"/>
    <w:rsid w:val="006C09FA"/>
    <w:rsid w:val="006C319C"/>
    <w:rsid w:val="006C62E9"/>
    <w:rsid w:val="006D0606"/>
    <w:rsid w:val="006D0737"/>
    <w:rsid w:val="006D56C9"/>
    <w:rsid w:val="006D6846"/>
    <w:rsid w:val="006E2176"/>
    <w:rsid w:val="006E2214"/>
    <w:rsid w:val="006E332B"/>
    <w:rsid w:val="006F31E6"/>
    <w:rsid w:val="006F45D9"/>
    <w:rsid w:val="006F4A32"/>
    <w:rsid w:val="006F5CC3"/>
    <w:rsid w:val="006F6328"/>
    <w:rsid w:val="006F6A94"/>
    <w:rsid w:val="006F7393"/>
    <w:rsid w:val="007016A7"/>
    <w:rsid w:val="0070224F"/>
    <w:rsid w:val="00703077"/>
    <w:rsid w:val="0070311A"/>
    <w:rsid w:val="0070474A"/>
    <w:rsid w:val="0070546E"/>
    <w:rsid w:val="00707B67"/>
    <w:rsid w:val="007115F7"/>
    <w:rsid w:val="00715A1E"/>
    <w:rsid w:val="00716058"/>
    <w:rsid w:val="007176F8"/>
    <w:rsid w:val="00717E35"/>
    <w:rsid w:val="00717E93"/>
    <w:rsid w:val="00720684"/>
    <w:rsid w:val="00723688"/>
    <w:rsid w:val="00725449"/>
    <w:rsid w:val="0072617A"/>
    <w:rsid w:val="007272CD"/>
    <w:rsid w:val="00731A0F"/>
    <w:rsid w:val="0074288C"/>
    <w:rsid w:val="0074312C"/>
    <w:rsid w:val="007461CE"/>
    <w:rsid w:val="00746423"/>
    <w:rsid w:val="007476AB"/>
    <w:rsid w:val="00747CED"/>
    <w:rsid w:val="0075088C"/>
    <w:rsid w:val="00750FA5"/>
    <w:rsid w:val="00751E0E"/>
    <w:rsid w:val="00752F78"/>
    <w:rsid w:val="00754450"/>
    <w:rsid w:val="00754977"/>
    <w:rsid w:val="00760416"/>
    <w:rsid w:val="00761186"/>
    <w:rsid w:val="007616C9"/>
    <w:rsid w:val="00774246"/>
    <w:rsid w:val="00775A32"/>
    <w:rsid w:val="00775D20"/>
    <w:rsid w:val="00780121"/>
    <w:rsid w:val="00782615"/>
    <w:rsid w:val="00783D8C"/>
    <w:rsid w:val="0078425B"/>
    <w:rsid w:val="00784A47"/>
    <w:rsid w:val="00785689"/>
    <w:rsid w:val="007860B0"/>
    <w:rsid w:val="00786C7F"/>
    <w:rsid w:val="00792BB6"/>
    <w:rsid w:val="007940DD"/>
    <w:rsid w:val="00794841"/>
    <w:rsid w:val="0079754B"/>
    <w:rsid w:val="007A0A9F"/>
    <w:rsid w:val="007A1E6D"/>
    <w:rsid w:val="007A215D"/>
    <w:rsid w:val="007A495E"/>
    <w:rsid w:val="007A6B00"/>
    <w:rsid w:val="007B07B4"/>
    <w:rsid w:val="007B0EB2"/>
    <w:rsid w:val="007B1103"/>
    <w:rsid w:val="007B1866"/>
    <w:rsid w:val="007B1B9D"/>
    <w:rsid w:val="007B4F79"/>
    <w:rsid w:val="007B7C11"/>
    <w:rsid w:val="007C2201"/>
    <w:rsid w:val="007C3F3F"/>
    <w:rsid w:val="007C6BAC"/>
    <w:rsid w:val="007D0F35"/>
    <w:rsid w:val="007D6146"/>
    <w:rsid w:val="007E10E8"/>
    <w:rsid w:val="007E4292"/>
    <w:rsid w:val="007E7B80"/>
    <w:rsid w:val="007F08FD"/>
    <w:rsid w:val="007F1D65"/>
    <w:rsid w:val="007F4096"/>
    <w:rsid w:val="007F4357"/>
    <w:rsid w:val="007F49A6"/>
    <w:rsid w:val="007F61FA"/>
    <w:rsid w:val="00801B75"/>
    <w:rsid w:val="00802932"/>
    <w:rsid w:val="00806607"/>
    <w:rsid w:val="008070D7"/>
    <w:rsid w:val="008073DC"/>
    <w:rsid w:val="00807CF3"/>
    <w:rsid w:val="00810B6F"/>
    <w:rsid w:val="0081622C"/>
    <w:rsid w:val="00822CE0"/>
    <w:rsid w:val="0082620F"/>
    <w:rsid w:val="00826F2C"/>
    <w:rsid w:val="00830ECD"/>
    <w:rsid w:val="0083783A"/>
    <w:rsid w:val="00841AB1"/>
    <w:rsid w:val="008435F1"/>
    <w:rsid w:val="00844A4D"/>
    <w:rsid w:val="00845AC4"/>
    <w:rsid w:val="00850B1C"/>
    <w:rsid w:val="00850C92"/>
    <w:rsid w:val="00854231"/>
    <w:rsid w:val="008556FA"/>
    <w:rsid w:val="00856D53"/>
    <w:rsid w:val="0085755C"/>
    <w:rsid w:val="008601CA"/>
    <w:rsid w:val="00862128"/>
    <w:rsid w:val="008626AF"/>
    <w:rsid w:val="00862D0E"/>
    <w:rsid w:val="00866AAF"/>
    <w:rsid w:val="00870808"/>
    <w:rsid w:val="00872EC8"/>
    <w:rsid w:val="008748BA"/>
    <w:rsid w:val="00885E5C"/>
    <w:rsid w:val="00886230"/>
    <w:rsid w:val="00886DE4"/>
    <w:rsid w:val="008928BC"/>
    <w:rsid w:val="0089688B"/>
    <w:rsid w:val="008A00B5"/>
    <w:rsid w:val="008A27FC"/>
    <w:rsid w:val="008A408F"/>
    <w:rsid w:val="008A5FEA"/>
    <w:rsid w:val="008A7AE1"/>
    <w:rsid w:val="008B2B41"/>
    <w:rsid w:val="008B3299"/>
    <w:rsid w:val="008B3D24"/>
    <w:rsid w:val="008B43A0"/>
    <w:rsid w:val="008B63B2"/>
    <w:rsid w:val="008C2F24"/>
    <w:rsid w:val="008C68F1"/>
    <w:rsid w:val="008D6B37"/>
    <w:rsid w:val="008D767D"/>
    <w:rsid w:val="008E2082"/>
    <w:rsid w:val="008F0BC0"/>
    <w:rsid w:val="008F0F07"/>
    <w:rsid w:val="008F0F3A"/>
    <w:rsid w:val="008F1DB0"/>
    <w:rsid w:val="008F379B"/>
    <w:rsid w:val="008F410E"/>
    <w:rsid w:val="008F6D62"/>
    <w:rsid w:val="00900A46"/>
    <w:rsid w:val="0090259B"/>
    <w:rsid w:val="00903BA6"/>
    <w:rsid w:val="00905061"/>
    <w:rsid w:val="00905EDA"/>
    <w:rsid w:val="00910DD9"/>
    <w:rsid w:val="00913CB6"/>
    <w:rsid w:val="009153B3"/>
    <w:rsid w:val="00917ADC"/>
    <w:rsid w:val="00921803"/>
    <w:rsid w:val="009227A5"/>
    <w:rsid w:val="00926503"/>
    <w:rsid w:val="00926981"/>
    <w:rsid w:val="009308F6"/>
    <w:rsid w:val="00933E6E"/>
    <w:rsid w:val="009376B0"/>
    <w:rsid w:val="00937AE3"/>
    <w:rsid w:val="009450D7"/>
    <w:rsid w:val="0094510D"/>
    <w:rsid w:val="00946FBB"/>
    <w:rsid w:val="00950AD7"/>
    <w:rsid w:val="00952D1B"/>
    <w:rsid w:val="00952DDB"/>
    <w:rsid w:val="009532D5"/>
    <w:rsid w:val="009556DB"/>
    <w:rsid w:val="00962FEA"/>
    <w:rsid w:val="00963966"/>
    <w:rsid w:val="00963EC3"/>
    <w:rsid w:val="00966730"/>
    <w:rsid w:val="00967879"/>
    <w:rsid w:val="00967B7A"/>
    <w:rsid w:val="009726D8"/>
    <w:rsid w:val="009771A4"/>
    <w:rsid w:val="009840A3"/>
    <w:rsid w:val="009845A8"/>
    <w:rsid w:val="009854D9"/>
    <w:rsid w:val="00986645"/>
    <w:rsid w:val="00992141"/>
    <w:rsid w:val="00992F63"/>
    <w:rsid w:val="0099378C"/>
    <w:rsid w:val="00995668"/>
    <w:rsid w:val="00995C61"/>
    <w:rsid w:val="00996508"/>
    <w:rsid w:val="009A062D"/>
    <w:rsid w:val="009A2E6F"/>
    <w:rsid w:val="009A37BC"/>
    <w:rsid w:val="009A51F1"/>
    <w:rsid w:val="009A7ACF"/>
    <w:rsid w:val="009B07F2"/>
    <w:rsid w:val="009B1DAF"/>
    <w:rsid w:val="009B5F5D"/>
    <w:rsid w:val="009C3F8B"/>
    <w:rsid w:val="009C422A"/>
    <w:rsid w:val="009C599A"/>
    <w:rsid w:val="009C6F8B"/>
    <w:rsid w:val="009D7308"/>
    <w:rsid w:val="009E251A"/>
    <w:rsid w:val="009F1CB4"/>
    <w:rsid w:val="009F1F30"/>
    <w:rsid w:val="009F3615"/>
    <w:rsid w:val="009F5B56"/>
    <w:rsid w:val="009F76DB"/>
    <w:rsid w:val="009F7709"/>
    <w:rsid w:val="009F7EFE"/>
    <w:rsid w:val="00A026B9"/>
    <w:rsid w:val="00A02F67"/>
    <w:rsid w:val="00A04A8A"/>
    <w:rsid w:val="00A05414"/>
    <w:rsid w:val="00A07520"/>
    <w:rsid w:val="00A07A7B"/>
    <w:rsid w:val="00A1432E"/>
    <w:rsid w:val="00A203E7"/>
    <w:rsid w:val="00A21CC3"/>
    <w:rsid w:val="00A23397"/>
    <w:rsid w:val="00A245C6"/>
    <w:rsid w:val="00A25B4B"/>
    <w:rsid w:val="00A270C0"/>
    <w:rsid w:val="00A27D4A"/>
    <w:rsid w:val="00A32AA8"/>
    <w:rsid w:val="00A32C3B"/>
    <w:rsid w:val="00A33D5B"/>
    <w:rsid w:val="00A37D74"/>
    <w:rsid w:val="00A427CC"/>
    <w:rsid w:val="00A4322A"/>
    <w:rsid w:val="00A43246"/>
    <w:rsid w:val="00A45F4F"/>
    <w:rsid w:val="00A47A12"/>
    <w:rsid w:val="00A500C4"/>
    <w:rsid w:val="00A50514"/>
    <w:rsid w:val="00A527B9"/>
    <w:rsid w:val="00A600A9"/>
    <w:rsid w:val="00A63E0A"/>
    <w:rsid w:val="00A6615E"/>
    <w:rsid w:val="00A67106"/>
    <w:rsid w:val="00A702E2"/>
    <w:rsid w:val="00A7320F"/>
    <w:rsid w:val="00A7384C"/>
    <w:rsid w:val="00A738D8"/>
    <w:rsid w:val="00A74CC9"/>
    <w:rsid w:val="00A768E4"/>
    <w:rsid w:val="00A80F99"/>
    <w:rsid w:val="00A8590D"/>
    <w:rsid w:val="00A91176"/>
    <w:rsid w:val="00A92655"/>
    <w:rsid w:val="00A9479E"/>
    <w:rsid w:val="00A967F3"/>
    <w:rsid w:val="00AA1C96"/>
    <w:rsid w:val="00AA2FCC"/>
    <w:rsid w:val="00AA3D4C"/>
    <w:rsid w:val="00AA55B7"/>
    <w:rsid w:val="00AA5B9E"/>
    <w:rsid w:val="00AA6F94"/>
    <w:rsid w:val="00AB2407"/>
    <w:rsid w:val="00AB2F84"/>
    <w:rsid w:val="00AB53DF"/>
    <w:rsid w:val="00AC0AE9"/>
    <w:rsid w:val="00AC4030"/>
    <w:rsid w:val="00AC41C6"/>
    <w:rsid w:val="00AC5D2B"/>
    <w:rsid w:val="00AC787F"/>
    <w:rsid w:val="00AD4665"/>
    <w:rsid w:val="00AD480C"/>
    <w:rsid w:val="00AD5BCB"/>
    <w:rsid w:val="00AE0BBF"/>
    <w:rsid w:val="00AE38A4"/>
    <w:rsid w:val="00AE5A41"/>
    <w:rsid w:val="00AE6218"/>
    <w:rsid w:val="00AF4A87"/>
    <w:rsid w:val="00AF59C9"/>
    <w:rsid w:val="00AF5BCE"/>
    <w:rsid w:val="00AF66E5"/>
    <w:rsid w:val="00AF6721"/>
    <w:rsid w:val="00AF6F2A"/>
    <w:rsid w:val="00AF7E0B"/>
    <w:rsid w:val="00B00714"/>
    <w:rsid w:val="00B01DB9"/>
    <w:rsid w:val="00B029B0"/>
    <w:rsid w:val="00B03ADC"/>
    <w:rsid w:val="00B0511B"/>
    <w:rsid w:val="00B07E5C"/>
    <w:rsid w:val="00B114DA"/>
    <w:rsid w:val="00B22F6D"/>
    <w:rsid w:val="00B235F0"/>
    <w:rsid w:val="00B24C45"/>
    <w:rsid w:val="00B304B6"/>
    <w:rsid w:val="00B30C46"/>
    <w:rsid w:val="00B3299E"/>
    <w:rsid w:val="00B35812"/>
    <w:rsid w:val="00B3583F"/>
    <w:rsid w:val="00B369B4"/>
    <w:rsid w:val="00B4077B"/>
    <w:rsid w:val="00B40BB7"/>
    <w:rsid w:val="00B4268A"/>
    <w:rsid w:val="00B4337D"/>
    <w:rsid w:val="00B4588D"/>
    <w:rsid w:val="00B46D6E"/>
    <w:rsid w:val="00B50688"/>
    <w:rsid w:val="00B50982"/>
    <w:rsid w:val="00B51B5B"/>
    <w:rsid w:val="00B560D5"/>
    <w:rsid w:val="00B61A54"/>
    <w:rsid w:val="00B630A5"/>
    <w:rsid w:val="00B64469"/>
    <w:rsid w:val="00B649C8"/>
    <w:rsid w:val="00B65897"/>
    <w:rsid w:val="00B717AC"/>
    <w:rsid w:val="00B72CF7"/>
    <w:rsid w:val="00B730B4"/>
    <w:rsid w:val="00B73991"/>
    <w:rsid w:val="00B811F7"/>
    <w:rsid w:val="00B867B5"/>
    <w:rsid w:val="00B92F2D"/>
    <w:rsid w:val="00B948B7"/>
    <w:rsid w:val="00B95D1C"/>
    <w:rsid w:val="00B96C96"/>
    <w:rsid w:val="00BA1034"/>
    <w:rsid w:val="00BA4352"/>
    <w:rsid w:val="00BA5DC6"/>
    <w:rsid w:val="00BA6196"/>
    <w:rsid w:val="00BA68D7"/>
    <w:rsid w:val="00BB1CE1"/>
    <w:rsid w:val="00BB35E2"/>
    <w:rsid w:val="00BB50A5"/>
    <w:rsid w:val="00BC253B"/>
    <w:rsid w:val="00BC3275"/>
    <w:rsid w:val="00BC6D8C"/>
    <w:rsid w:val="00BD22C7"/>
    <w:rsid w:val="00BD36E9"/>
    <w:rsid w:val="00BF0C51"/>
    <w:rsid w:val="00BF2A25"/>
    <w:rsid w:val="00BF5F64"/>
    <w:rsid w:val="00BF71FE"/>
    <w:rsid w:val="00BF77B8"/>
    <w:rsid w:val="00C07135"/>
    <w:rsid w:val="00C07957"/>
    <w:rsid w:val="00C07DFB"/>
    <w:rsid w:val="00C10E80"/>
    <w:rsid w:val="00C15927"/>
    <w:rsid w:val="00C15B2E"/>
    <w:rsid w:val="00C17DC3"/>
    <w:rsid w:val="00C21AB9"/>
    <w:rsid w:val="00C229BF"/>
    <w:rsid w:val="00C23710"/>
    <w:rsid w:val="00C2377E"/>
    <w:rsid w:val="00C253E8"/>
    <w:rsid w:val="00C2551D"/>
    <w:rsid w:val="00C255A0"/>
    <w:rsid w:val="00C300AB"/>
    <w:rsid w:val="00C3247F"/>
    <w:rsid w:val="00C32626"/>
    <w:rsid w:val="00C33F02"/>
    <w:rsid w:val="00C34006"/>
    <w:rsid w:val="00C36B4C"/>
    <w:rsid w:val="00C40A70"/>
    <w:rsid w:val="00C4149C"/>
    <w:rsid w:val="00C426B1"/>
    <w:rsid w:val="00C44BCB"/>
    <w:rsid w:val="00C44D31"/>
    <w:rsid w:val="00C4521B"/>
    <w:rsid w:val="00C47234"/>
    <w:rsid w:val="00C47AF7"/>
    <w:rsid w:val="00C556DF"/>
    <w:rsid w:val="00C55817"/>
    <w:rsid w:val="00C56B97"/>
    <w:rsid w:val="00C5786B"/>
    <w:rsid w:val="00C61B7C"/>
    <w:rsid w:val="00C66160"/>
    <w:rsid w:val="00C67413"/>
    <w:rsid w:val="00C721AC"/>
    <w:rsid w:val="00C7576A"/>
    <w:rsid w:val="00C765E5"/>
    <w:rsid w:val="00C77889"/>
    <w:rsid w:val="00C8031D"/>
    <w:rsid w:val="00C812B0"/>
    <w:rsid w:val="00C90D6A"/>
    <w:rsid w:val="00CA247E"/>
    <w:rsid w:val="00CA5E8E"/>
    <w:rsid w:val="00CA60B8"/>
    <w:rsid w:val="00CA63F0"/>
    <w:rsid w:val="00CA6D21"/>
    <w:rsid w:val="00CB3773"/>
    <w:rsid w:val="00CB51B0"/>
    <w:rsid w:val="00CC2A66"/>
    <w:rsid w:val="00CC3B5D"/>
    <w:rsid w:val="00CC58E3"/>
    <w:rsid w:val="00CC5BA3"/>
    <w:rsid w:val="00CC72B6"/>
    <w:rsid w:val="00CD1365"/>
    <w:rsid w:val="00CD66CE"/>
    <w:rsid w:val="00CE3D80"/>
    <w:rsid w:val="00CF002D"/>
    <w:rsid w:val="00CF1C77"/>
    <w:rsid w:val="00CF360D"/>
    <w:rsid w:val="00CF78A4"/>
    <w:rsid w:val="00D01366"/>
    <w:rsid w:val="00D0218D"/>
    <w:rsid w:val="00D02C25"/>
    <w:rsid w:val="00D06700"/>
    <w:rsid w:val="00D12929"/>
    <w:rsid w:val="00D146F8"/>
    <w:rsid w:val="00D14C80"/>
    <w:rsid w:val="00D15067"/>
    <w:rsid w:val="00D154A4"/>
    <w:rsid w:val="00D17C86"/>
    <w:rsid w:val="00D20B49"/>
    <w:rsid w:val="00D218B5"/>
    <w:rsid w:val="00D248FE"/>
    <w:rsid w:val="00D24C33"/>
    <w:rsid w:val="00D25FB5"/>
    <w:rsid w:val="00D3396F"/>
    <w:rsid w:val="00D33CB4"/>
    <w:rsid w:val="00D34607"/>
    <w:rsid w:val="00D35AA2"/>
    <w:rsid w:val="00D36C80"/>
    <w:rsid w:val="00D4226E"/>
    <w:rsid w:val="00D43799"/>
    <w:rsid w:val="00D44223"/>
    <w:rsid w:val="00D45A59"/>
    <w:rsid w:val="00D463C0"/>
    <w:rsid w:val="00D46BB5"/>
    <w:rsid w:val="00D46DAE"/>
    <w:rsid w:val="00D540EC"/>
    <w:rsid w:val="00D54EF3"/>
    <w:rsid w:val="00D55A0E"/>
    <w:rsid w:val="00D57D5D"/>
    <w:rsid w:val="00D61EAF"/>
    <w:rsid w:val="00D62690"/>
    <w:rsid w:val="00D66E68"/>
    <w:rsid w:val="00D705B9"/>
    <w:rsid w:val="00D712CD"/>
    <w:rsid w:val="00D71553"/>
    <w:rsid w:val="00D71D55"/>
    <w:rsid w:val="00D76FE2"/>
    <w:rsid w:val="00D80D2F"/>
    <w:rsid w:val="00D81E45"/>
    <w:rsid w:val="00D8243F"/>
    <w:rsid w:val="00D82652"/>
    <w:rsid w:val="00D8753C"/>
    <w:rsid w:val="00D9131F"/>
    <w:rsid w:val="00D91D88"/>
    <w:rsid w:val="00D93483"/>
    <w:rsid w:val="00D971ED"/>
    <w:rsid w:val="00DA2529"/>
    <w:rsid w:val="00DA280D"/>
    <w:rsid w:val="00DA2861"/>
    <w:rsid w:val="00DA2C8A"/>
    <w:rsid w:val="00DA2F90"/>
    <w:rsid w:val="00DA56C9"/>
    <w:rsid w:val="00DA611B"/>
    <w:rsid w:val="00DA6806"/>
    <w:rsid w:val="00DB0A2D"/>
    <w:rsid w:val="00DB130A"/>
    <w:rsid w:val="00DB2EBB"/>
    <w:rsid w:val="00DB35D0"/>
    <w:rsid w:val="00DB78DC"/>
    <w:rsid w:val="00DB7D4B"/>
    <w:rsid w:val="00DC043E"/>
    <w:rsid w:val="00DC10A1"/>
    <w:rsid w:val="00DC37BE"/>
    <w:rsid w:val="00DC493C"/>
    <w:rsid w:val="00DC51E9"/>
    <w:rsid w:val="00DC655F"/>
    <w:rsid w:val="00DD0B59"/>
    <w:rsid w:val="00DD1E52"/>
    <w:rsid w:val="00DD7EBD"/>
    <w:rsid w:val="00DE21ED"/>
    <w:rsid w:val="00DE6209"/>
    <w:rsid w:val="00DE6596"/>
    <w:rsid w:val="00DF62B6"/>
    <w:rsid w:val="00E009D6"/>
    <w:rsid w:val="00E061CF"/>
    <w:rsid w:val="00E06CBE"/>
    <w:rsid w:val="00E07225"/>
    <w:rsid w:val="00E11499"/>
    <w:rsid w:val="00E1362E"/>
    <w:rsid w:val="00E14A44"/>
    <w:rsid w:val="00E20BA7"/>
    <w:rsid w:val="00E24363"/>
    <w:rsid w:val="00E26740"/>
    <w:rsid w:val="00E300EC"/>
    <w:rsid w:val="00E34A75"/>
    <w:rsid w:val="00E36535"/>
    <w:rsid w:val="00E40A8C"/>
    <w:rsid w:val="00E445C1"/>
    <w:rsid w:val="00E45DA1"/>
    <w:rsid w:val="00E53D51"/>
    <w:rsid w:val="00E5409F"/>
    <w:rsid w:val="00E56539"/>
    <w:rsid w:val="00E61543"/>
    <w:rsid w:val="00E615A7"/>
    <w:rsid w:val="00E676BB"/>
    <w:rsid w:val="00E70FD3"/>
    <w:rsid w:val="00E732F0"/>
    <w:rsid w:val="00E73D45"/>
    <w:rsid w:val="00E7480D"/>
    <w:rsid w:val="00E7554B"/>
    <w:rsid w:val="00E75B7D"/>
    <w:rsid w:val="00E7752C"/>
    <w:rsid w:val="00E777AF"/>
    <w:rsid w:val="00E80447"/>
    <w:rsid w:val="00E82D5F"/>
    <w:rsid w:val="00E838ED"/>
    <w:rsid w:val="00E8394B"/>
    <w:rsid w:val="00E85FD9"/>
    <w:rsid w:val="00E94C89"/>
    <w:rsid w:val="00E95158"/>
    <w:rsid w:val="00E95AF0"/>
    <w:rsid w:val="00E95FAB"/>
    <w:rsid w:val="00EA0BA7"/>
    <w:rsid w:val="00EC1260"/>
    <w:rsid w:val="00EC16F1"/>
    <w:rsid w:val="00EC3A88"/>
    <w:rsid w:val="00EC3B68"/>
    <w:rsid w:val="00EC51BA"/>
    <w:rsid w:val="00ED4FAA"/>
    <w:rsid w:val="00EE2966"/>
    <w:rsid w:val="00EE2C91"/>
    <w:rsid w:val="00EE314A"/>
    <w:rsid w:val="00EE3200"/>
    <w:rsid w:val="00EE4400"/>
    <w:rsid w:val="00EE56FC"/>
    <w:rsid w:val="00EE6057"/>
    <w:rsid w:val="00EE6488"/>
    <w:rsid w:val="00EE744E"/>
    <w:rsid w:val="00EF039B"/>
    <w:rsid w:val="00EF5101"/>
    <w:rsid w:val="00EF56D8"/>
    <w:rsid w:val="00F01677"/>
    <w:rsid w:val="00F021FA"/>
    <w:rsid w:val="00F02717"/>
    <w:rsid w:val="00F030B3"/>
    <w:rsid w:val="00F05342"/>
    <w:rsid w:val="00F132CA"/>
    <w:rsid w:val="00F1467E"/>
    <w:rsid w:val="00F14FA5"/>
    <w:rsid w:val="00F20D67"/>
    <w:rsid w:val="00F2142C"/>
    <w:rsid w:val="00F23401"/>
    <w:rsid w:val="00F23418"/>
    <w:rsid w:val="00F24E67"/>
    <w:rsid w:val="00F255F3"/>
    <w:rsid w:val="00F263F2"/>
    <w:rsid w:val="00F26A72"/>
    <w:rsid w:val="00F34B76"/>
    <w:rsid w:val="00F34E4D"/>
    <w:rsid w:val="00F35B1B"/>
    <w:rsid w:val="00F43AC4"/>
    <w:rsid w:val="00F45194"/>
    <w:rsid w:val="00F46101"/>
    <w:rsid w:val="00F46DE7"/>
    <w:rsid w:val="00F51BF2"/>
    <w:rsid w:val="00F53FCD"/>
    <w:rsid w:val="00F559ED"/>
    <w:rsid w:val="00F56CC0"/>
    <w:rsid w:val="00F60621"/>
    <w:rsid w:val="00F62E97"/>
    <w:rsid w:val="00F64209"/>
    <w:rsid w:val="00F7463D"/>
    <w:rsid w:val="00F8057F"/>
    <w:rsid w:val="00F81E96"/>
    <w:rsid w:val="00F8325B"/>
    <w:rsid w:val="00F859CF"/>
    <w:rsid w:val="00F85FA3"/>
    <w:rsid w:val="00F86A68"/>
    <w:rsid w:val="00F8785F"/>
    <w:rsid w:val="00F911B2"/>
    <w:rsid w:val="00F91CB1"/>
    <w:rsid w:val="00F928A6"/>
    <w:rsid w:val="00F93BF5"/>
    <w:rsid w:val="00F94E3D"/>
    <w:rsid w:val="00FA0039"/>
    <w:rsid w:val="00FA2E52"/>
    <w:rsid w:val="00FA4DCD"/>
    <w:rsid w:val="00FA6EE8"/>
    <w:rsid w:val="00FA6F41"/>
    <w:rsid w:val="00FA6F68"/>
    <w:rsid w:val="00FB0757"/>
    <w:rsid w:val="00FB50F1"/>
    <w:rsid w:val="00FC209C"/>
    <w:rsid w:val="00FC2ED5"/>
    <w:rsid w:val="00FC6A18"/>
    <w:rsid w:val="00FD68B3"/>
    <w:rsid w:val="00FD7FC4"/>
    <w:rsid w:val="00FE2869"/>
    <w:rsid w:val="00FE28F3"/>
    <w:rsid w:val="00FE37BE"/>
    <w:rsid w:val="00FE4A12"/>
    <w:rsid w:val="00FE7B08"/>
    <w:rsid w:val="00FF241B"/>
    <w:rsid w:val="00FF24DE"/>
    <w:rsid w:val="00FF4360"/>
    <w:rsid w:val="00FF4F71"/>
    <w:rsid w:val="00FF7746"/>
    <w:rsid w:val="00FF78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9DDDE0"/>
  <w15:chartTrackingRefBased/>
  <w15:docId w15:val="{FDC630A8-FC26-4C8E-A2EF-39DDDFBF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2939"/>
    <w:pPr>
      <w:keepNext/>
      <w:numPr>
        <w:ilvl w:val="1"/>
        <w:numId w:val="3"/>
      </w:numPr>
      <w:spacing w:after="120"/>
      <w:outlineLvl w:val="1"/>
    </w:pPr>
    <w:rPr>
      <w:b/>
      <w:i/>
      <w:i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A0BA7"/>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EE2966"/>
    <w:rPr>
      <w:sz w:val="16"/>
      <w:szCs w:val="16"/>
    </w:rPr>
  </w:style>
  <w:style w:type="paragraph" w:styleId="CommentText">
    <w:name w:val="annotation text"/>
    <w:basedOn w:val="Normal"/>
    <w:link w:val="CommentTextChar"/>
    <w:rsid w:val="00EE2966"/>
    <w:rPr>
      <w:sz w:val="20"/>
    </w:rPr>
  </w:style>
  <w:style w:type="character" w:customStyle="1" w:styleId="CommentTextChar">
    <w:name w:val="Comment Text Char"/>
    <w:link w:val="CommentText"/>
    <w:rsid w:val="00EE2966"/>
    <w:rPr>
      <w:snapToGrid w:val="0"/>
      <w:kern w:val="28"/>
    </w:rPr>
  </w:style>
  <w:style w:type="paragraph" w:styleId="CommentSubject">
    <w:name w:val="annotation subject"/>
    <w:basedOn w:val="CommentText"/>
    <w:next w:val="CommentText"/>
    <w:link w:val="CommentSubjectChar"/>
    <w:rsid w:val="00EE2966"/>
    <w:rPr>
      <w:b/>
      <w:bCs/>
    </w:rPr>
  </w:style>
  <w:style w:type="character" w:customStyle="1" w:styleId="CommentSubjectChar">
    <w:name w:val="Comment Subject Char"/>
    <w:link w:val="CommentSubject"/>
    <w:rsid w:val="00EE2966"/>
    <w:rPr>
      <w:b/>
      <w:bCs/>
      <w:snapToGrid w:val="0"/>
      <w:kern w:val="28"/>
    </w:rPr>
  </w:style>
  <w:style w:type="character" w:customStyle="1" w:styleId="UnresolvedMention">
    <w:name w:val="Unresolved Mention"/>
    <w:uiPriority w:val="99"/>
    <w:semiHidden/>
    <w:unhideWhenUsed/>
    <w:rsid w:val="0014577B"/>
    <w:rPr>
      <w:color w:val="605E5C"/>
      <w:shd w:val="clear" w:color="auto" w:fill="E1DFDD"/>
    </w:rPr>
  </w:style>
  <w:style w:type="paragraph" w:styleId="Revision">
    <w:name w:val="Revision"/>
    <w:hidden/>
    <w:uiPriority w:val="99"/>
    <w:semiHidden/>
    <w:rsid w:val="00DA2F9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414371515061" TargetMode="External" /><Relationship Id="rId2" Type="http://schemas.openxmlformats.org/officeDocument/2006/relationships/hyperlink" Target="https://www.fcc.gov/ecfs/search/search-filings/filing/10520821612558" TargetMode="External" /><Relationship Id="rId3" Type="http://schemas.openxmlformats.org/officeDocument/2006/relationships/hyperlink" Target="https://www.fcc.gov/ecfs/search/search-filings/filing/104121149212725" TargetMode="External" /><Relationship Id="rId4" Type="http://schemas.openxmlformats.org/officeDocument/2006/relationships/hyperlink" Target="https://www.fcc.gov/ecfs/search/search-filings/filing/103111858802078"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