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9D8268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4B8759" w14:textId="77777777">
      <w:pPr>
        <w:pStyle w:val="StyleBoldCentered"/>
      </w:pPr>
      <w:r>
        <w:t>F</w:t>
      </w:r>
      <w:r>
        <w:rPr>
          <w:caps w:val="0"/>
        </w:rPr>
        <w:t>ederal Communications Commission</w:t>
      </w:r>
    </w:p>
    <w:p w:rsidR="004C2EE3" w:rsidP="00096D8C" w14:paraId="40944DE7" w14:textId="77777777">
      <w:pPr>
        <w:pStyle w:val="StyleBoldCentered"/>
      </w:pPr>
      <w:r>
        <w:rPr>
          <w:caps w:val="0"/>
        </w:rPr>
        <w:t>Washington, D.C. 20554</w:t>
      </w:r>
    </w:p>
    <w:p w:rsidR="004C2EE3" w:rsidP="0070224F" w14:paraId="147D7854" w14:textId="77777777"/>
    <w:p w:rsidR="004C2EE3" w:rsidP="0070224F" w14:paraId="2C7DE717" w14:textId="77777777"/>
    <w:tbl>
      <w:tblPr>
        <w:tblW w:w="0" w:type="auto"/>
        <w:tblLayout w:type="fixed"/>
        <w:tblLook w:val="0000"/>
      </w:tblPr>
      <w:tblGrid>
        <w:gridCol w:w="4698"/>
        <w:gridCol w:w="630"/>
        <w:gridCol w:w="4248"/>
      </w:tblGrid>
      <w:tr w14:paraId="44CA4F11" w14:textId="77777777" w:rsidTr="00173B86">
        <w:tblPrEx>
          <w:tblW w:w="0" w:type="auto"/>
          <w:tblLayout w:type="fixed"/>
          <w:tblLook w:val="0000"/>
        </w:tblPrEx>
        <w:tc>
          <w:tcPr>
            <w:tcW w:w="4698" w:type="dxa"/>
          </w:tcPr>
          <w:p w:rsidR="004C2EE3" w14:paraId="75171626" w14:textId="77777777">
            <w:pPr>
              <w:tabs>
                <w:tab w:val="center" w:pos="4680"/>
              </w:tabs>
              <w:suppressAutoHyphens/>
              <w:rPr>
                <w:spacing w:val="-2"/>
              </w:rPr>
            </w:pPr>
            <w:r>
              <w:rPr>
                <w:spacing w:val="-2"/>
              </w:rPr>
              <w:t>In the Matter of</w:t>
            </w:r>
          </w:p>
          <w:p w:rsidR="004C2EE3" w14:paraId="11B9A3DF" w14:textId="77777777">
            <w:pPr>
              <w:tabs>
                <w:tab w:val="center" w:pos="4680"/>
              </w:tabs>
              <w:suppressAutoHyphens/>
              <w:rPr>
                <w:spacing w:val="-2"/>
              </w:rPr>
            </w:pPr>
          </w:p>
          <w:p w:rsidR="004C2EE3" w:rsidP="007115F7" w14:paraId="6D9FB8B8" w14:textId="1CBE878E">
            <w:pPr>
              <w:tabs>
                <w:tab w:val="center" w:pos="4680"/>
              </w:tabs>
              <w:suppressAutoHyphens/>
              <w:rPr>
                <w:szCs w:val="22"/>
              </w:rPr>
            </w:pPr>
            <w:r w:rsidRPr="006D314C">
              <w:t xml:space="preserve">Kongsberg </w:t>
            </w:r>
            <w:r w:rsidRPr="006D314C">
              <w:t>Seatex</w:t>
            </w:r>
            <w:r w:rsidRPr="006D314C">
              <w:t xml:space="preserve"> AS</w:t>
            </w:r>
          </w:p>
          <w:p w:rsidR="003F777A" w:rsidP="007115F7" w14:paraId="3FE10AF1" w14:textId="77777777">
            <w:pPr>
              <w:tabs>
                <w:tab w:val="center" w:pos="4680"/>
              </w:tabs>
              <w:suppressAutoHyphens/>
              <w:rPr>
                <w:szCs w:val="22"/>
              </w:rPr>
            </w:pPr>
          </w:p>
          <w:p w:rsidR="003F777A" w:rsidRPr="007115F7" w:rsidP="007115F7" w14:paraId="19D0636D" w14:textId="1ACD3C38">
            <w:pPr>
              <w:tabs>
                <w:tab w:val="center" w:pos="4680"/>
              </w:tabs>
              <w:suppressAutoHyphens/>
              <w:rPr>
                <w:spacing w:val="-2"/>
              </w:rPr>
            </w:pPr>
            <w:r>
              <w:rPr>
                <w:szCs w:val="22"/>
              </w:rPr>
              <w:t xml:space="preserve">Request </w:t>
            </w:r>
            <w:r w:rsidRPr="003F777A">
              <w:rPr>
                <w:szCs w:val="22"/>
              </w:rPr>
              <w:t>for waiver of Section 15.407(a)(3) of the rules</w:t>
            </w:r>
            <w:r>
              <w:t xml:space="preserve"> </w:t>
            </w:r>
            <w:r w:rsidR="00E10181">
              <w:rPr>
                <w:szCs w:val="22"/>
              </w:rPr>
              <w:t>for</w:t>
            </w:r>
            <w:r w:rsidRPr="003F777A">
              <w:rPr>
                <w:szCs w:val="22"/>
              </w:rPr>
              <w:t xml:space="preserve"> Unlicensed National Information Infrastructure devices </w:t>
            </w:r>
            <w:r w:rsidR="00E10181">
              <w:rPr>
                <w:szCs w:val="22"/>
              </w:rPr>
              <w:t>that emit</w:t>
            </w:r>
            <w:r w:rsidRPr="003F777A" w:rsidR="005515EC">
              <w:rPr>
                <w:szCs w:val="22"/>
              </w:rPr>
              <w:t xml:space="preserve"> steerable </w:t>
            </w:r>
            <w:r w:rsidR="00E10181">
              <w:rPr>
                <w:szCs w:val="22"/>
              </w:rPr>
              <w:t>directional beams</w:t>
            </w:r>
            <w:r w:rsidRPr="003F777A">
              <w:rPr>
                <w:szCs w:val="22"/>
              </w:rPr>
              <w:t>.</w:t>
            </w:r>
          </w:p>
        </w:tc>
        <w:tc>
          <w:tcPr>
            <w:tcW w:w="630" w:type="dxa"/>
          </w:tcPr>
          <w:p w:rsidR="004C2EE3" w14:paraId="6A831606" w14:textId="77777777">
            <w:pPr>
              <w:tabs>
                <w:tab w:val="center" w:pos="4680"/>
              </w:tabs>
              <w:suppressAutoHyphens/>
              <w:rPr>
                <w:b/>
                <w:spacing w:val="-2"/>
              </w:rPr>
            </w:pPr>
            <w:r>
              <w:rPr>
                <w:b/>
                <w:spacing w:val="-2"/>
              </w:rPr>
              <w:t>)</w:t>
            </w:r>
          </w:p>
          <w:p w:rsidR="004C2EE3" w14:paraId="41F0E4AF" w14:textId="77777777">
            <w:pPr>
              <w:tabs>
                <w:tab w:val="center" w:pos="4680"/>
              </w:tabs>
              <w:suppressAutoHyphens/>
              <w:rPr>
                <w:b/>
                <w:spacing w:val="-2"/>
              </w:rPr>
            </w:pPr>
            <w:r>
              <w:rPr>
                <w:b/>
                <w:spacing w:val="-2"/>
              </w:rPr>
              <w:t>)</w:t>
            </w:r>
          </w:p>
          <w:p w:rsidR="004C2EE3" w14:paraId="5181D4C1" w14:textId="77777777">
            <w:pPr>
              <w:tabs>
                <w:tab w:val="center" w:pos="4680"/>
              </w:tabs>
              <w:suppressAutoHyphens/>
              <w:rPr>
                <w:b/>
                <w:spacing w:val="-2"/>
              </w:rPr>
            </w:pPr>
            <w:r>
              <w:rPr>
                <w:b/>
                <w:spacing w:val="-2"/>
              </w:rPr>
              <w:t>)</w:t>
            </w:r>
          </w:p>
          <w:p w:rsidR="004C2EE3" w14:paraId="7CCBDF61" w14:textId="77777777">
            <w:pPr>
              <w:tabs>
                <w:tab w:val="center" w:pos="4680"/>
              </w:tabs>
              <w:suppressAutoHyphens/>
              <w:rPr>
                <w:b/>
                <w:spacing w:val="-2"/>
              </w:rPr>
            </w:pPr>
            <w:r>
              <w:rPr>
                <w:b/>
                <w:spacing w:val="-2"/>
              </w:rPr>
              <w:t>)</w:t>
            </w:r>
          </w:p>
          <w:p w:rsidR="004C2EE3" w14:paraId="34458254" w14:textId="77777777">
            <w:pPr>
              <w:tabs>
                <w:tab w:val="center" w:pos="4680"/>
              </w:tabs>
              <w:suppressAutoHyphens/>
              <w:rPr>
                <w:b/>
                <w:spacing w:val="-2"/>
              </w:rPr>
            </w:pPr>
            <w:r>
              <w:rPr>
                <w:b/>
                <w:spacing w:val="-2"/>
              </w:rPr>
              <w:t>)</w:t>
            </w:r>
          </w:p>
          <w:p w:rsidR="004C2EE3" w14:paraId="69A58E2E" w14:textId="77777777">
            <w:pPr>
              <w:tabs>
                <w:tab w:val="center" w:pos="4680"/>
              </w:tabs>
              <w:suppressAutoHyphens/>
              <w:rPr>
                <w:b/>
                <w:spacing w:val="-2"/>
              </w:rPr>
            </w:pPr>
            <w:r>
              <w:rPr>
                <w:b/>
                <w:spacing w:val="-2"/>
              </w:rPr>
              <w:t>)</w:t>
            </w:r>
          </w:p>
          <w:p w:rsidR="004C2EE3" w14:paraId="0F4C675C" w14:textId="77777777">
            <w:pPr>
              <w:tabs>
                <w:tab w:val="center" w:pos="4680"/>
              </w:tabs>
              <w:suppressAutoHyphens/>
              <w:rPr>
                <w:b/>
                <w:spacing w:val="-2"/>
              </w:rPr>
            </w:pPr>
            <w:r>
              <w:rPr>
                <w:b/>
                <w:spacing w:val="-2"/>
              </w:rPr>
              <w:t>)</w:t>
            </w:r>
          </w:p>
          <w:p w:rsidR="003F777A" w:rsidRPr="00E10181" w14:paraId="286BDB24" w14:textId="731B4127">
            <w:pPr>
              <w:tabs>
                <w:tab w:val="center" w:pos="4680"/>
              </w:tabs>
              <w:suppressAutoHyphens/>
              <w:rPr>
                <w:b/>
                <w:spacing w:val="-2"/>
              </w:rPr>
            </w:pPr>
            <w:r>
              <w:rPr>
                <w:b/>
                <w:spacing w:val="-2"/>
              </w:rPr>
              <w:t>)</w:t>
            </w:r>
          </w:p>
        </w:tc>
        <w:tc>
          <w:tcPr>
            <w:tcW w:w="4248" w:type="dxa"/>
          </w:tcPr>
          <w:p w:rsidR="004C2EE3" w14:paraId="4CC2AD40" w14:textId="77777777">
            <w:pPr>
              <w:tabs>
                <w:tab w:val="center" w:pos="4680"/>
              </w:tabs>
              <w:suppressAutoHyphens/>
              <w:rPr>
                <w:spacing w:val="-2"/>
              </w:rPr>
            </w:pPr>
          </w:p>
          <w:p w:rsidR="004C2EE3" w14:paraId="637D45EE" w14:textId="77777777">
            <w:pPr>
              <w:pStyle w:val="TOAHeading"/>
              <w:tabs>
                <w:tab w:val="center" w:pos="4680"/>
                <w:tab w:val="clear" w:pos="9360"/>
              </w:tabs>
              <w:rPr>
                <w:spacing w:val="-2"/>
              </w:rPr>
            </w:pPr>
          </w:p>
          <w:p w:rsidR="004C2EE3" w14:paraId="57F09D2B" w14:textId="682DCCAA">
            <w:pPr>
              <w:tabs>
                <w:tab w:val="center" w:pos="4680"/>
              </w:tabs>
              <w:suppressAutoHyphens/>
              <w:rPr>
                <w:spacing w:val="-2"/>
              </w:rPr>
            </w:pPr>
            <w:r>
              <w:rPr>
                <w:spacing w:val="-2"/>
              </w:rPr>
              <w:t>ET Docket No. 19-240</w:t>
            </w:r>
          </w:p>
        </w:tc>
      </w:tr>
    </w:tbl>
    <w:p w:rsidR="004C2EE3" w:rsidP="0070224F" w14:paraId="20480DDA" w14:textId="77777777"/>
    <w:p w:rsidR="00841AB1" w:rsidP="00F021FA" w14:paraId="07483366" w14:textId="5BC79DFA">
      <w:pPr>
        <w:pStyle w:val="StyleBoldCentered"/>
      </w:pPr>
      <w:r>
        <w:t>order</w:t>
      </w:r>
    </w:p>
    <w:p w:rsidR="004C2EE3" w14:paraId="77E8834D" w14:textId="77777777">
      <w:pPr>
        <w:tabs>
          <w:tab w:val="left" w:pos="-720"/>
        </w:tabs>
        <w:suppressAutoHyphens/>
        <w:spacing w:line="227" w:lineRule="auto"/>
        <w:rPr>
          <w:spacing w:val="-2"/>
        </w:rPr>
      </w:pPr>
    </w:p>
    <w:p w:rsidR="004C2EE3" w:rsidP="00133F79" w14:paraId="2E022A78" w14:textId="3D9DCF9A">
      <w:pPr>
        <w:tabs>
          <w:tab w:val="left" w:pos="720"/>
          <w:tab w:val="right" w:pos="9360"/>
        </w:tabs>
        <w:suppressAutoHyphens/>
        <w:spacing w:line="227" w:lineRule="auto"/>
        <w:rPr>
          <w:spacing w:val="-2"/>
        </w:rPr>
      </w:pPr>
      <w:r>
        <w:rPr>
          <w:b/>
          <w:spacing w:val="-2"/>
        </w:rPr>
        <w:t xml:space="preserve">Adopted:  </w:t>
      </w:r>
      <w:r w:rsidR="008F236A">
        <w:rPr>
          <w:b/>
          <w:spacing w:val="-2"/>
        </w:rPr>
        <w:t>June 21,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236A">
        <w:rPr>
          <w:b/>
          <w:spacing w:val="-2"/>
        </w:rPr>
        <w:t>June 21, 2022</w:t>
      </w:r>
    </w:p>
    <w:p w:rsidR="00822CE0" w14:paraId="2423FD0F" w14:textId="77777777"/>
    <w:p w:rsidR="004C2EE3" w14:paraId="13AFFC86" w14:textId="53FF3FEA">
      <w:pPr>
        <w:rPr>
          <w:spacing w:val="-2"/>
        </w:rPr>
      </w:pPr>
      <w:r>
        <w:t xml:space="preserve">By </w:t>
      </w:r>
      <w:r w:rsidR="004E4A22">
        <w:t>the</w:t>
      </w:r>
      <w:r w:rsidR="002A2D2E">
        <w:t xml:space="preserve"> </w:t>
      </w:r>
      <w:r w:rsidR="003F777A">
        <w:rPr>
          <w:spacing w:val="-2"/>
        </w:rPr>
        <w:t>Acting Chief, Office of Engineering and Technology</w:t>
      </w:r>
      <w:r>
        <w:rPr>
          <w:spacing w:val="-2"/>
        </w:rPr>
        <w:t>:</w:t>
      </w:r>
    </w:p>
    <w:p w:rsidR="00822CE0" w14:paraId="61774C83" w14:textId="77777777">
      <w:pPr>
        <w:rPr>
          <w:spacing w:val="-2"/>
        </w:rPr>
      </w:pPr>
    </w:p>
    <w:p w:rsidR="00412FC5" w:rsidP="00C36B4C" w14:paraId="38BF2165" w14:textId="56CA64C1">
      <w:pPr>
        <w:pStyle w:val="Heading1"/>
      </w:pPr>
      <w:r>
        <w:t>Introduction</w:t>
      </w:r>
    </w:p>
    <w:p w:rsidR="003F777A" w:rsidP="00A511C9" w14:paraId="2D883275" w14:textId="69F0D83A">
      <w:pPr>
        <w:pStyle w:val="ParaNum"/>
      </w:pPr>
      <w:r>
        <w:t xml:space="preserve">By this Order </w:t>
      </w:r>
      <w:r w:rsidRPr="00AD567E">
        <w:t xml:space="preserve">we grant </w:t>
      </w:r>
      <w:r>
        <w:t>a</w:t>
      </w:r>
      <w:r w:rsidRPr="00AD567E">
        <w:t xml:space="preserve"> request for waiver </w:t>
      </w:r>
      <w:r>
        <w:t xml:space="preserve">of Section 15.407(a)(3) of the </w:t>
      </w:r>
      <w:r w:rsidR="0017352D">
        <w:t xml:space="preserve">Commission’s </w:t>
      </w:r>
      <w:r>
        <w:t xml:space="preserve">rules </w:t>
      </w:r>
      <w:r w:rsidRPr="00AD567E">
        <w:t xml:space="preserve">filed by </w:t>
      </w:r>
      <w:bookmarkStart w:id="0" w:name="_Hlk52374709"/>
      <w:r w:rsidRPr="006D314C" w:rsidR="006D314C">
        <w:t xml:space="preserve">Kongsberg </w:t>
      </w:r>
      <w:r w:rsidRPr="006D314C" w:rsidR="006D314C">
        <w:t>Seatex</w:t>
      </w:r>
      <w:r w:rsidRPr="006D314C" w:rsidR="006D314C">
        <w:t xml:space="preserve"> AS </w:t>
      </w:r>
      <w:bookmarkEnd w:id="0"/>
      <w:r w:rsidRPr="006D314C" w:rsidR="006D314C">
        <w:t>(Kongsberg</w:t>
      </w:r>
      <w:r w:rsidRPr="00AD567E">
        <w:t>) so</w:t>
      </w:r>
      <w:r w:rsidR="00552416">
        <w:t xml:space="preserve"> that </w:t>
      </w:r>
      <w:r w:rsidRPr="00AD567E">
        <w:t xml:space="preserve">it can </w:t>
      </w:r>
      <w:r>
        <w:t>apply for</w:t>
      </w:r>
      <w:r w:rsidRPr="00AD567E">
        <w:t xml:space="preserve"> FCC certification to market </w:t>
      </w:r>
      <w:r w:rsidRPr="00AD7C26" w:rsidR="00AD7C26">
        <w:rPr>
          <w:szCs w:val="22"/>
        </w:rPr>
        <w:t>Unlicensed National Information Infrastructure (U-NII) devices in the 5.725-5.850 GHz band that emit steerable directional beams at power levels that exceed the limits in that section.</w:t>
      </w:r>
      <w:r w:rsidR="00AD7C26">
        <w:rPr>
          <w:szCs w:val="22"/>
        </w:rPr>
        <w:t xml:space="preserve">  </w:t>
      </w:r>
      <w:r w:rsidRPr="00AD567E">
        <w:t xml:space="preserve">For the reasons discussed below, we find that there is good cause to grant </w:t>
      </w:r>
      <w:r w:rsidR="006D314C">
        <w:t>Kongsberg’s</w:t>
      </w:r>
      <w:r>
        <w:t xml:space="preserve"> </w:t>
      </w:r>
      <w:r w:rsidR="006171B1">
        <w:t>narrowly tailored</w:t>
      </w:r>
      <w:r w:rsidRPr="00AD567E">
        <w:t xml:space="preserve"> waiver</w:t>
      </w:r>
      <w:r w:rsidR="006171B1">
        <w:t xml:space="preserve"> request</w:t>
      </w:r>
      <w:r w:rsidRPr="00AD567E">
        <w:t>.</w:t>
      </w:r>
    </w:p>
    <w:p w:rsidR="00EE7260" w:rsidP="00EE7260" w14:paraId="6F16ED58" w14:textId="48D5575E">
      <w:pPr>
        <w:pStyle w:val="Heading1"/>
      </w:pPr>
      <w:r>
        <w:t>Background</w:t>
      </w:r>
    </w:p>
    <w:p w:rsidR="003F777A" w:rsidP="003F777A" w14:paraId="02A3CA6D" w14:textId="1E273D01">
      <w:pPr>
        <w:pStyle w:val="ParaNum"/>
      </w:pPr>
      <w:r>
        <w:t xml:space="preserve">The </w:t>
      </w:r>
      <w:r w:rsidR="006D314C">
        <w:t>Kongsberg</w:t>
      </w:r>
      <w:r w:rsidRPr="00D708C9">
        <w:t xml:space="preserve"> system operates in the 5.725-5.850 GHz band </w:t>
      </w:r>
      <w:r w:rsidR="00552416">
        <w:t>and</w:t>
      </w:r>
      <w:r w:rsidRPr="00D708C9">
        <w:t xml:space="preserve"> is used for broadband communications between maritime vessels, and between maritime vessels and shore.  Each communication is between two points, with no simultaneous point-to-multipoint </w:t>
      </w:r>
      <w:r w:rsidR="005515EC">
        <w:t>operations</w:t>
      </w:r>
      <w:r w:rsidRPr="00D708C9">
        <w:t>.</w:t>
      </w:r>
      <w:r>
        <w:t xml:space="preserve">  The </w:t>
      </w:r>
      <w:r w:rsidR="006D314C">
        <w:t>Kongsberg</w:t>
      </w:r>
      <w:r w:rsidRPr="00D708C9">
        <w:t xml:space="preserve"> system employs high-gain antennas having directional properties similar to </w:t>
      </w:r>
      <w:r w:rsidR="00684E0C">
        <w:t>antennas</w:t>
      </w:r>
      <w:r w:rsidRPr="00D708C9">
        <w:t xml:space="preserve"> used for fixed point-to-point land communications, but the design is different in that the radios use phased-array antennas (</w:t>
      </w:r>
      <w:r w:rsidR="00552416">
        <w:t xml:space="preserve">both </w:t>
      </w:r>
      <w:r w:rsidRPr="00D708C9">
        <w:t>transmit and receive) that are kept closely aligned with each other as the vessel</w:t>
      </w:r>
      <w:r w:rsidR="00DB7D24">
        <w:t>(</w:t>
      </w:r>
      <w:r w:rsidRPr="00D708C9">
        <w:t>s</w:t>
      </w:r>
      <w:r w:rsidR="00DB7D24">
        <w:t>)</w:t>
      </w:r>
      <w:r w:rsidRPr="00D708C9">
        <w:t xml:space="preserve"> on which they operate move.</w:t>
      </w:r>
      <w:r w:rsidR="00136857">
        <w:t xml:space="preserve">  Both the shipboard and shore units are the same product type and use the same transmission technology.</w:t>
      </w:r>
      <w:r>
        <w:rPr>
          <w:rStyle w:val="FootnoteReference"/>
        </w:rPr>
        <w:footnoteReference w:id="3"/>
      </w:r>
    </w:p>
    <w:p w:rsidR="00DE3D97" w:rsidP="00D24260" w14:paraId="73CD052F" w14:textId="7930F4DA">
      <w:pPr>
        <w:pStyle w:val="ParaNum"/>
        <w:rPr>
          <w:szCs w:val="22"/>
        </w:rPr>
      </w:pPr>
      <w:r w:rsidRPr="00657E94">
        <w:rPr>
          <w:szCs w:val="22"/>
        </w:rPr>
        <w:t xml:space="preserve">On </w:t>
      </w:r>
      <w:r>
        <w:rPr>
          <w:szCs w:val="22"/>
        </w:rPr>
        <w:t>July 2</w:t>
      </w:r>
      <w:r w:rsidRPr="00657E94">
        <w:rPr>
          <w:szCs w:val="22"/>
        </w:rPr>
        <w:t>, 201</w:t>
      </w:r>
      <w:r>
        <w:rPr>
          <w:szCs w:val="22"/>
        </w:rPr>
        <w:t>9</w:t>
      </w:r>
      <w:r w:rsidRPr="00657E94">
        <w:rPr>
          <w:szCs w:val="22"/>
        </w:rPr>
        <w:t xml:space="preserve">, </w:t>
      </w:r>
      <w:r w:rsidR="006D314C">
        <w:t>Kongsberg</w:t>
      </w:r>
      <w:r>
        <w:rPr>
          <w:szCs w:val="22"/>
        </w:rPr>
        <w:t xml:space="preserve"> </w:t>
      </w:r>
      <w:r w:rsidRPr="00657E94">
        <w:rPr>
          <w:szCs w:val="22"/>
        </w:rPr>
        <w:t xml:space="preserve">filed a </w:t>
      </w:r>
      <w:r w:rsidRPr="00DE3D97">
        <w:t>request</w:t>
      </w:r>
      <w:r w:rsidRPr="00657E94">
        <w:rPr>
          <w:szCs w:val="22"/>
        </w:rPr>
        <w:t xml:space="preserve"> for </w:t>
      </w:r>
      <w:r>
        <w:rPr>
          <w:szCs w:val="22"/>
        </w:rPr>
        <w:t xml:space="preserve">a waiver of Section 15.407(a)(3) </w:t>
      </w:r>
      <w:r w:rsidRPr="00657E94">
        <w:rPr>
          <w:szCs w:val="22"/>
        </w:rPr>
        <w:t>of the Commission’s rules</w:t>
      </w:r>
      <w:r w:rsidR="0017352D">
        <w:t xml:space="preserve">, 47 C.F.R. </w:t>
      </w:r>
      <w:r w:rsidRPr="0017352D" w:rsidR="0017352D">
        <w:t>§</w:t>
      </w:r>
      <w:r w:rsidR="0017352D">
        <w:t xml:space="preserve"> 15.407(a)(3),</w:t>
      </w:r>
      <w:r w:rsidR="006D314C">
        <w:rPr>
          <w:szCs w:val="22"/>
        </w:rPr>
        <w:t xml:space="preserve"> </w:t>
      </w:r>
      <w:r w:rsidRPr="00657E94">
        <w:t>to allow the</w:t>
      </w:r>
      <w:r>
        <w:t xml:space="preserve"> certification,</w:t>
      </w:r>
      <w:r w:rsidRPr="00657E94">
        <w:t xml:space="preserve"> marketing and operation of its </w:t>
      </w:r>
      <w:r>
        <w:t>communication</w:t>
      </w:r>
      <w:r w:rsidRPr="00657E94">
        <w:t xml:space="preserve"> </w:t>
      </w:r>
      <w:r>
        <w:t>s</w:t>
      </w:r>
      <w:r w:rsidRPr="00657E94">
        <w:t>ystem.</w:t>
      </w:r>
      <w:r>
        <w:rPr>
          <w:vertAlign w:val="superscript"/>
        </w:rPr>
        <w:footnoteReference w:id="4"/>
      </w:r>
      <w:r>
        <w:t xml:space="preserve">  </w:t>
      </w:r>
      <w:r>
        <w:rPr>
          <w:szCs w:val="22"/>
        </w:rPr>
        <w:t xml:space="preserve">Section 15.407(a)(3) permits U-NII devices to operate in the </w:t>
      </w:r>
      <w:r w:rsidRPr="005039A0">
        <w:rPr>
          <w:szCs w:val="22"/>
        </w:rPr>
        <w:t>5.725-5.85</w:t>
      </w:r>
      <w:r>
        <w:rPr>
          <w:szCs w:val="22"/>
        </w:rPr>
        <w:t>0</w:t>
      </w:r>
      <w:r w:rsidRPr="005039A0">
        <w:rPr>
          <w:szCs w:val="22"/>
        </w:rPr>
        <w:t xml:space="preserve"> GHz band</w:t>
      </w:r>
      <w:r>
        <w:rPr>
          <w:szCs w:val="22"/>
        </w:rPr>
        <w:t xml:space="preserve"> with a maximum conducted power output of one watt.  If an antenna with a maximum directional gain of greater than 6 </w:t>
      </w:r>
      <w:r>
        <w:rPr>
          <w:szCs w:val="22"/>
        </w:rPr>
        <w:t>dBi</w:t>
      </w:r>
      <w:r>
        <w:rPr>
          <w:szCs w:val="22"/>
        </w:rPr>
        <w:t xml:space="preserve"> is used, the conducted power output must be reduced below one watt by the amount in dB that the antenna gain exceeds 6 </w:t>
      </w:r>
      <w:r>
        <w:rPr>
          <w:szCs w:val="22"/>
        </w:rPr>
        <w:t>dBi</w:t>
      </w:r>
      <w:r w:rsidR="00D55DB6">
        <w:rPr>
          <w:szCs w:val="22"/>
        </w:rPr>
        <w:t>, which corresponds to an EIRP limit of four watts</w:t>
      </w:r>
      <w:r>
        <w:rPr>
          <w:szCs w:val="22"/>
        </w:rPr>
        <w:t xml:space="preserve">.  However, </w:t>
      </w:r>
      <w:r w:rsidR="00112611">
        <w:rPr>
          <w:szCs w:val="22"/>
        </w:rPr>
        <w:t xml:space="preserve">because </w:t>
      </w:r>
      <w:r>
        <w:rPr>
          <w:szCs w:val="22"/>
        </w:rPr>
        <w:t xml:space="preserve">antennas </w:t>
      </w:r>
      <w:r w:rsidR="006171B1">
        <w:rPr>
          <w:szCs w:val="22"/>
        </w:rPr>
        <w:t xml:space="preserve">deployed in fixed point-to-point applications that have </w:t>
      </w:r>
      <w:r>
        <w:rPr>
          <w:szCs w:val="22"/>
        </w:rPr>
        <w:t xml:space="preserve">a gain </w:t>
      </w:r>
      <w:r w:rsidR="00247C31">
        <w:rPr>
          <w:szCs w:val="22"/>
        </w:rPr>
        <w:t xml:space="preserve">of </w:t>
      </w:r>
      <w:r>
        <w:rPr>
          <w:szCs w:val="22"/>
        </w:rPr>
        <w:t xml:space="preserve">greater than </w:t>
      </w:r>
      <w:r>
        <w:rPr>
          <w:szCs w:val="22"/>
        </w:rPr>
        <w:t xml:space="preserve">6 </w:t>
      </w:r>
      <w:r>
        <w:rPr>
          <w:szCs w:val="22"/>
        </w:rPr>
        <w:t>dBi</w:t>
      </w:r>
      <w:r>
        <w:rPr>
          <w:szCs w:val="22"/>
        </w:rPr>
        <w:t xml:space="preserve"> may be used without a</w:t>
      </w:r>
      <w:r w:rsidR="00552416">
        <w:rPr>
          <w:szCs w:val="22"/>
        </w:rPr>
        <w:t>ny</w:t>
      </w:r>
      <w:r>
        <w:rPr>
          <w:szCs w:val="22"/>
        </w:rPr>
        <w:t xml:space="preserve"> corresponding reduction in conducted power output</w:t>
      </w:r>
      <w:r w:rsidR="00D55DB6">
        <w:rPr>
          <w:szCs w:val="22"/>
        </w:rPr>
        <w:t>, there is no specific EIRP limit for th</w:t>
      </w:r>
      <w:r w:rsidR="00D24260">
        <w:rPr>
          <w:szCs w:val="22"/>
        </w:rPr>
        <w:t>o</w:t>
      </w:r>
      <w:r w:rsidR="00D55DB6">
        <w:rPr>
          <w:szCs w:val="22"/>
        </w:rPr>
        <w:t>se applications</w:t>
      </w:r>
      <w:r>
        <w:rPr>
          <w:szCs w:val="22"/>
        </w:rPr>
        <w:t xml:space="preserve">.  The </w:t>
      </w:r>
      <w:r w:rsidR="009413CD">
        <w:rPr>
          <w:szCs w:val="22"/>
        </w:rPr>
        <w:t>Kongsberg</w:t>
      </w:r>
      <w:r>
        <w:rPr>
          <w:szCs w:val="22"/>
        </w:rPr>
        <w:t xml:space="preserve"> system is not a fixed point-to-point system </w:t>
      </w:r>
      <w:r w:rsidR="006171B1">
        <w:rPr>
          <w:szCs w:val="22"/>
        </w:rPr>
        <w:t xml:space="preserve">because </w:t>
      </w:r>
      <w:r>
        <w:rPr>
          <w:szCs w:val="22"/>
        </w:rPr>
        <w:t xml:space="preserve">it is used to communicate with </w:t>
      </w:r>
      <w:r w:rsidR="00684E0C">
        <w:rPr>
          <w:szCs w:val="22"/>
        </w:rPr>
        <w:t xml:space="preserve">maritime </w:t>
      </w:r>
      <w:r>
        <w:rPr>
          <w:szCs w:val="22"/>
        </w:rPr>
        <w:t>vessels</w:t>
      </w:r>
      <w:r w:rsidR="00684E0C">
        <w:rPr>
          <w:szCs w:val="22"/>
        </w:rPr>
        <w:t xml:space="preserve"> that move</w:t>
      </w:r>
      <w:r>
        <w:rPr>
          <w:szCs w:val="22"/>
        </w:rPr>
        <w:t xml:space="preserve">.  </w:t>
      </w:r>
      <w:r w:rsidR="009413CD">
        <w:rPr>
          <w:szCs w:val="22"/>
        </w:rPr>
        <w:t>Kongsberg</w:t>
      </w:r>
      <w:r>
        <w:rPr>
          <w:szCs w:val="22"/>
        </w:rPr>
        <w:t xml:space="preserve"> is seeking a waiver </w:t>
      </w:r>
      <w:bookmarkStart w:id="2" w:name="_Hlk53670278"/>
      <w:r>
        <w:rPr>
          <w:szCs w:val="22"/>
        </w:rPr>
        <w:t xml:space="preserve">to permit the operation of its non-fixed system with one-watt maximum conducted power and an antenna gain that exceeds 6 </w:t>
      </w:r>
      <w:r>
        <w:rPr>
          <w:szCs w:val="22"/>
        </w:rPr>
        <w:t>dBi</w:t>
      </w:r>
      <w:bookmarkEnd w:id="2"/>
      <w:r>
        <w:rPr>
          <w:szCs w:val="22"/>
        </w:rPr>
        <w:t>, i.e.,</w:t>
      </w:r>
      <w:r w:rsidR="00D53014">
        <w:rPr>
          <w:szCs w:val="22"/>
        </w:rPr>
        <w:t xml:space="preserve"> it seeks to operate</w:t>
      </w:r>
      <w:r>
        <w:rPr>
          <w:szCs w:val="22"/>
        </w:rPr>
        <w:t xml:space="preserve"> under the provisions </w:t>
      </w:r>
      <w:r w:rsidR="00D53014">
        <w:rPr>
          <w:szCs w:val="22"/>
        </w:rPr>
        <w:t xml:space="preserve">that are </w:t>
      </w:r>
      <w:r>
        <w:rPr>
          <w:szCs w:val="22"/>
        </w:rPr>
        <w:t>applicable to fixed point-to-point systems.</w:t>
      </w:r>
      <w:r>
        <w:rPr>
          <w:rStyle w:val="FootnoteReference"/>
          <w:szCs w:val="22"/>
        </w:rPr>
        <w:footnoteReference w:id="5"/>
      </w:r>
      <w:r>
        <w:rPr>
          <w:szCs w:val="22"/>
        </w:rPr>
        <w:t xml:space="preserve">  It also proposes specific conditions on the sale, installation, and use of the equipment </w:t>
      </w:r>
      <w:r w:rsidR="00D53014">
        <w:rPr>
          <w:szCs w:val="22"/>
        </w:rPr>
        <w:t>that would be associated with the waiver</w:t>
      </w:r>
      <w:r>
        <w:rPr>
          <w:szCs w:val="22"/>
        </w:rPr>
        <w:t>.</w:t>
      </w:r>
      <w:r>
        <w:rPr>
          <w:rStyle w:val="FootnoteReference"/>
          <w:szCs w:val="22"/>
        </w:rPr>
        <w:footnoteReference w:id="6"/>
      </w:r>
    </w:p>
    <w:p w:rsidR="00B910D9" w:rsidP="0067358D" w14:paraId="2EDAE6D2" w14:textId="5CD9EB21">
      <w:pPr>
        <w:pStyle w:val="ParaNum"/>
        <w:rPr>
          <w:szCs w:val="22"/>
        </w:rPr>
      </w:pPr>
      <w:r w:rsidRPr="00596286">
        <w:rPr>
          <w:rFonts w:eastAsia="Calibri"/>
          <w:color w:val="231F20"/>
        </w:rPr>
        <w:t xml:space="preserve">In </w:t>
      </w:r>
      <w:r w:rsidRPr="00173B86">
        <w:t>response</w:t>
      </w:r>
      <w:r w:rsidRPr="00596286">
        <w:rPr>
          <w:rFonts w:eastAsia="Calibri"/>
          <w:color w:val="231F20"/>
        </w:rPr>
        <w:t xml:space="preserve"> to </w:t>
      </w:r>
      <w:r w:rsidRPr="00D24260">
        <w:t>the</w:t>
      </w:r>
      <w:r w:rsidRPr="00596286">
        <w:rPr>
          <w:rFonts w:eastAsia="Calibri"/>
          <w:color w:val="231F20"/>
        </w:rPr>
        <w:t xml:space="preserve"> </w:t>
      </w:r>
      <w:r w:rsidRPr="00596286">
        <w:rPr>
          <w:szCs w:val="22"/>
        </w:rPr>
        <w:t>Office of Engineering and Technology’s (OET)</w:t>
      </w:r>
      <w:r w:rsidRPr="00596286">
        <w:rPr>
          <w:rFonts w:eastAsia="Calibri"/>
          <w:color w:val="231F20"/>
        </w:rPr>
        <w:t xml:space="preserve"> request for comment on the </w:t>
      </w:r>
      <w:r w:rsidRPr="00596286" w:rsidR="009413CD">
        <w:rPr>
          <w:rFonts w:eastAsia="Calibri"/>
          <w:color w:val="231F20"/>
        </w:rPr>
        <w:t>Kongsberg</w:t>
      </w:r>
      <w:r w:rsidRPr="00596286">
        <w:rPr>
          <w:rFonts w:eastAsia="Calibri"/>
          <w:color w:val="231F20"/>
        </w:rPr>
        <w:t xml:space="preserve"> waiver request, </w:t>
      </w:r>
      <w:r w:rsidRPr="00596286" w:rsidR="00455445">
        <w:rPr>
          <w:rFonts w:eastAsia="Calibri"/>
          <w:color w:val="231F20"/>
        </w:rPr>
        <w:t>o</w:t>
      </w:r>
      <w:r w:rsidRPr="00596286">
        <w:rPr>
          <w:rFonts w:eastAsia="Calibri"/>
          <w:color w:val="231F20"/>
        </w:rPr>
        <w:t>ne party (University of New Hampshire) submitted comments in support</w:t>
      </w:r>
      <w:r w:rsidRPr="00596286" w:rsidR="00AD7C26">
        <w:rPr>
          <w:rFonts w:eastAsia="Calibri"/>
          <w:color w:val="231F20"/>
        </w:rPr>
        <w:t xml:space="preserve"> of the request</w:t>
      </w:r>
      <w:r w:rsidRPr="00596286">
        <w:rPr>
          <w:rFonts w:eastAsia="Calibri"/>
          <w:color w:val="231F20"/>
        </w:rPr>
        <w:t xml:space="preserve">, and </w:t>
      </w:r>
      <w:r w:rsidRPr="00596286" w:rsidR="009413CD">
        <w:rPr>
          <w:rFonts w:eastAsia="Calibri"/>
          <w:color w:val="231F20"/>
        </w:rPr>
        <w:t>Kongsberg</w:t>
      </w:r>
      <w:r w:rsidRPr="00596286">
        <w:rPr>
          <w:rFonts w:eastAsia="Calibri"/>
          <w:color w:val="231F20"/>
        </w:rPr>
        <w:t xml:space="preserve"> submitted brief reply comments.</w:t>
      </w:r>
      <w:r>
        <w:rPr>
          <w:rStyle w:val="FootnoteReference"/>
          <w:rFonts w:eastAsia="Calibri"/>
          <w:color w:val="231F20"/>
        </w:rPr>
        <w:footnoteReference w:id="7"/>
      </w:r>
      <w:r w:rsidRPr="00596286">
        <w:rPr>
          <w:rFonts w:eastAsia="Calibri"/>
          <w:color w:val="231F20"/>
        </w:rPr>
        <w:t xml:space="preserve">  </w:t>
      </w:r>
      <w:r w:rsidRPr="00596286" w:rsidR="00247C31">
        <w:rPr>
          <w:rFonts w:eastAsia="Calibri"/>
          <w:color w:val="231F20"/>
        </w:rPr>
        <w:t xml:space="preserve">Kongsberg </w:t>
      </w:r>
      <w:r w:rsidRPr="00596286" w:rsidR="00085743">
        <w:rPr>
          <w:rFonts w:eastAsia="Calibri"/>
          <w:color w:val="231F20"/>
        </w:rPr>
        <w:t xml:space="preserve">subsequently </w:t>
      </w:r>
      <w:r w:rsidRPr="00596286" w:rsidR="00247C31">
        <w:rPr>
          <w:rFonts w:eastAsia="Calibri"/>
          <w:color w:val="231F20"/>
        </w:rPr>
        <w:t xml:space="preserve">filed information on </w:t>
      </w:r>
      <w:r w:rsidRPr="00596286" w:rsidR="00085743">
        <w:rPr>
          <w:rFonts w:eastAsia="Calibri"/>
          <w:color w:val="231F20"/>
        </w:rPr>
        <w:t>measures its system will incorporate to</w:t>
      </w:r>
      <w:r w:rsidRPr="00596286" w:rsidR="00247C31">
        <w:rPr>
          <w:rFonts w:eastAsia="Calibri"/>
          <w:color w:val="231F20"/>
        </w:rPr>
        <w:t xml:space="preserve"> protect Federal Government </w:t>
      </w:r>
      <w:r w:rsidRPr="00596286" w:rsidR="001A1427">
        <w:rPr>
          <w:rFonts w:eastAsia="Calibri"/>
          <w:color w:val="231F20"/>
        </w:rPr>
        <w:t xml:space="preserve">radar </w:t>
      </w:r>
      <w:r w:rsidRPr="00596286" w:rsidR="00247C31">
        <w:rPr>
          <w:rFonts w:eastAsia="Calibri"/>
          <w:color w:val="231F20"/>
        </w:rPr>
        <w:t xml:space="preserve">operations </w:t>
      </w:r>
      <w:r w:rsidRPr="00596286" w:rsidR="00B00A36">
        <w:rPr>
          <w:rFonts w:eastAsia="Calibri"/>
          <w:color w:val="231F20"/>
        </w:rPr>
        <w:t xml:space="preserve">at </w:t>
      </w:r>
      <w:r>
        <w:rPr>
          <w:rFonts w:eastAsia="Calibri"/>
          <w:color w:val="231F20"/>
        </w:rPr>
        <w:t>four locations (</w:t>
      </w:r>
      <w:r w:rsidRPr="00596286" w:rsidR="00B00A36">
        <w:rPr>
          <w:rFonts w:eastAsia="Calibri"/>
          <w:color w:val="231F20"/>
        </w:rPr>
        <w:t>Patrick Air Force Base</w:t>
      </w:r>
      <w:r>
        <w:rPr>
          <w:rFonts w:eastAsia="Calibri"/>
          <w:color w:val="231F20"/>
        </w:rPr>
        <w:t>, Florida;</w:t>
      </w:r>
      <w:r w:rsidRPr="00C9131F" w:rsidR="00596286">
        <w:rPr>
          <w:rFonts w:eastAsia="Calibri"/>
          <w:color w:val="231F20"/>
        </w:rPr>
        <w:t xml:space="preserve"> Vandenber</w:t>
      </w:r>
      <w:r w:rsidRPr="00596286" w:rsidR="00596286">
        <w:rPr>
          <w:rFonts w:eastAsia="Calibri"/>
          <w:color w:val="231F20"/>
        </w:rPr>
        <w:t>g Air Force Base</w:t>
      </w:r>
      <w:r>
        <w:rPr>
          <w:rFonts w:eastAsia="Calibri"/>
          <w:color w:val="231F20"/>
        </w:rPr>
        <w:t>,</w:t>
      </w:r>
      <w:r w:rsidRPr="00596286" w:rsidR="00596286">
        <w:rPr>
          <w:rFonts w:eastAsia="Calibri"/>
          <w:color w:val="231F20"/>
        </w:rPr>
        <w:t xml:space="preserve"> California</w:t>
      </w:r>
      <w:r>
        <w:rPr>
          <w:rFonts w:eastAsia="Calibri"/>
          <w:color w:val="231F20"/>
        </w:rPr>
        <w:t>;</w:t>
      </w:r>
      <w:r w:rsidRPr="00596286" w:rsidR="00596286">
        <w:rPr>
          <w:rFonts w:eastAsia="Calibri"/>
          <w:color w:val="231F20"/>
        </w:rPr>
        <w:t xml:space="preserve"> Wallops Island, Virginia</w:t>
      </w:r>
      <w:r>
        <w:rPr>
          <w:rFonts w:eastAsia="Calibri"/>
          <w:color w:val="231F20"/>
        </w:rPr>
        <w:t>;</w:t>
      </w:r>
      <w:r w:rsidRPr="00596286" w:rsidR="00596286">
        <w:rPr>
          <w:rFonts w:eastAsia="Calibri"/>
          <w:color w:val="231F20"/>
        </w:rPr>
        <w:t xml:space="preserve"> Coquina, North Carolina</w:t>
      </w:r>
      <w:r>
        <w:rPr>
          <w:rFonts w:eastAsia="Calibri"/>
          <w:color w:val="231F20"/>
        </w:rPr>
        <w:t>)</w:t>
      </w:r>
      <w:r w:rsidRPr="00596286" w:rsidR="00596286">
        <w:rPr>
          <w:rFonts w:eastAsia="Calibri"/>
          <w:color w:val="231F20"/>
        </w:rPr>
        <w:t xml:space="preserve"> as </w:t>
      </w:r>
      <w:r w:rsidR="00596286">
        <w:rPr>
          <w:rFonts w:eastAsia="Calibri"/>
          <w:color w:val="231F20"/>
        </w:rPr>
        <w:t>well</w:t>
      </w:r>
      <w:r w:rsidRPr="00596286" w:rsidR="00596286">
        <w:rPr>
          <w:rFonts w:eastAsia="Calibri"/>
          <w:color w:val="231F20"/>
        </w:rPr>
        <w:t xml:space="preserve"> as</w:t>
      </w:r>
      <w:r w:rsidRPr="00596286" w:rsidR="00AD4E52">
        <w:rPr>
          <w:rFonts w:eastAsia="Calibri"/>
          <w:color w:val="231F20"/>
        </w:rPr>
        <w:t xml:space="preserve"> </w:t>
      </w:r>
      <w:r w:rsidRPr="00596286" w:rsidR="00A92B27">
        <w:rPr>
          <w:rFonts w:eastAsia="Calibri"/>
          <w:color w:val="231F20"/>
        </w:rPr>
        <w:t>information requested</w:t>
      </w:r>
      <w:r w:rsidRPr="00596286" w:rsidR="00AD4E52">
        <w:rPr>
          <w:rFonts w:eastAsia="Calibri"/>
          <w:color w:val="231F20"/>
        </w:rPr>
        <w:t xml:space="preserve"> by OET</w:t>
      </w:r>
      <w:r w:rsidRPr="00596286" w:rsidR="008F4CF0">
        <w:rPr>
          <w:rFonts w:eastAsia="Calibri"/>
          <w:color w:val="231F20"/>
        </w:rPr>
        <w:t xml:space="preserve"> </w:t>
      </w:r>
      <w:r w:rsidRPr="00596286" w:rsidR="00A92B27">
        <w:rPr>
          <w:rFonts w:eastAsia="Calibri"/>
          <w:color w:val="231F20"/>
        </w:rPr>
        <w:t>clarifying certain aspects of the waiver request</w:t>
      </w:r>
      <w:r w:rsidRPr="00596286" w:rsidR="00247C31">
        <w:rPr>
          <w:rFonts w:eastAsia="Calibri"/>
          <w:color w:val="231F20"/>
        </w:rPr>
        <w:t>.</w:t>
      </w:r>
      <w:r>
        <w:rPr>
          <w:rStyle w:val="FootnoteReference"/>
          <w:rFonts w:eastAsia="Calibri"/>
        </w:rPr>
        <w:footnoteReference w:id="8"/>
      </w:r>
      <w:r w:rsidRPr="00596286" w:rsidR="00247C31">
        <w:rPr>
          <w:rFonts w:eastAsia="Calibri"/>
          <w:color w:val="231F20"/>
        </w:rPr>
        <w:t xml:space="preserve">  </w:t>
      </w:r>
      <w:r w:rsidR="00D60C3D">
        <w:rPr>
          <w:rFonts w:eastAsia="Calibri"/>
          <w:color w:val="231F20"/>
        </w:rPr>
        <w:t>No other parties filed comments.</w:t>
      </w:r>
    </w:p>
    <w:p w:rsidR="00455445" w:rsidRPr="00596286" w:rsidP="00173B86" w14:paraId="4D269F8D" w14:textId="77777777">
      <w:pPr>
        <w:pStyle w:val="ParaNum"/>
        <w:keepNext/>
        <w:numPr>
          <w:ilvl w:val="0"/>
          <w:numId w:val="3"/>
        </w:numPr>
        <w:tabs>
          <w:tab w:val="left" w:pos="720"/>
        </w:tabs>
        <w:suppressAutoHyphens/>
        <w:outlineLvl w:val="0"/>
        <w:rPr>
          <w:rFonts w:ascii="Times New Roman Bold" w:hAnsi="Times New Roman Bold"/>
          <w:b/>
          <w:caps/>
        </w:rPr>
      </w:pPr>
      <w:r w:rsidRPr="00596286">
        <w:rPr>
          <w:rFonts w:ascii="Times New Roman Bold" w:hAnsi="Times New Roman Bold"/>
          <w:b/>
          <w:caps/>
        </w:rPr>
        <w:t>Discussion</w:t>
      </w:r>
    </w:p>
    <w:p w:rsidR="00382A6D" w:rsidP="00D24260" w14:paraId="68E31C47" w14:textId="115CAB39">
      <w:pPr>
        <w:pStyle w:val="ParaNum"/>
      </w:pPr>
      <w:r w:rsidRPr="00455445">
        <w:t>We are authorized to grant a waiver under Section 1.3 of the Commission's rules if the petitioner demonstrates good cause for such action.</w:t>
      </w:r>
      <w:bookmarkStart w:id="4" w:name="FN[FN17]"/>
      <w:bookmarkEnd w:id="4"/>
      <w:r>
        <w:rPr>
          <w:vertAlign w:val="superscript"/>
        </w:rPr>
        <w:footnoteReference w:id="9"/>
      </w:r>
      <w:r w:rsidRPr="00455445">
        <w:t xml:space="preserve">  Good cause, in turn, may be found and a waiver granted “where particular facts would make strict compliance inconsistent with the public interest.”</w:t>
      </w:r>
      <w:bookmarkStart w:id="5" w:name="FN[FN18]"/>
      <w:bookmarkEnd w:id="5"/>
      <w:r>
        <w:rPr>
          <w:vertAlign w:val="superscript"/>
        </w:rPr>
        <w:footnoteReference w:id="10"/>
      </w:r>
      <w:r w:rsidRPr="00455445">
        <w:t xml:space="preserve">  To make this public interest determination, the waiver cannot undermine the purposes of the rule, and there must be a stronger public interest benefit in </w:t>
      </w:r>
      <w:bookmarkStart w:id="6" w:name="sp_1511_4275"/>
      <w:bookmarkStart w:id="7" w:name="SDU_4275"/>
      <w:bookmarkStart w:id="8" w:name="citeas((Cite_as:_22_F.C.C.R._4272,_*4275"/>
      <w:bookmarkEnd w:id="6"/>
      <w:bookmarkEnd w:id="7"/>
      <w:bookmarkEnd w:id="8"/>
      <w:r w:rsidRPr="00455445">
        <w:t>granting the waiver than in applying the rule.</w:t>
      </w:r>
      <w:bookmarkStart w:id="9" w:name="FN[FN19]"/>
      <w:bookmarkEnd w:id="9"/>
      <w:r>
        <w:rPr>
          <w:vertAlign w:val="superscript"/>
        </w:rPr>
        <w:footnoteReference w:id="11"/>
      </w:r>
    </w:p>
    <w:p w:rsidR="00000168" w:rsidP="004A0465" w14:paraId="5C21C524" w14:textId="443D5846">
      <w:pPr>
        <w:pStyle w:val="ParaNum"/>
      </w:pPr>
      <w:r>
        <w:t xml:space="preserve">We find that the </w:t>
      </w:r>
      <w:r w:rsidR="009413CD">
        <w:t>Kongsberg</w:t>
      </w:r>
      <w:r>
        <w:t xml:space="preserve"> system promises to deliver strong public interest benefits.</w:t>
      </w:r>
      <w:r>
        <w:t xml:space="preserve">  The higher antenna gain limits it requests will increase the maximum achievable communication distance over water from </w:t>
      </w:r>
      <w:r w:rsidR="00B76F20">
        <w:t xml:space="preserve">approximately </w:t>
      </w:r>
      <w:r>
        <w:t>1.2 kilometers</w:t>
      </w:r>
      <w:r w:rsidR="00B76F20">
        <w:t xml:space="preserve"> (under the current rules)</w:t>
      </w:r>
      <w:r>
        <w:t xml:space="preserve"> to </w:t>
      </w:r>
      <w:r w:rsidR="00D55DB6">
        <w:t xml:space="preserve">at least </w:t>
      </w:r>
      <w:r>
        <w:t>9 kilometers.</w:t>
      </w:r>
      <w:r>
        <w:rPr>
          <w:rStyle w:val="FootnoteReference"/>
        </w:rPr>
        <w:footnoteReference w:id="12"/>
      </w:r>
      <w:r>
        <w:t xml:space="preserve">  This increased range will be useful for a variety of maritime applications, including </w:t>
      </w:r>
      <w:r w:rsidR="00D53014">
        <w:t xml:space="preserve">operation of </w:t>
      </w:r>
      <w:r w:rsidR="00B76F20">
        <w:t xml:space="preserve">autonomous </w:t>
      </w:r>
      <w:r w:rsidR="00B76F20">
        <w:t>surface vessels</w:t>
      </w:r>
      <w:r>
        <w:t>; hydrographic survey</w:t>
      </w:r>
      <w:r w:rsidR="00C97FFD">
        <w:t>ing</w:t>
      </w:r>
      <w:r>
        <w:t xml:space="preserve"> prior to and during dredging of ports and waterways; remote inspection of underwater pipelines and other underwater installations; monitoring marine life; oil and gas exploration; scientific research; communications during search and rescue operations; fishery research</w:t>
      </w:r>
      <w:r w:rsidR="00B76F20">
        <w:t xml:space="preserve">; </w:t>
      </w:r>
      <w:r>
        <w:t>tracking of unmanned underwater vehicles; dock and harbor inspections;</w:t>
      </w:r>
      <w:r w:rsidR="00B76F20">
        <w:t xml:space="preserve"> and </w:t>
      </w:r>
      <w:r>
        <w:t>monitoring sediment in river outlets for safe navigational passages.</w:t>
      </w:r>
      <w:r>
        <w:rPr>
          <w:rStyle w:val="FootnoteReference"/>
        </w:rPr>
        <w:footnoteReference w:id="13"/>
      </w:r>
      <w:r w:rsidR="00B76F20">
        <w:t xml:space="preserve">  </w:t>
      </w:r>
      <w:r>
        <w:t xml:space="preserve">These applications </w:t>
      </w:r>
      <w:r w:rsidR="00A140F6">
        <w:t xml:space="preserve">can augment efforts to </w:t>
      </w:r>
      <w:r>
        <w:t xml:space="preserve">promote safety </w:t>
      </w:r>
      <w:r w:rsidR="00160CD9">
        <w:t xml:space="preserve">(e.g., </w:t>
      </w:r>
      <w:r>
        <w:t xml:space="preserve">search and rescue, man-overboard alerts, </w:t>
      </w:r>
      <w:r w:rsidR="00D355BB">
        <w:t xml:space="preserve">and </w:t>
      </w:r>
      <w:r>
        <w:t>oil spill management</w:t>
      </w:r>
      <w:r w:rsidR="00160CD9">
        <w:t xml:space="preserve">) </w:t>
      </w:r>
      <w:r w:rsidR="00C97FFD">
        <w:t>and have obvious</w:t>
      </w:r>
      <w:r>
        <w:t xml:space="preserve"> economic benefits</w:t>
      </w:r>
      <w:r w:rsidR="00C97FFD">
        <w:t xml:space="preserve"> (e.g. </w:t>
      </w:r>
      <w:r>
        <w:t>us</w:t>
      </w:r>
      <w:r w:rsidR="00C97FFD">
        <w:t>ing</w:t>
      </w:r>
      <w:r>
        <w:t xml:space="preserve"> autonomous vessels for undersea inspection of pipelines and harbor facilities</w:t>
      </w:r>
      <w:r w:rsidR="00C97FFD">
        <w:t>)</w:t>
      </w:r>
      <w:r>
        <w:t>.</w:t>
      </w:r>
      <w:r w:rsidRPr="004A0465" w:rsidR="004A0465">
        <w:t xml:space="preserve"> </w:t>
      </w:r>
      <w:r w:rsidR="004A0465">
        <w:t xml:space="preserve"> </w:t>
      </w:r>
      <w:r w:rsidR="009413CD">
        <w:t>Kongsberg</w:t>
      </w:r>
      <w:r w:rsidR="004A0465">
        <w:t xml:space="preserve"> indicates that t</w:t>
      </w:r>
      <w:r w:rsidRPr="004A0465" w:rsidR="004A0465">
        <w:t xml:space="preserve">he U.S. military has shown interest in </w:t>
      </w:r>
      <w:r w:rsidR="004A0465">
        <w:t>its system, and that g</w:t>
      </w:r>
      <w:r w:rsidRPr="004A0465" w:rsidR="004A0465">
        <w:t xml:space="preserve">rant of </w:t>
      </w:r>
      <w:r w:rsidR="004A0465">
        <w:t>the</w:t>
      </w:r>
      <w:r w:rsidRPr="004A0465" w:rsidR="004A0465">
        <w:t xml:space="preserve"> waiver </w:t>
      </w:r>
      <w:r w:rsidR="00D24260">
        <w:t>would</w:t>
      </w:r>
      <w:r w:rsidRPr="004A0465" w:rsidR="004A0465">
        <w:t xml:space="preserve"> enable military users to deploy these systems quickly.</w:t>
      </w:r>
      <w:r>
        <w:rPr>
          <w:rStyle w:val="FootnoteReference"/>
        </w:rPr>
        <w:footnoteReference w:id="14"/>
      </w:r>
    </w:p>
    <w:p w:rsidR="004A0465" w:rsidRPr="00E85F3F" w:rsidP="004A0465" w14:paraId="55FF5CE9" w14:textId="426559A4">
      <w:pPr>
        <w:pStyle w:val="ParaNum"/>
      </w:pPr>
      <w:r w:rsidRPr="00E85F3F">
        <w:t xml:space="preserve">As noted by the University of New Hampshire and </w:t>
      </w:r>
      <w:r w:rsidRPr="00E85F3F" w:rsidR="009413CD">
        <w:t>Kongsberg</w:t>
      </w:r>
      <w:r w:rsidRPr="00E85F3F">
        <w:t xml:space="preserve">, alternatives to the </w:t>
      </w:r>
      <w:r w:rsidRPr="00E85F3F" w:rsidR="009413CD">
        <w:t>Kongsberg</w:t>
      </w:r>
      <w:r w:rsidRPr="00E85F3F">
        <w:t xml:space="preserve"> system for broadband maritime communications are limited and less suitable for the intended applications.</w:t>
      </w:r>
      <w:r>
        <w:rPr>
          <w:rStyle w:val="FootnoteReference"/>
        </w:rPr>
        <w:footnoteReference w:id="15"/>
      </w:r>
      <w:r w:rsidRPr="00E85F3F">
        <w:t xml:space="preserve">  Commercial </w:t>
      </w:r>
      <w:r w:rsidR="00E85F3F">
        <w:t>cellular data</w:t>
      </w:r>
      <w:r w:rsidRPr="00E85F3F" w:rsidR="00E85F3F">
        <w:t xml:space="preserve"> </w:t>
      </w:r>
      <w:r w:rsidRPr="00E85F3F">
        <w:t xml:space="preserve">service is </w:t>
      </w:r>
      <w:r w:rsidR="00E85F3F">
        <w:t xml:space="preserve">typically </w:t>
      </w:r>
      <w:r w:rsidRPr="00E85F3F">
        <w:t xml:space="preserve">available </w:t>
      </w:r>
      <w:r w:rsidR="00E85F3F">
        <w:t xml:space="preserve">only </w:t>
      </w:r>
      <w:r w:rsidRPr="00E85F3F">
        <w:t xml:space="preserve">close to land, and </w:t>
      </w:r>
      <w:r w:rsidR="00E85F3F">
        <w:t xml:space="preserve">available cellular </w:t>
      </w:r>
      <w:r w:rsidRPr="00E85F3F">
        <w:t xml:space="preserve">and satellite </w:t>
      </w:r>
      <w:r w:rsidR="00E85F3F">
        <w:t>options can have</w:t>
      </w:r>
      <w:r w:rsidRPr="00E85F3F">
        <w:t xml:space="preserve"> data </w:t>
      </w:r>
      <w:r w:rsidRPr="00E85F3F" w:rsidR="00E85F3F">
        <w:t>speed</w:t>
      </w:r>
      <w:r w:rsidR="00E85F3F">
        <w:t xml:space="preserve"> and usage limitations</w:t>
      </w:r>
      <w:r w:rsidRPr="00E85F3F">
        <w:t xml:space="preserve">.  </w:t>
      </w:r>
      <w:r w:rsidR="00E85F3F">
        <w:t xml:space="preserve">For example, </w:t>
      </w:r>
      <w:r w:rsidRPr="00E85F3F" w:rsidR="009413CD">
        <w:t>Kongsberg</w:t>
      </w:r>
      <w:r w:rsidRPr="00E85F3F">
        <w:t xml:space="preserve"> </w:t>
      </w:r>
      <w:r w:rsidR="00E85F3F">
        <w:t>states</w:t>
      </w:r>
      <w:r w:rsidRPr="00E85F3F" w:rsidR="00E85F3F">
        <w:t xml:space="preserve"> </w:t>
      </w:r>
      <w:r w:rsidRPr="00E85F3F">
        <w:t>that some scientific applications must transport several gigabytes per day,</w:t>
      </w:r>
      <w:r w:rsidR="00E85F3F">
        <w:t xml:space="preserve"> which it has found to </w:t>
      </w:r>
      <w:r w:rsidRPr="00E85F3F">
        <w:t>exceed all but the costliest data caps.</w:t>
      </w:r>
      <w:r>
        <w:rPr>
          <w:rStyle w:val="FootnoteReference"/>
        </w:rPr>
        <w:footnoteReference w:id="16"/>
      </w:r>
      <w:r w:rsidRPr="00E85F3F">
        <w:t xml:space="preserve">  In addition, the latency inherent in </w:t>
      </w:r>
      <w:r w:rsidR="00E85F3F">
        <w:t>many cellular deployments</w:t>
      </w:r>
      <w:r w:rsidRPr="00E85F3F" w:rsidR="00E85F3F">
        <w:t xml:space="preserve"> </w:t>
      </w:r>
      <w:r w:rsidRPr="00E85F3F">
        <w:t xml:space="preserve">and satellite data communications could be a problem for </w:t>
      </w:r>
      <w:r w:rsidRPr="00E85F3F" w:rsidR="000A0156">
        <w:t>precision</w:t>
      </w:r>
      <w:r w:rsidRPr="00E85F3F">
        <w:t xml:space="preserve"> applications, such as steering autonomous vessels through congested waterways. </w:t>
      </w:r>
    </w:p>
    <w:p w:rsidR="00731233" w:rsidRPr="00E85F3F" w:rsidP="00731233" w14:paraId="7085B7AC" w14:textId="3FA9021E">
      <w:pPr>
        <w:pStyle w:val="ParaNum"/>
      </w:pPr>
      <w:r w:rsidRPr="00E85F3F">
        <w:t xml:space="preserve">We also conclude that, with appropriate operational and technical restrictions to prevent harmful interference to authorized services, granting </w:t>
      </w:r>
      <w:r w:rsidRPr="00E85F3F" w:rsidR="009413CD">
        <w:t>Kongsberg</w:t>
      </w:r>
      <w:r w:rsidRPr="00E85F3F">
        <w:t xml:space="preserve">’s request for waiver does not undermine the purpose of the rules, i.e., to prevent harmful interference to authorized </w:t>
      </w:r>
      <w:r w:rsidR="00A74360">
        <w:t xml:space="preserve">communication </w:t>
      </w:r>
      <w:r w:rsidRPr="00E85F3F">
        <w:t xml:space="preserve">services.  </w:t>
      </w:r>
      <w:r w:rsidRPr="00E85F3F" w:rsidR="000A0156">
        <w:t xml:space="preserve">In this case, the authorized services operate under </w:t>
      </w:r>
      <w:r w:rsidRPr="00E85F3F">
        <w:t>a primary federal radiolocation allocation and secondary amateur allocations.</w:t>
      </w:r>
      <w:r>
        <w:rPr>
          <w:rStyle w:val="FootnoteReference"/>
        </w:rPr>
        <w:footnoteReference w:id="17"/>
      </w:r>
      <w:r w:rsidRPr="00E85F3F" w:rsidR="00573687">
        <w:t xml:space="preserve">  </w:t>
      </w:r>
      <w:r w:rsidR="00FC3867">
        <w:t xml:space="preserve">As </w:t>
      </w:r>
      <w:r w:rsidR="00394DBB">
        <w:t>discussed</w:t>
      </w:r>
      <w:r w:rsidR="00FC3867">
        <w:t xml:space="preserve"> below, the Kongsberg system will incorporate a geo-fencing mechanism to </w:t>
      </w:r>
      <w:r w:rsidR="009A246F">
        <w:t xml:space="preserve">prevent operation </w:t>
      </w:r>
      <w:r w:rsidR="00E86000">
        <w:t>near</w:t>
      </w:r>
      <w:r w:rsidR="00FC3867">
        <w:t xml:space="preserve"> </w:t>
      </w:r>
      <w:r w:rsidR="009A246F">
        <w:t>certain</w:t>
      </w:r>
      <w:r w:rsidR="00FC3867">
        <w:t xml:space="preserve"> Federal Government radar systems.</w:t>
      </w:r>
    </w:p>
    <w:p w:rsidR="00A03CEA" w:rsidP="00A03CEA" w14:paraId="1A6ED509" w14:textId="27EF0F89">
      <w:pPr>
        <w:pStyle w:val="ParaNum"/>
      </w:pPr>
      <w:r>
        <w:t>We find that</w:t>
      </w:r>
      <w:r w:rsidR="006E20A1">
        <w:t xml:space="preserve">, </w:t>
      </w:r>
      <w:r w:rsidR="00902713">
        <w:t>with</w:t>
      </w:r>
      <w:r w:rsidR="006E20A1">
        <w:t xml:space="preserve"> </w:t>
      </w:r>
      <w:r w:rsidR="00FC3867">
        <w:t>the inclusion of this geo-fencing mechanism</w:t>
      </w:r>
      <w:r w:rsidR="006E20A1">
        <w:t>,</w:t>
      </w:r>
      <w:r>
        <w:t xml:space="preserve"> t</w:t>
      </w:r>
      <w:r>
        <w:t xml:space="preserve">here will be little or no additional risk of </w:t>
      </w:r>
      <w:r w:rsidR="00957AF5">
        <w:t xml:space="preserve">harmful </w:t>
      </w:r>
      <w:r>
        <w:t xml:space="preserve">interference to authorized services as a result of this waiver. The </w:t>
      </w:r>
      <w:r w:rsidR="009413CD">
        <w:t>Kongsberg</w:t>
      </w:r>
      <w:r>
        <w:t xml:space="preserve"> devices use narrow, steerable beams to transmit to other devices, minimizing the areas exposed to interference.  </w:t>
      </w:r>
      <w:r w:rsidR="00FF6013">
        <w:t>The only difference between these devices and the fixed point-to-point links permitted under the rules is that the transmitters on-board vessels will be in motion instead of restricted to fixed locations.</w:t>
      </w:r>
      <w:r>
        <w:rPr>
          <w:rStyle w:val="FootnoteReference"/>
        </w:rPr>
        <w:footnoteReference w:id="18"/>
      </w:r>
      <w:r w:rsidR="00FF6013">
        <w:t xml:space="preserve">  As the devices will be limited to one watt conducted power by the U-NII rules, they will </w:t>
      </w:r>
      <w:r w:rsidR="006C1389">
        <w:t>necessarily</w:t>
      </w:r>
      <w:r w:rsidR="00FF6013">
        <w:t xml:space="preserve"> use narrow-beam antennas to achieve the higher EIRP.  </w:t>
      </w:r>
      <w:r>
        <w:t>The transmit paths will be almost entirely over water, either between vessels or between a vessel and a location on shore with line-of-sight to the water</w:t>
      </w:r>
      <w:r w:rsidR="007C3CEB">
        <w:t xml:space="preserve">. </w:t>
      </w:r>
      <w:r>
        <w:t xml:space="preserve"> </w:t>
      </w:r>
      <w:r w:rsidR="006C1389">
        <w:t>Consequently</w:t>
      </w:r>
      <w:r w:rsidR="007C3CEB">
        <w:t>,</w:t>
      </w:r>
      <w:r>
        <w:t xml:space="preserve"> there is a low likelihood that a receiver that could receive interference will be present in the path between devices.  In addition, devices will employ an always-on transmit power control to limit power to the minimum necessary for communications, which will further reduce the </w:t>
      </w:r>
      <w:r>
        <w:t>likelihood of interference to authorized services.</w:t>
      </w:r>
      <w:r>
        <w:rPr>
          <w:rStyle w:val="FootnoteReference"/>
        </w:rPr>
        <w:footnoteReference w:id="19"/>
      </w:r>
      <w:r>
        <w:t xml:space="preserve">  Also, only one radio in a network transmits at a time, creating a low transmit duty cycle</w:t>
      </w:r>
      <w:r>
        <w:t>; this</w:t>
      </w:r>
      <w:r w:rsidR="005F6089">
        <w:t xml:space="preserve"> characteristic </w:t>
      </w:r>
      <w:r>
        <w:t>further reduces the probability of interference.</w:t>
      </w:r>
      <w:r>
        <w:rPr>
          <w:rStyle w:val="FootnoteReference"/>
        </w:rPr>
        <w:footnoteReference w:id="20"/>
      </w:r>
    </w:p>
    <w:p w:rsidR="003F6F16" w:rsidP="00814DD9" w14:paraId="06B43940" w14:textId="2D9E0A9A">
      <w:pPr>
        <w:pStyle w:val="ParaNum"/>
      </w:pPr>
      <w:r>
        <w:t xml:space="preserve">Kongsberg acknowledges that </w:t>
      </w:r>
      <w:r w:rsidR="0031300E">
        <w:t>the National Telecommunications and Information Administration (</w:t>
      </w:r>
      <w:r w:rsidR="00F80EF2">
        <w:t>NTIA</w:t>
      </w:r>
      <w:r w:rsidR="0031300E">
        <w:t>)</w:t>
      </w:r>
      <w:r>
        <w:t xml:space="preserve"> ha</w:t>
      </w:r>
      <w:r w:rsidR="002C3A2B">
        <w:t>s</w:t>
      </w:r>
      <w:r>
        <w:t xml:space="preserve"> raised </w:t>
      </w:r>
      <w:r>
        <w:t xml:space="preserve">concerns outside of this proceeding </w:t>
      </w:r>
      <w:r w:rsidR="00607AEB">
        <w:t>regarding</w:t>
      </w:r>
      <w:r>
        <w:t xml:space="preserve"> interference to </w:t>
      </w:r>
      <w:r w:rsidR="00044313">
        <w:t xml:space="preserve">Federal Government </w:t>
      </w:r>
      <w:r>
        <w:t xml:space="preserve">radar </w:t>
      </w:r>
      <w:r w:rsidR="00470E67">
        <w:t xml:space="preserve">systems </w:t>
      </w:r>
      <w:r>
        <w:t>at Patrick Air Force Base</w:t>
      </w:r>
      <w:r w:rsidR="00044313">
        <w:t xml:space="preserve">, </w:t>
      </w:r>
      <w:r>
        <w:t>Florida</w:t>
      </w:r>
      <w:r>
        <w:t xml:space="preserve"> and</w:t>
      </w:r>
      <w:r>
        <w:t xml:space="preserve"> </w:t>
      </w:r>
      <w:r w:rsidR="005F6089">
        <w:t xml:space="preserve">has committed to </w:t>
      </w:r>
      <w:r w:rsidR="00256A99">
        <w:t>incorporat</w:t>
      </w:r>
      <w:r w:rsidR="005F6089">
        <w:t>ing</w:t>
      </w:r>
      <w:r w:rsidR="00E06C43">
        <w:t xml:space="preserve"> </w:t>
      </w:r>
      <w:r w:rsidR="0041304D">
        <w:t>measures</w:t>
      </w:r>
      <w:r w:rsidR="005F6089">
        <w:t xml:space="preserve"> into its system</w:t>
      </w:r>
      <w:r w:rsidR="00E06C43">
        <w:t xml:space="preserve"> to </w:t>
      </w:r>
      <w:r>
        <w:t>provide assurance</w:t>
      </w:r>
      <w:r w:rsidR="00E06C43">
        <w:t xml:space="preserve"> that </w:t>
      </w:r>
      <w:r w:rsidR="005F6089">
        <w:t>it will</w:t>
      </w:r>
      <w:r w:rsidR="00E06C43">
        <w:t xml:space="preserve"> not cause </w:t>
      </w:r>
      <w:r>
        <w:t xml:space="preserve">harmful </w:t>
      </w:r>
      <w:r w:rsidR="00E06C43">
        <w:t xml:space="preserve">interference to </w:t>
      </w:r>
      <w:r>
        <w:t xml:space="preserve">these </w:t>
      </w:r>
      <w:r w:rsidR="00E06C43">
        <w:t>federal radar systems.</w:t>
      </w:r>
      <w:r>
        <w:rPr>
          <w:rStyle w:val="FootnoteReference"/>
        </w:rPr>
        <w:footnoteReference w:id="21"/>
      </w:r>
      <w:r w:rsidR="00E06C43">
        <w:t xml:space="preserve">  Specifically, </w:t>
      </w:r>
      <w:r w:rsidR="005F6089">
        <w:t xml:space="preserve">its </w:t>
      </w:r>
      <w:r w:rsidR="0041304D">
        <w:t>device</w:t>
      </w:r>
      <w:r w:rsidR="005F6089">
        <w:t>s</w:t>
      </w:r>
      <w:r w:rsidR="0041304D">
        <w:t xml:space="preserve"> will incorporate a geo-</w:t>
      </w:r>
      <w:r w:rsidR="00902713">
        <w:t xml:space="preserve">fencing </w:t>
      </w:r>
      <w:r w:rsidR="0041304D">
        <w:t>system and use exclusion zones to protect</w:t>
      </w:r>
      <w:r w:rsidR="00E332D5">
        <w:t xml:space="preserve"> this base</w:t>
      </w:r>
      <w:r w:rsidR="005F6089">
        <w:t xml:space="preserve"> (</w:t>
      </w:r>
      <w:r w:rsidR="0041304D">
        <w:t xml:space="preserve">i.e., the device will stop transmitting if it enters a </w:t>
      </w:r>
      <w:r w:rsidR="00FC3867">
        <w:t xml:space="preserve">defined </w:t>
      </w:r>
      <w:r w:rsidR="0041304D">
        <w:t>exclusion zone</w:t>
      </w:r>
      <w:r w:rsidR="00256A99">
        <w:t xml:space="preserve"> around the base</w:t>
      </w:r>
      <w:r w:rsidR="005F6089">
        <w:t>)</w:t>
      </w:r>
      <w:r w:rsidR="0041304D">
        <w:t>.</w:t>
      </w:r>
      <w:r>
        <w:rPr>
          <w:rStyle w:val="FootnoteReference"/>
        </w:rPr>
        <w:footnoteReference w:id="22"/>
      </w:r>
      <w:r w:rsidR="0041304D">
        <w:t xml:space="preserve">  T</w:t>
      </w:r>
      <w:r w:rsidR="00E332D5">
        <w:t>o implement the</w:t>
      </w:r>
      <w:r w:rsidR="00555F0E">
        <w:t>se</w:t>
      </w:r>
      <w:r w:rsidR="00E332D5">
        <w:t xml:space="preserve"> exclusion zones, </w:t>
      </w:r>
      <w:r w:rsidR="005F6089">
        <w:t xml:space="preserve">Kongsberg </w:t>
      </w:r>
      <w:r w:rsidR="00E332D5">
        <w:t>device</w:t>
      </w:r>
      <w:r w:rsidR="005F6089">
        <w:t>s</w:t>
      </w:r>
      <w:r w:rsidR="00E332D5">
        <w:t xml:space="preserve"> will divide</w:t>
      </w:r>
      <w:r w:rsidR="0041304D">
        <w:t xml:space="preserve"> the </w:t>
      </w:r>
      <w:r w:rsidRPr="00256A99" w:rsidR="00256A99">
        <w:t xml:space="preserve">5725-5850 MHz </w:t>
      </w:r>
      <w:r w:rsidR="0041304D">
        <w:t xml:space="preserve">band into four 20-megahertz channels with a 15-megahertz guard band between each channel.  Devices operating on the lower three channels </w:t>
      </w:r>
      <w:r w:rsidR="00256A99">
        <w:t>will</w:t>
      </w:r>
      <w:r w:rsidR="0041304D">
        <w:t xml:space="preserve"> have to </w:t>
      </w:r>
      <w:r w:rsidR="00E332D5">
        <w:t>be separate</w:t>
      </w:r>
      <w:r w:rsidR="00555F0E">
        <w:t>d by</w:t>
      </w:r>
      <w:r w:rsidR="0041304D">
        <w:t xml:space="preserve"> at least 5</w:t>
      </w:r>
      <w:r w:rsidR="00431932">
        <w:t>3</w:t>
      </w:r>
      <w:r w:rsidR="0041304D">
        <w:t xml:space="preserve"> </w:t>
      </w:r>
      <w:r w:rsidR="00A04982">
        <w:t>kilometers</w:t>
      </w:r>
      <w:r w:rsidR="0041304D">
        <w:t xml:space="preserve"> from the base, and devices on the highest channel </w:t>
      </w:r>
      <w:r w:rsidR="00634A47">
        <w:t>will</w:t>
      </w:r>
      <w:r w:rsidR="0041304D">
        <w:t xml:space="preserve"> have to </w:t>
      </w:r>
      <w:r w:rsidR="00E332D5">
        <w:t>be separated by</w:t>
      </w:r>
      <w:r w:rsidR="0041304D">
        <w:t xml:space="preserve"> at least 5 k</w:t>
      </w:r>
      <w:r w:rsidR="00A04982">
        <w:t>ilometers</w:t>
      </w:r>
      <w:r w:rsidR="0041304D">
        <w:t xml:space="preserve"> from the base.</w:t>
      </w:r>
      <w:r>
        <w:rPr>
          <w:rStyle w:val="FootnoteReference"/>
        </w:rPr>
        <w:footnoteReference w:id="23"/>
      </w:r>
      <w:r w:rsidR="0041304D">
        <w:t xml:space="preserve"> </w:t>
      </w:r>
      <w:r w:rsidR="00A04982">
        <w:t xml:space="preserve"> </w:t>
      </w:r>
      <w:r w:rsidR="0041304D">
        <w:t xml:space="preserve">The difference in </w:t>
      </w:r>
      <w:r w:rsidR="00634A47">
        <w:t xml:space="preserve">these </w:t>
      </w:r>
      <w:r w:rsidR="0041304D">
        <w:t xml:space="preserve">separation distances is due to the </w:t>
      </w:r>
      <w:r w:rsidR="00A04982">
        <w:t>fact that the highest channel has a greater</w:t>
      </w:r>
      <w:r w:rsidR="0041304D">
        <w:t xml:space="preserve"> frequency separation from radar systems.  </w:t>
      </w:r>
      <w:r w:rsidR="005F6089">
        <w:t xml:space="preserve">To further protect </w:t>
      </w:r>
      <w:r w:rsidR="00FC3867">
        <w:t>Federal Government radar systems</w:t>
      </w:r>
      <w:r w:rsidR="005F6089">
        <w:t>, t</w:t>
      </w:r>
      <w:r w:rsidR="0041304D">
        <w:t>he device</w:t>
      </w:r>
      <w:r w:rsidR="005F6089">
        <w:t>s</w:t>
      </w:r>
      <w:r w:rsidR="0041304D">
        <w:t xml:space="preserve"> </w:t>
      </w:r>
      <w:r w:rsidR="00A04982">
        <w:t>will</w:t>
      </w:r>
      <w:r w:rsidR="0041304D">
        <w:t xml:space="preserve">  have a tighter </w:t>
      </w:r>
      <w:r w:rsidR="00E332D5">
        <w:t>out-of-band emission</w:t>
      </w:r>
      <w:r w:rsidR="0041304D">
        <w:t xml:space="preserve"> mask than the U-NII rules require.</w:t>
      </w:r>
      <w:r>
        <w:rPr>
          <w:rStyle w:val="FootnoteReference"/>
        </w:rPr>
        <w:footnoteReference w:id="24"/>
      </w:r>
    </w:p>
    <w:p w:rsidR="00411DD5" w:rsidP="00411DD5" w14:paraId="1DC4A124" w14:textId="5BB8755C">
      <w:pPr>
        <w:pStyle w:val="ParaNum"/>
      </w:pPr>
      <w:r>
        <w:t xml:space="preserve">Kongsberg </w:t>
      </w:r>
      <w:r w:rsidR="0031300E">
        <w:t xml:space="preserve">subsequently </w:t>
      </w:r>
      <w:r>
        <w:t xml:space="preserve">requested </w:t>
      </w:r>
      <w:r w:rsidR="00F04DC8">
        <w:t>additions and modifications to its originally recommended</w:t>
      </w:r>
      <w:r>
        <w:t xml:space="preserve"> exclusion zones</w:t>
      </w:r>
      <w:r w:rsidR="00F04DC8">
        <w:t xml:space="preserve"> to address NTIA concerns about</w:t>
      </w:r>
      <w:r w:rsidR="00394DBB">
        <w:t xml:space="preserve"> potential</w:t>
      </w:r>
      <w:r w:rsidR="00F04DC8">
        <w:t xml:space="preserve"> impacts on</w:t>
      </w:r>
      <w:r w:rsidR="00540EAB">
        <w:t xml:space="preserve"> other</w:t>
      </w:r>
      <w:r w:rsidR="00F04DC8">
        <w:t xml:space="preserve"> Federal Government radar systems.</w:t>
      </w:r>
      <w:r>
        <w:rPr>
          <w:rStyle w:val="FootnoteReference"/>
        </w:rPr>
        <w:footnoteReference w:id="25"/>
      </w:r>
      <w:r w:rsidR="00F04DC8">
        <w:t xml:space="preserve">  </w:t>
      </w:r>
      <w:r>
        <w:t>The National Aeronautics and Space Administration (NASA) operates numerous precision tracking radars in this band to support launch activities</w:t>
      </w:r>
      <w:r w:rsidR="00FC2840">
        <w:t>, including systems at</w:t>
      </w:r>
      <w:r>
        <w:t xml:space="preserve"> Wallops Island, Virginia, and Coquina, North Carolina.  To protect these radar operations, </w:t>
      </w:r>
      <w:r w:rsidR="00FC2840">
        <w:t xml:space="preserve">Kongsberg states </w:t>
      </w:r>
      <w:r>
        <w:t xml:space="preserve">that </w:t>
      </w:r>
      <w:r w:rsidR="00FC2840">
        <w:t>its</w:t>
      </w:r>
      <w:r>
        <w:t xml:space="preserve"> devices </w:t>
      </w:r>
      <w:r w:rsidR="00FC2840">
        <w:t xml:space="preserve">will not </w:t>
      </w:r>
      <w:bookmarkStart w:id="11" w:name="_Hlk105495623"/>
      <w:r w:rsidR="00FC2840">
        <w:t>operate</w:t>
      </w:r>
      <w:r w:rsidR="00AE2BC5">
        <w:t xml:space="preserve"> on channels I, II and IV</w:t>
      </w:r>
      <w:r>
        <w:t xml:space="preserve"> within a 200 km radius</w:t>
      </w:r>
      <w:r w:rsidR="00683FB2">
        <w:t>,</w:t>
      </w:r>
      <w:r>
        <w:t xml:space="preserve"> </w:t>
      </w:r>
      <w:r w:rsidR="00AE2BC5">
        <w:rPr>
          <w:szCs w:val="22"/>
        </w:rPr>
        <w:t>and on channel III within a 65 km radius</w:t>
      </w:r>
      <w:r w:rsidR="00683FB2">
        <w:rPr>
          <w:szCs w:val="22"/>
        </w:rPr>
        <w:t>,</w:t>
      </w:r>
      <w:r w:rsidRPr="00AE2BC5" w:rsidR="00AE2BC5">
        <w:t xml:space="preserve"> </w:t>
      </w:r>
      <w:r w:rsidR="00AE2BC5">
        <w:t xml:space="preserve">of Wallops Island, </w:t>
      </w:r>
      <w:r w:rsidRPr="00411DD5" w:rsidR="00AE2BC5">
        <w:rPr>
          <w:szCs w:val="22"/>
        </w:rPr>
        <w:t>Virginia (</w:t>
      </w:r>
      <w:r w:rsidRPr="000D5BFF" w:rsidR="00AE2BC5">
        <w:rPr>
          <w:szCs w:val="22"/>
        </w:rPr>
        <w:t>37</w:t>
      </w:r>
      <w:r w:rsidR="000D223D">
        <w:rPr>
          <w:szCs w:val="22"/>
        </w:rPr>
        <w:t xml:space="preserve"> </w:t>
      </w:r>
      <w:r w:rsidRPr="000D5BFF" w:rsidR="00AE2BC5">
        <w:rPr>
          <w:szCs w:val="22"/>
        </w:rPr>
        <w:t>51’17”N, 75</w:t>
      </w:r>
      <w:r w:rsidR="000D223D">
        <w:rPr>
          <w:szCs w:val="22"/>
        </w:rPr>
        <w:t xml:space="preserve"> </w:t>
      </w:r>
      <w:r w:rsidRPr="000D5BFF" w:rsidR="00AE2BC5">
        <w:rPr>
          <w:szCs w:val="22"/>
        </w:rPr>
        <w:t>27’48”W</w:t>
      </w:r>
      <w:r w:rsidRPr="00411DD5" w:rsidR="00AE2BC5">
        <w:rPr>
          <w:szCs w:val="22"/>
        </w:rPr>
        <w:t xml:space="preserve">) </w:t>
      </w:r>
      <w:r w:rsidR="00AE2BC5">
        <w:t>and Coquina, North Carolina (</w:t>
      </w:r>
      <w:r w:rsidRPr="000D5BFF" w:rsidR="00AE2BC5">
        <w:rPr>
          <w:szCs w:val="22"/>
        </w:rPr>
        <w:t>35</w:t>
      </w:r>
      <w:r w:rsidR="000D223D">
        <w:rPr>
          <w:szCs w:val="22"/>
        </w:rPr>
        <w:t xml:space="preserve"> </w:t>
      </w:r>
      <w:r w:rsidRPr="000D5BFF" w:rsidR="00AE2BC5">
        <w:rPr>
          <w:szCs w:val="22"/>
        </w:rPr>
        <w:t>50’12”N, 75</w:t>
      </w:r>
      <w:r w:rsidR="000D223D">
        <w:rPr>
          <w:szCs w:val="22"/>
        </w:rPr>
        <w:t xml:space="preserve"> </w:t>
      </w:r>
      <w:r w:rsidRPr="000D5BFF" w:rsidR="00AE2BC5">
        <w:rPr>
          <w:szCs w:val="22"/>
        </w:rPr>
        <w:t>34’14”W</w:t>
      </w:r>
      <w:bookmarkEnd w:id="11"/>
      <w:r w:rsidR="00AE2BC5">
        <w:rPr>
          <w:szCs w:val="22"/>
        </w:rPr>
        <w:t>)</w:t>
      </w:r>
      <w:r>
        <w:t>.</w:t>
      </w:r>
      <w:r>
        <w:rPr>
          <w:rStyle w:val="FootnoteReference"/>
        </w:rPr>
        <w:footnoteReference w:id="26"/>
      </w:r>
      <w:r w:rsidR="00833FFC">
        <w:t xml:space="preserve"> </w:t>
      </w:r>
      <w:r w:rsidR="002122BD">
        <w:t xml:space="preserve"> </w:t>
      </w:r>
      <w:r w:rsidR="00394DBB">
        <w:t xml:space="preserve">In addition, </w:t>
      </w:r>
      <w:r w:rsidR="00C633F9">
        <w:t xml:space="preserve">Kongsberg </w:t>
      </w:r>
      <w:r w:rsidR="002122BD">
        <w:t xml:space="preserve">requests an increase in size of </w:t>
      </w:r>
      <w:r w:rsidR="00C633F9">
        <w:t xml:space="preserve">its originally </w:t>
      </w:r>
      <w:r w:rsidR="002122BD">
        <w:t xml:space="preserve">suggested all-channel exclusion zone at Patrick Air Force Base to protect radar operations at Cape Canaveral, </w:t>
      </w:r>
      <w:r w:rsidR="00C633F9">
        <w:t xml:space="preserve">Florida </w:t>
      </w:r>
      <w:r w:rsidR="002122BD">
        <w:t>and requests an additional all-channel exclusion zone to protect radar operations at Vandenberg Air Force Base</w:t>
      </w:r>
      <w:r w:rsidR="00C633F9">
        <w:t>, California</w:t>
      </w:r>
      <w:r w:rsidR="002122BD">
        <w:t>.</w:t>
      </w:r>
      <w:r>
        <w:rPr>
          <w:rStyle w:val="FootnoteReference"/>
        </w:rPr>
        <w:footnoteReference w:id="27"/>
      </w:r>
    </w:p>
    <w:p w:rsidR="00B0790C" w:rsidP="00FB1BC5" w14:paraId="5B6603CD" w14:textId="66AAC08E">
      <w:pPr>
        <w:pStyle w:val="ParaNum"/>
      </w:pPr>
      <w:r w:rsidRPr="00173B86">
        <w:rPr>
          <w:bCs/>
          <w:i/>
        </w:rPr>
        <w:t>Waiver conditions</w:t>
      </w:r>
      <w:r w:rsidRPr="000D3B08">
        <w:rPr>
          <w:bCs/>
        </w:rPr>
        <w:t>.</w:t>
      </w:r>
      <w:r>
        <w:t xml:space="preserve">  </w:t>
      </w:r>
      <w:r w:rsidR="002C2466">
        <w:t>W</w:t>
      </w:r>
      <w:r w:rsidRPr="00050AEB" w:rsidR="002C2466">
        <w:t xml:space="preserve">e </w:t>
      </w:r>
      <w:r w:rsidR="00253F5D">
        <w:t xml:space="preserve">find that the </w:t>
      </w:r>
      <w:r w:rsidRPr="00050AEB" w:rsidR="002C2466">
        <w:t xml:space="preserve">conditions on </w:t>
      </w:r>
      <w:r w:rsidR="002C2466">
        <w:t xml:space="preserve">the grant of waiver </w:t>
      </w:r>
      <w:r w:rsidR="00253F5D">
        <w:t>that Kongsberg h</w:t>
      </w:r>
      <w:r w:rsidR="002C2466">
        <w:t>as</w:t>
      </w:r>
      <w:r w:rsidRPr="00EA76D9" w:rsidR="002C2466">
        <w:t xml:space="preserve"> </w:t>
      </w:r>
      <w:r w:rsidRPr="00050AEB" w:rsidR="002C2466">
        <w:t xml:space="preserve">suggested </w:t>
      </w:r>
      <w:r w:rsidR="00C72CBF">
        <w:t>will help</w:t>
      </w:r>
      <w:r w:rsidRPr="00050AEB" w:rsidR="002C2466">
        <w:t xml:space="preserve"> limit the potential for harmful interference from </w:t>
      </w:r>
      <w:r w:rsidR="00253F5D">
        <w:t>Kongsb</w:t>
      </w:r>
      <w:r w:rsidR="00AA5DA7">
        <w:t>e</w:t>
      </w:r>
      <w:r w:rsidR="00253F5D">
        <w:t>rg’s</w:t>
      </w:r>
      <w:r w:rsidRPr="00050AEB" w:rsidR="00253F5D">
        <w:t xml:space="preserve"> </w:t>
      </w:r>
      <w:r w:rsidR="002C2466">
        <w:t>s</w:t>
      </w:r>
      <w:r w:rsidRPr="00050AEB" w:rsidR="002C2466">
        <w:t xml:space="preserve">ystem while </w:t>
      </w:r>
      <w:r w:rsidR="00C72CBF">
        <w:t xml:space="preserve">still </w:t>
      </w:r>
      <w:r w:rsidRPr="00050AEB" w:rsidR="002C2466">
        <w:t xml:space="preserve">allowing </w:t>
      </w:r>
      <w:r w:rsidR="00C72CBF">
        <w:t xml:space="preserve">for </w:t>
      </w:r>
      <w:r w:rsidR="002C2466">
        <w:t>deployment in maritime applications</w:t>
      </w:r>
      <w:r w:rsidR="00C72CBF">
        <w:t xml:space="preserve">, and we therefore </w:t>
      </w:r>
      <w:r w:rsidR="00FB1BC5">
        <w:t xml:space="preserve">incorporate </w:t>
      </w:r>
      <w:r w:rsidR="00C72CBF">
        <w:t>them in</w:t>
      </w:r>
      <w:r w:rsidR="00FB1BC5">
        <w:t>to</w:t>
      </w:r>
      <w:r w:rsidR="00C72CBF">
        <w:t xml:space="preserve"> </w:t>
      </w:r>
      <w:r w:rsidR="00FB1BC5">
        <w:t>this Order</w:t>
      </w:r>
      <w:r w:rsidR="00C72CBF">
        <w:t>.</w:t>
      </w:r>
      <w:r w:rsidR="002C2466">
        <w:t xml:space="preserve">  Specifically, we will permit communications only between vessels or between vessels and shore</w:t>
      </w:r>
      <w:r w:rsidR="00562A22">
        <w:t>.</w:t>
      </w:r>
      <w:r>
        <w:rPr>
          <w:rStyle w:val="FootnoteReference"/>
        </w:rPr>
        <w:footnoteReference w:id="28"/>
      </w:r>
      <w:r w:rsidR="00562A22">
        <w:t xml:space="preserve">  We will</w:t>
      </w:r>
      <w:r w:rsidR="002C2466">
        <w:t xml:space="preserve"> </w:t>
      </w:r>
      <w:r w:rsidR="00562A22">
        <w:t>permit the system to be</w:t>
      </w:r>
      <w:r w:rsidRPr="00562A22" w:rsidR="00562A22">
        <w:t xml:space="preserve"> used in connection with operational aspects of cruise ships</w:t>
      </w:r>
      <w:r w:rsidR="00562A22">
        <w:t xml:space="preserve">, but </w:t>
      </w:r>
      <w:r w:rsidR="002C2466">
        <w:t xml:space="preserve">will prohibit </w:t>
      </w:r>
      <w:r w:rsidR="002C2466">
        <w:t>cruise ship passenger communications.</w:t>
      </w:r>
      <w:r>
        <w:rPr>
          <w:rStyle w:val="FootnoteReference"/>
        </w:rPr>
        <w:footnoteReference w:id="29"/>
      </w:r>
      <w:r w:rsidR="002C2466">
        <w:t xml:space="preserve">  We will require devices to </w:t>
      </w:r>
      <w:r w:rsidR="006D1830">
        <w:t>comply with the emission mask shown by Kongsberg</w:t>
      </w:r>
      <w:r w:rsidR="00E90C50">
        <w:t xml:space="preserve"> and</w:t>
      </w:r>
      <w:r w:rsidR="006D1830">
        <w:t xml:space="preserve"> </w:t>
      </w:r>
      <w:r w:rsidR="000D3B08">
        <w:t xml:space="preserve">to </w:t>
      </w:r>
      <w:r w:rsidR="002C2466">
        <w:t xml:space="preserve">incorporate </w:t>
      </w:r>
      <w:r w:rsidRPr="00050AEB" w:rsidR="00FB1BC5">
        <w:t xml:space="preserve">always-on adaptive </w:t>
      </w:r>
      <w:r w:rsidR="00FB1BC5">
        <w:t xml:space="preserve">transmit </w:t>
      </w:r>
      <w:r w:rsidRPr="00050AEB" w:rsidR="00FB1BC5">
        <w:t>power control</w:t>
      </w:r>
      <w:r w:rsidR="00FB1BC5">
        <w:t xml:space="preserve"> </w:t>
      </w:r>
      <w:r w:rsidR="002C2466">
        <w:t>and integral, non-replaceable antennas.</w:t>
      </w:r>
      <w:r>
        <w:rPr>
          <w:rStyle w:val="FootnoteReference"/>
        </w:rPr>
        <w:footnoteReference w:id="30"/>
      </w:r>
      <w:r w:rsidR="002C2466">
        <w:t xml:space="preserve"> </w:t>
      </w:r>
      <w:r w:rsidR="0013617B">
        <w:t xml:space="preserve"> </w:t>
      </w:r>
      <w:r w:rsidR="00E90C50">
        <w:t xml:space="preserve">To protect Federal Government radar operations, we will prohibit </w:t>
      </w:r>
      <w:r w:rsidR="009E6BB7">
        <w:t xml:space="preserve">device operation </w:t>
      </w:r>
      <w:r w:rsidR="00117510">
        <w:t xml:space="preserve">on </w:t>
      </w:r>
      <w:r w:rsidR="006072F2">
        <w:t>specific</w:t>
      </w:r>
      <w:r w:rsidR="00117510">
        <w:t xml:space="preserve"> channels </w:t>
      </w:r>
      <w:r w:rsidR="009E6BB7">
        <w:t xml:space="preserve">within </w:t>
      </w:r>
      <w:r w:rsidR="006072F2">
        <w:t xml:space="preserve">defined </w:t>
      </w:r>
      <w:r w:rsidR="009E6BB7">
        <w:t xml:space="preserve">exclusion zones at </w:t>
      </w:r>
      <w:r w:rsidR="00E90C50">
        <w:t>four locations (</w:t>
      </w:r>
      <w:r w:rsidR="009E6BB7">
        <w:t>Patrick Air Force Base, Florida</w:t>
      </w:r>
      <w:r w:rsidR="00E90C50">
        <w:t>;</w:t>
      </w:r>
      <w:r w:rsidR="009E6BB7">
        <w:t xml:space="preserve"> Vandenberg Air Force Base, California</w:t>
      </w:r>
      <w:r w:rsidR="00E90C50">
        <w:t>; Wallops Island, Virginia; Coquina, North Carolina)</w:t>
      </w:r>
      <w:r w:rsidR="009E6BB7">
        <w:t xml:space="preserve"> as described in Kongsberg</w:t>
      </w:r>
      <w:r w:rsidR="0013617B">
        <w:t>’s</w:t>
      </w:r>
      <w:r w:rsidR="009E6BB7">
        <w:t xml:space="preserve"> June 6, 2022 filing</w:t>
      </w:r>
      <w:r w:rsidR="00E901F4">
        <w:t>.</w:t>
      </w:r>
      <w:r>
        <w:rPr>
          <w:rStyle w:val="FootnoteReference"/>
        </w:rPr>
        <w:footnoteReference w:id="31"/>
      </w:r>
      <w:r w:rsidR="00E901F4">
        <w:t xml:space="preserve">  </w:t>
      </w:r>
      <w:r w:rsidR="00024705">
        <w:t xml:space="preserve">Because </w:t>
      </w:r>
      <w:r>
        <w:t>portions</w:t>
      </w:r>
      <w:r w:rsidR="00024705">
        <w:t xml:space="preserve"> of </w:t>
      </w:r>
      <w:r w:rsidR="00050B72">
        <w:t xml:space="preserve">all </w:t>
      </w:r>
      <w:r w:rsidR="0013617B">
        <w:t xml:space="preserve">of these </w:t>
      </w:r>
      <w:r w:rsidR="00024705">
        <w:t xml:space="preserve">exclusion zones </w:t>
      </w:r>
      <w:r w:rsidR="00221CE6">
        <w:t>fall</w:t>
      </w:r>
      <w:r w:rsidR="00024705">
        <w:t xml:space="preserve"> over land, we will require </w:t>
      </w:r>
      <w:r w:rsidR="00221CE6">
        <w:t xml:space="preserve">devices </w:t>
      </w:r>
      <w:r w:rsidRPr="00221CE6" w:rsidR="00221CE6">
        <w:t xml:space="preserve">located on land </w:t>
      </w:r>
      <w:r w:rsidR="00221CE6">
        <w:t>to be</w:t>
      </w:r>
      <w:r w:rsidRPr="00221CE6" w:rsidR="00221CE6">
        <w:t xml:space="preserve"> subject to the same channel and zone restrictions as shipboard devices.</w:t>
      </w:r>
    </w:p>
    <w:p w:rsidR="002C2466" w:rsidRPr="00050AEB" w:rsidP="00FB1BC5" w14:paraId="11A5BDD3" w14:textId="77F40DD2">
      <w:pPr>
        <w:pStyle w:val="ParaNum"/>
      </w:pPr>
      <w:r>
        <w:t>Furthermore, and consistent with Kongsberg’s suggested conditions, w</w:t>
      </w:r>
      <w:r>
        <w:t>e will prohibit marketing directly to consumers and</w:t>
      </w:r>
      <w:r w:rsidR="00A00F39">
        <w:t xml:space="preserve">, to provide stakeholders in the band with </w:t>
      </w:r>
      <w:r w:rsidR="00B7399C">
        <w:t>more certainty</w:t>
      </w:r>
      <w:r w:rsidR="00A00F39">
        <w:t xml:space="preserve"> in how </w:t>
      </w:r>
      <w:r w:rsidR="00B7399C">
        <w:t>many</w:t>
      </w:r>
      <w:r w:rsidR="00A00F39">
        <w:t xml:space="preserve"> Kongsberg devices </w:t>
      </w:r>
      <w:r w:rsidR="00B7399C">
        <w:t>could</w:t>
      </w:r>
      <w:r w:rsidR="00A00F39">
        <w:t xml:space="preserve"> be </w:t>
      </w:r>
      <w:r w:rsidR="001D15EE">
        <w:t xml:space="preserve">used </w:t>
      </w:r>
      <w:r w:rsidR="0029769F">
        <w:t>under the authority of the FCC during</w:t>
      </w:r>
      <w:r w:rsidR="00246EED">
        <w:t xml:space="preserve"> </w:t>
      </w:r>
      <w:r w:rsidR="00B7399C">
        <w:t>the initial deployment</w:t>
      </w:r>
      <w:r w:rsidR="00A00F39">
        <w:t>, we will</w:t>
      </w:r>
      <w:r>
        <w:t xml:space="preserve"> limit </w:t>
      </w:r>
      <w:r w:rsidR="00756B54">
        <w:t xml:space="preserve">annual </w:t>
      </w:r>
      <w:r>
        <w:t xml:space="preserve">U.S. sales </w:t>
      </w:r>
      <w:r w:rsidR="001D15EE">
        <w:t>t</w:t>
      </w:r>
      <w:r>
        <w:t xml:space="preserve">o 200 units for </w:t>
      </w:r>
      <w:r w:rsidR="00A00F39">
        <w:t xml:space="preserve">the first </w:t>
      </w:r>
      <w:r>
        <w:t>five years</w:t>
      </w:r>
      <w:r w:rsidR="00A00F39">
        <w:t xml:space="preserve"> after the date of this Order</w:t>
      </w:r>
      <w:r>
        <w:t>.</w:t>
      </w:r>
      <w:r>
        <w:rPr>
          <w:rStyle w:val="FootnoteReference"/>
        </w:rPr>
        <w:footnoteReference w:id="32"/>
      </w:r>
      <w:r>
        <w:t xml:space="preserve">  </w:t>
      </w:r>
      <w:bookmarkStart w:id="15" w:name="_Hlk71272372"/>
      <w:r w:rsidR="00B53469">
        <w:t>Th</w:t>
      </w:r>
      <w:r w:rsidR="00CB6627">
        <w:t>is</w:t>
      </w:r>
      <w:r w:rsidR="00B53469">
        <w:t xml:space="preserve"> 200</w:t>
      </w:r>
      <w:r w:rsidR="0029769F">
        <w:t>-</w:t>
      </w:r>
      <w:r w:rsidR="00B53469">
        <w:t xml:space="preserve">unit annual limit </w:t>
      </w:r>
      <w:r w:rsidR="00136857">
        <w:t>applies to</w:t>
      </w:r>
      <w:r w:rsidR="00CB6627">
        <w:t xml:space="preserve"> </w:t>
      </w:r>
      <w:r w:rsidR="00B53469">
        <w:t xml:space="preserve">the combined number of shipborne and </w:t>
      </w:r>
      <w:r w:rsidR="00136857">
        <w:t>coastal</w:t>
      </w:r>
      <w:r w:rsidR="00B53469">
        <w:t xml:space="preserve"> units </w:t>
      </w:r>
      <w:r w:rsidR="00276BD0">
        <w:t xml:space="preserve">sold, </w:t>
      </w:r>
      <w:r w:rsidR="00F041B6">
        <w:t xml:space="preserve">but does not apply to </w:t>
      </w:r>
      <w:r w:rsidR="0080420E">
        <w:t xml:space="preserve">any </w:t>
      </w:r>
      <w:r w:rsidR="00F041B6">
        <w:t>units sold</w:t>
      </w:r>
      <w:r w:rsidR="00B53469">
        <w:t xml:space="preserve"> to</w:t>
      </w:r>
      <w:r w:rsidR="00F041B6">
        <w:t xml:space="preserve"> </w:t>
      </w:r>
      <w:r w:rsidR="001D15EE">
        <w:t xml:space="preserve">Federal </w:t>
      </w:r>
      <w:r w:rsidR="0080420E">
        <w:t>G</w:t>
      </w:r>
      <w:r w:rsidR="00B53469">
        <w:t>overnment entities</w:t>
      </w:r>
      <w:bookmarkEnd w:id="15"/>
      <w:r w:rsidR="00F041B6">
        <w:t xml:space="preserve"> for use under NTIA</w:t>
      </w:r>
      <w:r w:rsidR="0043358E">
        <w:t>’s authority</w:t>
      </w:r>
      <w:r w:rsidR="00B53469">
        <w:t>.</w:t>
      </w:r>
      <w:r>
        <w:rPr>
          <w:rStyle w:val="FootnoteReference"/>
        </w:rPr>
        <w:footnoteReference w:id="33"/>
      </w:r>
      <w:r w:rsidR="00B53469">
        <w:t xml:space="preserve">  </w:t>
      </w:r>
      <w:r w:rsidR="00C72CBF">
        <w:t>Additionally</w:t>
      </w:r>
      <w:r>
        <w:t xml:space="preserve">, </w:t>
      </w:r>
      <w:r w:rsidR="000A584E">
        <w:t>to be consistent with</w:t>
      </w:r>
      <w:r w:rsidRPr="00FB1BC5" w:rsidR="000A584E">
        <w:rPr>
          <w:szCs w:val="22"/>
        </w:rPr>
        <w:t xml:space="preserve"> Section 15.407(a)(3)</w:t>
      </w:r>
      <w:r w:rsidR="000A584E">
        <w:t xml:space="preserve"> </w:t>
      </w:r>
      <w:r>
        <w:t xml:space="preserve">we are requiring that </w:t>
      </w:r>
      <w:r w:rsidR="00F12982">
        <w:t>no simultaneous point-to-multipoint operations be permitted</w:t>
      </w:r>
      <w:r w:rsidR="000A584E">
        <w:t>.</w:t>
      </w:r>
      <w:r>
        <w:rPr>
          <w:rStyle w:val="FootnoteReference"/>
        </w:rPr>
        <w:footnoteReference w:id="34"/>
      </w:r>
      <w:r w:rsidR="000A584E">
        <w:t xml:space="preserve">  We will also require</w:t>
      </w:r>
      <w:r w:rsidR="00F12982">
        <w:t xml:space="preserve"> that </w:t>
      </w:r>
      <w:r w:rsidR="009413CD">
        <w:t>Kongsberg</w:t>
      </w:r>
      <w:r>
        <w:t xml:space="preserve"> obtain certification of </w:t>
      </w:r>
      <w:r w:rsidR="001C77E2">
        <w:t xml:space="preserve">its </w:t>
      </w:r>
      <w:r>
        <w:t>equipment from a designated Telecommunication Certification Body prior to marketing and operation</w:t>
      </w:r>
      <w:r w:rsidR="00BA75B5">
        <w:t xml:space="preserve"> and that it provide information in the user manual on the </w:t>
      </w:r>
      <w:r w:rsidR="00EF3FB9">
        <w:t xml:space="preserve">potential for interference to </w:t>
      </w:r>
      <w:r w:rsidR="00E87651">
        <w:t xml:space="preserve">Federal Government </w:t>
      </w:r>
      <w:r w:rsidR="001C77E2">
        <w:t xml:space="preserve">radar </w:t>
      </w:r>
      <w:r w:rsidR="00E87651">
        <w:t xml:space="preserve">operations at </w:t>
      </w:r>
      <w:r w:rsidR="00EF3FB9">
        <w:t>Patrick Air Force Base</w:t>
      </w:r>
      <w:r w:rsidR="001C77E2">
        <w:t>, Vandenberg Air Force Base</w:t>
      </w:r>
      <w:r w:rsidR="00A36A24">
        <w:t xml:space="preserve">, </w:t>
      </w:r>
      <w:r w:rsidR="001C23F7">
        <w:t xml:space="preserve">and </w:t>
      </w:r>
      <w:r w:rsidR="00A36A24">
        <w:t>NASA</w:t>
      </w:r>
      <w:r w:rsidR="001C23F7">
        <w:t>’s</w:t>
      </w:r>
      <w:r w:rsidR="00A36A24">
        <w:t xml:space="preserve"> W</w:t>
      </w:r>
      <w:r w:rsidR="001330AD">
        <w:t>allops</w:t>
      </w:r>
      <w:r w:rsidR="001C23F7">
        <w:t xml:space="preserve"> Island and Coquina facilities</w:t>
      </w:r>
      <w:r w:rsidR="00A36A24">
        <w:t xml:space="preserve">, </w:t>
      </w:r>
      <w:r w:rsidR="00EF3FB9">
        <w:t xml:space="preserve">and the </w:t>
      </w:r>
      <w:r w:rsidR="00BA75B5">
        <w:t xml:space="preserve">measures </w:t>
      </w:r>
      <w:r w:rsidR="00E87651">
        <w:t>incorporated in the equipment</w:t>
      </w:r>
      <w:r w:rsidR="00BA75B5">
        <w:t xml:space="preserve"> to prevent</w:t>
      </w:r>
      <w:r w:rsidR="00EF3FB9">
        <w:t xml:space="preserve"> such interference</w:t>
      </w:r>
      <w:r>
        <w:t>.</w:t>
      </w:r>
    </w:p>
    <w:p w:rsidR="00050AEB" w:rsidRPr="00050AEB" w:rsidP="002C2466" w14:paraId="7024F54D" w14:textId="68C3286C">
      <w:pPr>
        <w:pStyle w:val="ParaNum"/>
      </w:pPr>
      <w:r w:rsidRPr="00050AEB">
        <w:t>Accordingly, pursuant to the delegated authority in Sections 0.31 and 0.241 of the Commission’s rules,</w:t>
      </w:r>
      <w:r w:rsidR="0017352D">
        <w:t xml:space="preserve"> 47 C.F.R. </w:t>
      </w:r>
      <w:r w:rsidRPr="0017352D" w:rsidR="0017352D">
        <w:t>§§</w:t>
      </w:r>
      <w:r w:rsidR="0017352D">
        <w:t xml:space="preserve"> </w:t>
      </w:r>
      <w:r w:rsidRPr="00050AEB" w:rsidR="0017352D">
        <w:t>0.31 and 0.241</w:t>
      </w:r>
      <w:r w:rsidR="0017352D">
        <w:t>,</w:t>
      </w:r>
      <w:r w:rsidRPr="00050AEB">
        <w:t xml:space="preserve"> we waive the requirements of Section 15.</w:t>
      </w:r>
      <w:r>
        <w:t>407(</w:t>
      </w:r>
      <w:r w:rsidR="00D65B7E">
        <w:t>a</w:t>
      </w:r>
      <w:r>
        <w:t>)</w:t>
      </w:r>
      <w:r w:rsidR="00D65B7E">
        <w:t>(3)</w:t>
      </w:r>
      <w:r w:rsidRPr="00050AEB">
        <w:t xml:space="preserve"> to permit the certification and marketing of the </w:t>
      </w:r>
      <w:r w:rsidR="009413CD">
        <w:t>Kongsberg</w:t>
      </w:r>
      <w:r>
        <w:t xml:space="preserve"> </w:t>
      </w:r>
      <w:r w:rsidR="00837D46">
        <w:t xml:space="preserve">non-fixed </w:t>
      </w:r>
      <w:r>
        <w:t>communication s</w:t>
      </w:r>
      <w:r w:rsidRPr="00050AEB">
        <w:t>ystem</w:t>
      </w:r>
      <w:r w:rsidRPr="009D4223" w:rsidR="009D4223">
        <w:rPr>
          <w:szCs w:val="22"/>
        </w:rPr>
        <w:t xml:space="preserve"> </w:t>
      </w:r>
      <w:r w:rsidR="009D4223">
        <w:rPr>
          <w:szCs w:val="22"/>
        </w:rPr>
        <w:t xml:space="preserve">with a one-watt maximum conducted power and an antenna gain that exceeds 6 </w:t>
      </w:r>
      <w:r w:rsidR="009D4223">
        <w:rPr>
          <w:szCs w:val="22"/>
        </w:rPr>
        <w:t>dBi</w:t>
      </w:r>
      <w:r w:rsidR="00EF7A23">
        <w:rPr>
          <w:szCs w:val="22"/>
        </w:rPr>
        <w:t xml:space="preserve"> with a maximum antenna gain of 24 </w:t>
      </w:r>
      <w:r w:rsidR="00EF7A23">
        <w:rPr>
          <w:szCs w:val="22"/>
        </w:rPr>
        <w:t>dBi</w:t>
      </w:r>
      <w:r w:rsidRPr="00050AEB">
        <w:t>.  This waiver is subject to the following conditions:</w:t>
      </w:r>
    </w:p>
    <w:p w:rsidR="00050AEB" w:rsidP="00EA76D9" w14:paraId="7462D4DF" w14:textId="15CD92F9">
      <w:pPr>
        <w:numPr>
          <w:ilvl w:val="0"/>
          <w:numId w:val="8"/>
        </w:numPr>
        <w:spacing w:after="120"/>
      </w:pPr>
      <w:r w:rsidRPr="00050AEB">
        <w:t xml:space="preserve">The </w:t>
      </w:r>
      <w:bookmarkStart w:id="16" w:name="_Hlk34839642"/>
      <w:r w:rsidR="009413CD">
        <w:t>Kongsberg</w:t>
      </w:r>
      <w:r w:rsidRPr="00050AEB">
        <w:t xml:space="preserve"> </w:t>
      </w:r>
      <w:bookmarkEnd w:id="16"/>
      <w:r w:rsidR="00EA76D9">
        <w:t>s</w:t>
      </w:r>
      <w:r w:rsidRPr="00050AEB">
        <w:t>ystem shall be certified by an authorized Telecommunications Certification Body.</w:t>
      </w:r>
    </w:p>
    <w:p w:rsidR="00050AEB" w:rsidP="00050AEB" w14:paraId="59F44419" w14:textId="5A983EBE">
      <w:pPr>
        <w:numPr>
          <w:ilvl w:val="0"/>
          <w:numId w:val="8"/>
        </w:numPr>
        <w:spacing w:after="120"/>
      </w:pPr>
      <w:r>
        <w:t xml:space="preserve">The </w:t>
      </w:r>
      <w:r w:rsidR="009413CD">
        <w:t>Kongsberg</w:t>
      </w:r>
      <w:r w:rsidRPr="00050AEB">
        <w:t xml:space="preserve"> </w:t>
      </w:r>
      <w:r>
        <w:t>system shall be used for m</w:t>
      </w:r>
      <w:r w:rsidRPr="00050AEB">
        <w:t>aritime operation only: between vessels, and between vessels and land</w:t>
      </w:r>
      <w:r>
        <w:t>. N</w:t>
      </w:r>
      <w:r w:rsidRPr="00050AEB">
        <w:t xml:space="preserve">o land-to-land applications </w:t>
      </w:r>
      <w:r>
        <w:t xml:space="preserve">are permitted </w:t>
      </w:r>
      <w:r w:rsidRPr="00050AEB">
        <w:t>under th</w:t>
      </w:r>
      <w:r w:rsidR="009D4223">
        <w:t>is</w:t>
      </w:r>
      <w:r w:rsidRPr="00050AEB">
        <w:t xml:space="preserve"> waiver.</w:t>
      </w:r>
    </w:p>
    <w:p w:rsidR="009044FE" w:rsidP="00050AEB" w14:paraId="1DABE680" w14:textId="24D5C861">
      <w:pPr>
        <w:numPr>
          <w:ilvl w:val="0"/>
          <w:numId w:val="8"/>
        </w:numPr>
        <w:spacing w:after="120"/>
      </w:pPr>
      <w:r>
        <w:t>The Kongsberg system shall not be used for</w:t>
      </w:r>
      <w:r w:rsidRPr="00D708C9">
        <w:t xml:space="preserve"> simultaneous point-to-multipoint </w:t>
      </w:r>
      <w:r>
        <w:t>operations.</w:t>
      </w:r>
    </w:p>
    <w:p w:rsidR="00B965AB" w:rsidP="00050AEB" w14:paraId="395AE405" w14:textId="53EC3D65">
      <w:pPr>
        <w:numPr>
          <w:ilvl w:val="0"/>
          <w:numId w:val="8"/>
        </w:numPr>
        <w:spacing w:after="120"/>
      </w:pPr>
      <w:r>
        <w:t xml:space="preserve">The Kongsberg system shall </w:t>
      </w:r>
      <w:r w:rsidR="009D4223">
        <w:t>incorporate a</w:t>
      </w:r>
      <w:r>
        <w:t xml:space="preserve"> geo-</w:t>
      </w:r>
      <w:r w:rsidR="00D91C11">
        <w:t xml:space="preserve">fencing </w:t>
      </w:r>
      <w:r>
        <w:t xml:space="preserve">mechanism </w:t>
      </w:r>
      <w:r w:rsidR="00D91C11">
        <w:t xml:space="preserve">as described in its September 29, 2020 and January 15, 2021 filings in </w:t>
      </w:r>
      <w:r w:rsidR="00D91C11">
        <w:rPr>
          <w:spacing w:val="-2"/>
        </w:rPr>
        <w:t xml:space="preserve">ET Docket No. 19-240 </w:t>
      </w:r>
      <w:r>
        <w:t xml:space="preserve">and avoid </w:t>
      </w:r>
      <w:r w:rsidR="00762EEF">
        <w:t xml:space="preserve">operating within </w:t>
      </w:r>
      <w:r w:rsidR="00027D59">
        <w:t xml:space="preserve">the </w:t>
      </w:r>
      <w:r>
        <w:t>exclusion zones around</w:t>
      </w:r>
      <w:r w:rsidR="00B05ED4">
        <w:t xml:space="preserve"> </w:t>
      </w:r>
      <w:r w:rsidR="000D5E87">
        <w:rPr>
          <w:spacing w:val="-2"/>
        </w:rPr>
        <w:t xml:space="preserve">the </w:t>
      </w:r>
      <w:r w:rsidR="007E4535">
        <w:rPr>
          <w:spacing w:val="-2"/>
        </w:rPr>
        <w:t xml:space="preserve">Federal </w:t>
      </w:r>
      <w:r w:rsidR="00027D59">
        <w:rPr>
          <w:spacing w:val="-2"/>
        </w:rPr>
        <w:t xml:space="preserve">Government </w:t>
      </w:r>
      <w:r w:rsidR="007E4535">
        <w:rPr>
          <w:spacing w:val="-2"/>
        </w:rPr>
        <w:t>radar installations</w:t>
      </w:r>
      <w:r w:rsidR="000D5E87">
        <w:rPr>
          <w:spacing w:val="-2"/>
        </w:rPr>
        <w:t xml:space="preserve"> listed below</w:t>
      </w:r>
      <w:r w:rsidR="00FB1BC5">
        <w:rPr>
          <w:spacing w:val="-2"/>
        </w:rPr>
        <w:t>.</w:t>
      </w:r>
    </w:p>
    <w:p w:rsidR="00B965AB" w:rsidP="00B965AB" w14:paraId="53A3618B" w14:textId="60558302">
      <w:pPr>
        <w:numPr>
          <w:ilvl w:val="1"/>
          <w:numId w:val="8"/>
        </w:numPr>
        <w:spacing w:after="120"/>
      </w:pPr>
      <w:r>
        <w:t xml:space="preserve">The device shall use the following </w:t>
      </w:r>
      <w:r w:rsidRPr="00B965AB">
        <w:t>channelization</w:t>
      </w:r>
      <w:r>
        <w:t>:</w:t>
      </w:r>
    </w:p>
    <w:p w:rsidR="00F403DC" w:rsidP="00F403DC" w14:paraId="55D886F5" w14:textId="77777777">
      <w:pPr>
        <w:ind w:left="1440"/>
      </w:pPr>
      <w:r>
        <w:t>Channel I: 5725-5745 MHz</w:t>
      </w:r>
    </w:p>
    <w:p w:rsidR="00F403DC" w:rsidP="00F403DC" w14:paraId="6EBE4FB3" w14:textId="77777777">
      <w:pPr>
        <w:ind w:left="1440"/>
      </w:pPr>
      <w:r>
        <w:t>Channel II: 5760-5780 MHz</w:t>
      </w:r>
    </w:p>
    <w:p w:rsidR="00F403DC" w:rsidP="00F403DC" w14:paraId="1604790C" w14:textId="77777777">
      <w:pPr>
        <w:ind w:left="1440"/>
      </w:pPr>
      <w:r>
        <w:t>Channel III: 5795-5815 MHz</w:t>
      </w:r>
    </w:p>
    <w:p w:rsidR="00B965AB" w:rsidP="00F403DC" w14:paraId="4B8FCE93" w14:textId="28FC3D96">
      <w:pPr>
        <w:ind w:left="1440"/>
      </w:pPr>
      <w:r>
        <w:t>Channel IV: 5830-5850 MHz</w:t>
      </w:r>
    </w:p>
    <w:p w:rsidR="00F403DC" w:rsidP="00F403DC" w14:paraId="5D9238F4" w14:textId="77777777">
      <w:pPr>
        <w:ind w:left="1440"/>
      </w:pPr>
    </w:p>
    <w:p w:rsidR="00C02778" w:rsidP="00B965AB" w14:paraId="45C0E445" w14:textId="5AE08095">
      <w:pPr>
        <w:numPr>
          <w:ilvl w:val="1"/>
          <w:numId w:val="8"/>
        </w:numPr>
        <w:spacing w:after="120"/>
      </w:pPr>
      <w:r>
        <w:t xml:space="preserve">A shipboard </w:t>
      </w:r>
      <w:r w:rsidR="00B965AB">
        <w:t xml:space="preserve">device </w:t>
      </w:r>
      <w:r w:rsidR="002A6CE6">
        <w:t>shall</w:t>
      </w:r>
      <w:r>
        <w:t xml:space="preserve"> </w:t>
      </w:r>
      <w:r w:rsidR="00F403DC">
        <w:t xml:space="preserve">monitor its location while in operation and </w:t>
      </w:r>
      <w:r w:rsidR="00FC419D">
        <w:t>may not operate on the following channels</w:t>
      </w:r>
      <w:r>
        <w:t xml:space="preserve"> </w:t>
      </w:r>
      <w:r w:rsidR="00FC419D">
        <w:t xml:space="preserve">within </w:t>
      </w:r>
      <w:r>
        <w:t>the following zones</w:t>
      </w:r>
      <w:r>
        <w:t xml:space="preserve">.  </w:t>
      </w:r>
      <w:r w:rsidR="00FC419D">
        <w:t>D</w:t>
      </w:r>
      <w:r>
        <w:t xml:space="preserve">evices </w:t>
      </w:r>
      <w:bookmarkStart w:id="17" w:name="_Hlk104992429"/>
      <w:r>
        <w:t>located on</w:t>
      </w:r>
      <w:r w:rsidR="00D80E02">
        <w:t xml:space="preserve"> land</w:t>
      </w:r>
      <w:r>
        <w:t xml:space="preserve"> </w:t>
      </w:r>
      <w:r w:rsidR="00FC419D">
        <w:t xml:space="preserve">are subject to the same </w:t>
      </w:r>
      <w:r w:rsidR="00CC05D3">
        <w:t xml:space="preserve">channel and zone </w:t>
      </w:r>
      <w:r w:rsidR="00FC419D">
        <w:t>restrictions</w:t>
      </w:r>
      <w:r w:rsidR="00CC05D3">
        <w:t xml:space="preserve"> as shipboard devices</w:t>
      </w:r>
      <w:r>
        <w:t>.</w:t>
      </w:r>
    </w:p>
    <w:bookmarkEnd w:id="17"/>
    <w:p w:rsidR="00C02778" w:rsidP="00B965AB" w14:paraId="65C77CF7" w14:textId="18D0F704">
      <w:pPr>
        <w:ind w:left="720" w:firstLine="720"/>
        <w:rPr>
          <w:u w:val="single"/>
        </w:rPr>
      </w:pPr>
      <w:r>
        <w:rPr>
          <w:u w:val="single"/>
        </w:rPr>
        <w:t>Operation prohibited</w:t>
      </w:r>
      <w:r w:rsidRPr="00B965AB">
        <w:rPr>
          <w:u w:val="single"/>
        </w:rPr>
        <w:t xml:space="preserve"> </w:t>
      </w:r>
      <w:r w:rsidRPr="00B965AB" w:rsidR="00B965AB">
        <w:rPr>
          <w:u w:val="single"/>
        </w:rPr>
        <w:t xml:space="preserve">on </w:t>
      </w:r>
      <w:r w:rsidR="00F403DC">
        <w:rPr>
          <w:u w:val="single"/>
        </w:rPr>
        <w:t>C</w:t>
      </w:r>
      <w:r w:rsidRPr="00B965AB" w:rsidR="00B965AB">
        <w:rPr>
          <w:u w:val="single"/>
        </w:rPr>
        <w:t xml:space="preserve">hannels I, II </w:t>
      </w:r>
      <w:r w:rsidR="00CC05D3">
        <w:rPr>
          <w:u w:val="single"/>
        </w:rPr>
        <w:t>and</w:t>
      </w:r>
      <w:r w:rsidRPr="00B965AB" w:rsidR="00CC05D3">
        <w:rPr>
          <w:u w:val="single"/>
        </w:rPr>
        <w:t xml:space="preserve"> </w:t>
      </w:r>
      <w:r w:rsidRPr="00B965AB" w:rsidR="00B965AB">
        <w:rPr>
          <w:u w:val="single"/>
        </w:rPr>
        <w:t>III</w:t>
      </w:r>
      <w:r w:rsidR="00CF0E45">
        <w:rPr>
          <w:u w:val="single"/>
        </w:rPr>
        <w:t xml:space="preserve"> </w:t>
      </w:r>
      <w:bookmarkStart w:id="18" w:name="_Hlk104281067"/>
      <w:r w:rsidR="00CF0E45">
        <w:rPr>
          <w:u w:val="single"/>
        </w:rPr>
        <w:t xml:space="preserve">(Patrick </w:t>
      </w:r>
      <w:r w:rsidR="00AC1574">
        <w:rPr>
          <w:u w:val="single"/>
        </w:rPr>
        <w:t>Air Force Base</w:t>
      </w:r>
      <w:r w:rsidR="00CF0E45">
        <w:rPr>
          <w:u w:val="single"/>
        </w:rPr>
        <w:t>, Florida)</w:t>
      </w:r>
    </w:p>
    <w:bookmarkEnd w:id="18"/>
    <w:p w:rsidR="002A6CE6" w:rsidP="002A6CE6" w14:paraId="2B9004A7" w14:textId="77777777">
      <w:pPr>
        <w:ind w:left="720" w:firstLine="720"/>
      </w:pPr>
      <w:r>
        <w:t>SE corner: 27 47'14"N 80 03'32"W</w:t>
      </w:r>
    </w:p>
    <w:p w:rsidR="002A6CE6" w:rsidP="002A6CE6" w14:paraId="4F0F3556" w14:textId="77777777">
      <w:pPr>
        <w:ind w:left="720" w:firstLine="720"/>
      </w:pPr>
      <w:r>
        <w:t>NE corner: 28 48'23"N 80 03'32"W</w:t>
      </w:r>
    </w:p>
    <w:p w:rsidR="002A6CE6" w:rsidP="002A6CE6" w14:paraId="157E06B3" w14:textId="77777777">
      <w:pPr>
        <w:ind w:left="720" w:firstLine="720"/>
      </w:pPr>
      <w:r>
        <w:t>NW corner: 28 48'23"N 80 54'15"W</w:t>
      </w:r>
    </w:p>
    <w:p w:rsidR="00B965AB" w:rsidP="002A6CE6" w14:paraId="27BC1FDF" w14:textId="74808E1D">
      <w:pPr>
        <w:ind w:left="720" w:firstLine="720"/>
      </w:pPr>
      <w:r>
        <w:t>SW corner: 27 47'14"N 80 39'00"W</w:t>
      </w:r>
    </w:p>
    <w:p w:rsidR="00BD406E" w:rsidP="002A6CE6" w14:paraId="02D8DDBC" w14:textId="2A4AB3E4">
      <w:pPr>
        <w:ind w:left="720" w:firstLine="720"/>
      </w:pPr>
    </w:p>
    <w:p w:rsidR="00E713C0" w:rsidRPr="00B965AB" w:rsidP="00E713C0" w14:paraId="40CD8DDA" w14:textId="3D55E941">
      <w:pPr>
        <w:ind w:left="720" w:firstLine="720"/>
        <w:rPr>
          <w:u w:val="single"/>
        </w:rPr>
      </w:pPr>
      <w:r>
        <w:rPr>
          <w:u w:val="single"/>
        </w:rPr>
        <w:t xml:space="preserve">Operation prohibited on all channels </w:t>
      </w:r>
      <w:r w:rsidRPr="00CF0E45">
        <w:rPr>
          <w:u w:val="single"/>
        </w:rPr>
        <w:t>(</w:t>
      </w:r>
      <w:r w:rsidRPr="004D6DD4" w:rsidR="004D6DD4">
        <w:rPr>
          <w:u w:val="single"/>
        </w:rPr>
        <w:t>Patrick Air Force Base, Florida</w:t>
      </w:r>
      <w:r w:rsidRPr="00CF0E45">
        <w:rPr>
          <w:u w:val="single"/>
        </w:rPr>
        <w:t>)</w:t>
      </w:r>
    </w:p>
    <w:p w:rsidR="00E713C0" w:rsidP="00E713C0" w14:paraId="28C7B113" w14:textId="77777777">
      <w:pPr>
        <w:ind w:left="1440"/>
      </w:pPr>
      <w:r>
        <w:t>SE corner: 28 09'37"N 80 32'25"W</w:t>
      </w:r>
    </w:p>
    <w:p w:rsidR="00E713C0" w:rsidP="00E713C0" w14:paraId="0FE0E751" w14:textId="1A463390">
      <w:pPr>
        <w:ind w:left="1440"/>
      </w:pPr>
      <w:r>
        <w:t>NE corner: 28 39'50"N 80 28'12"W</w:t>
      </w:r>
    </w:p>
    <w:p w:rsidR="00E713C0" w:rsidP="00E713C0" w14:paraId="4216D7DB" w14:textId="0DFC77EC">
      <w:pPr>
        <w:ind w:left="1440"/>
      </w:pPr>
      <w:r>
        <w:t>NW corner: 28 39'50"N 80 50'20"W</w:t>
      </w:r>
    </w:p>
    <w:p w:rsidR="00E713C0" w:rsidP="00E713C0" w14:paraId="0163C6B4" w14:textId="297B8036">
      <w:pPr>
        <w:ind w:left="1440"/>
      </w:pPr>
      <w:r>
        <w:t>SW corner: 28 09'37"N 80 44'04"W</w:t>
      </w:r>
    </w:p>
    <w:p w:rsidR="00E713C0" w:rsidP="00E713C0" w14:paraId="01F25CB5" w14:textId="77777777">
      <w:pPr>
        <w:ind w:left="1440"/>
      </w:pPr>
    </w:p>
    <w:p w:rsidR="00BD406E" w:rsidRPr="0027649A" w:rsidP="0021170A" w14:paraId="0EE406A6" w14:textId="4972A4AD">
      <w:pPr>
        <w:ind w:left="1440"/>
        <w:rPr>
          <w:u w:val="single"/>
        </w:rPr>
      </w:pPr>
      <w:r w:rsidRPr="0027649A">
        <w:rPr>
          <w:u w:val="single"/>
        </w:rPr>
        <w:t>Operation prohibited on Channels I, II and IV within a 200 km radius of the following</w:t>
      </w:r>
      <w:r w:rsidR="00CF5666">
        <w:rPr>
          <w:u w:val="single"/>
        </w:rPr>
        <w:t xml:space="preserve"> locations</w:t>
      </w:r>
      <w:r w:rsidRPr="0027649A">
        <w:rPr>
          <w:u w:val="single"/>
        </w:rPr>
        <w:t>:</w:t>
      </w:r>
    </w:p>
    <w:p w:rsidR="00BD406E" w:rsidP="002A6CE6" w14:paraId="6B6E5964" w14:textId="3246433F">
      <w:pPr>
        <w:ind w:left="720" w:firstLine="720"/>
      </w:pPr>
      <w:bookmarkStart w:id="19" w:name="_Hlk102383512"/>
      <w:r>
        <w:t xml:space="preserve">Wallops Island, Virginia: </w:t>
      </w:r>
      <w:r w:rsidRPr="00BD406E">
        <w:t>37</w:t>
      </w:r>
      <w:r w:rsidR="00762EEF">
        <w:t xml:space="preserve"> </w:t>
      </w:r>
      <w:r w:rsidRPr="00BD406E">
        <w:t>51’17”N, 75</w:t>
      </w:r>
      <w:r w:rsidR="00762EEF">
        <w:t xml:space="preserve"> </w:t>
      </w:r>
      <w:r w:rsidRPr="00BD406E">
        <w:t>27’48”W</w:t>
      </w:r>
      <w:r>
        <w:t>,</w:t>
      </w:r>
      <w:r w:rsidRPr="00BD406E">
        <w:t xml:space="preserve"> and </w:t>
      </w:r>
    </w:p>
    <w:p w:rsidR="00BD406E" w:rsidP="002A6CE6" w14:paraId="23FDE860" w14:textId="13FC6F7B">
      <w:pPr>
        <w:ind w:left="720" w:firstLine="720"/>
      </w:pPr>
      <w:r w:rsidRPr="00BD406E">
        <w:t>Coquina, North Carolina</w:t>
      </w:r>
      <w:r>
        <w:t>:</w:t>
      </w:r>
      <w:r w:rsidRPr="00BD406E">
        <w:t xml:space="preserve"> 35</w:t>
      </w:r>
      <w:r w:rsidR="00762EEF">
        <w:t xml:space="preserve"> </w:t>
      </w:r>
      <w:r w:rsidRPr="00BD406E">
        <w:t>50’12”N, 75</w:t>
      </w:r>
      <w:r w:rsidR="00762EEF">
        <w:t xml:space="preserve"> </w:t>
      </w:r>
      <w:r w:rsidRPr="00BD406E">
        <w:t>34’14”W</w:t>
      </w:r>
    </w:p>
    <w:bookmarkEnd w:id="19"/>
    <w:p w:rsidR="00BD406E" w:rsidP="002A6CE6" w14:paraId="7E080ABD" w14:textId="091E3048">
      <w:pPr>
        <w:ind w:left="720" w:firstLine="720"/>
      </w:pPr>
    </w:p>
    <w:p w:rsidR="00AE2BC5" w:rsidP="002A6CE6" w14:paraId="662F02AF" w14:textId="0D9978B5">
      <w:pPr>
        <w:ind w:left="720" w:firstLine="720"/>
      </w:pPr>
      <w:r w:rsidRPr="0021170A">
        <w:rPr>
          <w:u w:val="single"/>
        </w:rPr>
        <w:t>Operation prohibited on Channel III within a 65 km radius of the following</w:t>
      </w:r>
      <w:r w:rsidR="00CF5666">
        <w:rPr>
          <w:u w:val="single"/>
        </w:rPr>
        <w:t xml:space="preserve"> locations</w:t>
      </w:r>
      <w:r>
        <w:t>:</w:t>
      </w:r>
    </w:p>
    <w:p w:rsidR="00AE2BC5" w:rsidP="00AE2BC5" w14:paraId="47E616F3" w14:textId="5DACCF0E">
      <w:pPr>
        <w:ind w:left="720" w:firstLine="720"/>
      </w:pPr>
      <w:r>
        <w:t xml:space="preserve">Wallops Island, Virginia: </w:t>
      </w:r>
      <w:r w:rsidRPr="00BD406E">
        <w:t>37</w:t>
      </w:r>
      <w:r w:rsidR="00762EEF">
        <w:t xml:space="preserve"> </w:t>
      </w:r>
      <w:r w:rsidRPr="00BD406E">
        <w:t>51’17”N, 75</w:t>
      </w:r>
      <w:r w:rsidR="00762EEF">
        <w:t xml:space="preserve"> </w:t>
      </w:r>
      <w:r w:rsidRPr="00BD406E">
        <w:t>27’48”W</w:t>
      </w:r>
      <w:r>
        <w:t>,</w:t>
      </w:r>
      <w:r w:rsidRPr="00BD406E">
        <w:t xml:space="preserve"> and </w:t>
      </w:r>
    </w:p>
    <w:p w:rsidR="00AE2BC5" w:rsidP="00AE2BC5" w14:paraId="610B3321" w14:textId="3C648BBE">
      <w:pPr>
        <w:ind w:left="720" w:firstLine="720"/>
      </w:pPr>
      <w:r w:rsidRPr="00BD406E">
        <w:t>Coquina, North Carolina</w:t>
      </w:r>
      <w:r>
        <w:t>:</w:t>
      </w:r>
      <w:r w:rsidRPr="00BD406E">
        <w:t xml:space="preserve"> 35</w:t>
      </w:r>
      <w:r w:rsidR="00762EEF">
        <w:t xml:space="preserve"> </w:t>
      </w:r>
      <w:r w:rsidRPr="00BD406E">
        <w:t>50’12”N, 75</w:t>
      </w:r>
      <w:r w:rsidR="00762EEF">
        <w:t xml:space="preserve"> </w:t>
      </w:r>
      <w:r w:rsidRPr="00BD406E">
        <w:t>34’14”W</w:t>
      </w:r>
    </w:p>
    <w:p w:rsidR="00AE2BC5" w:rsidP="002A6CE6" w14:paraId="078D5933" w14:textId="77777777">
      <w:pPr>
        <w:ind w:left="720" w:firstLine="720"/>
      </w:pPr>
    </w:p>
    <w:p w:rsidR="00CF0E45" w:rsidP="00B44C89" w14:paraId="667E1AD2" w14:textId="641BC1BC">
      <w:pPr>
        <w:ind w:left="1440"/>
      </w:pPr>
      <w:r>
        <w:rPr>
          <w:u w:val="single"/>
        </w:rPr>
        <w:t xml:space="preserve">Operation prohibited on all channels </w:t>
      </w:r>
      <w:r w:rsidRPr="00CF0E45">
        <w:rPr>
          <w:u w:val="single"/>
        </w:rPr>
        <w:t>(</w:t>
      </w:r>
      <w:r>
        <w:rPr>
          <w:u w:val="single"/>
        </w:rPr>
        <w:t>Vandenberg A</w:t>
      </w:r>
      <w:r w:rsidR="000D6CF9">
        <w:rPr>
          <w:u w:val="single"/>
        </w:rPr>
        <w:t xml:space="preserve">ir </w:t>
      </w:r>
      <w:r>
        <w:rPr>
          <w:u w:val="single"/>
        </w:rPr>
        <w:t>F</w:t>
      </w:r>
      <w:r w:rsidR="000D6CF9">
        <w:rPr>
          <w:u w:val="single"/>
        </w:rPr>
        <w:t xml:space="preserve">orce </w:t>
      </w:r>
      <w:r>
        <w:rPr>
          <w:u w:val="single"/>
        </w:rPr>
        <w:t>B</w:t>
      </w:r>
      <w:r w:rsidR="000D6CF9">
        <w:rPr>
          <w:u w:val="single"/>
        </w:rPr>
        <w:t>ase</w:t>
      </w:r>
      <w:r>
        <w:rPr>
          <w:u w:val="single"/>
        </w:rPr>
        <w:t>, California)</w:t>
      </w:r>
    </w:p>
    <w:p w:rsidR="00B44C89" w:rsidP="00B44C89" w14:paraId="78DE91DB" w14:textId="471407DA">
      <w:pPr>
        <w:ind w:left="1440"/>
      </w:pPr>
      <w:r>
        <w:t>SE corner: 34 13'12"N 120 36'00"W</w:t>
      </w:r>
    </w:p>
    <w:p w:rsidR="00B44C89" w:rsidP="00B44C89" w14:paraId="0D8E7D31" w14:textId="77777777">
      <w:pPr>
        <w:ind w:left="1440"/>
      </w:pPr>
      <w:r>
        <w:t>NE corner: 35 00'00"N 120 36'00"W</w:t>
      </w:r>
    </w:p>
    <w:p w:rsidR="00B44C89" w:rsidP="00B44C89" w14:paraId="2E657361" w14:textId="77777777">
      <w:pPr>
        <w:ind w:left="1440"/>
      </w:pPr>
      <w:r>
        <w:t>NW corner: 35 00'00"N 121 00'00"W</w:t>
      </w:r>
    </w:p>
    <w:p w:rsidR="00B44C89" w:rsidP="00B44C89" w14:paraId="05081B05" w14:textId="03C47AFF">
      <w:pPr>
        <w:ind w:left="1440"/>
      </w:pPr>
      <w:r>
        <w:t>SW corner: 34 13'12"N 121 00'00"W</w:t>
      </w:r>
    </w:p>
    <w:p w:rsidR="0021170A" w:rsidP="00B44C89" w14:paraId="23AF3213" w14:textId="4F88B629">
      <w:pPr>
        <w:ind w:left="1440"/>
      </w:pPr>
    </w:p>
    <w:p w:rsidR="0021170A" w:rsidP="00217365" w14:paraId="4AC12B7E" w14:textId="36341379">
      <w:pPr>
        <w:pStyle w:val="ListParagraph"/>
        <w:numPr>
          <w:ilvl w:val="1"/>
          <w:numId w:val="8"/>
        </w:numPr>
      </w:pPr>
      <w:r w:rsidRPr="00C77D9A">
        <w:t xml:space="preserve">A request by </w:t>
      </w:r>
      <w:r w:rsidRPr="00217365" w:rsidR="00143E5C">
        <w:t>Kongsberg</w:t>
      </w:r>
      <w:r w:rsidRPr="00C77D9A">
        <w:t xml:space="preserve"> to </w:t>
      </w:r>
      <w:r w:rsidRPr="00C77D9A" w:rsidR="00C77D9A">
        <w:t>modify</w:t>
      </w:r>
      <w:r w:rsidR="00C77D9A">
        <w:t xml:space="preserve"> the</w:t>
      </w:r>
      <w:r w:rsidRPr="00C77D9A" w:rsidR="00C77D9A">
        <w:t xml:space="preserve"> boundaries of the Wallops Island and Coquina restriction zones in channel IV </w:t>
      </w:r>
      <w:r w:rsidR="00C77D9A">
        <w:t xml:space="preserve">may be approved by the FCC </w:t>
      </w:r>
      <w:r w:rsidR="00671D63">
        <w:t>in coordination with NTIA</w:t>
      </w:r>
      <w:r w:rsidRPr="00C77D9A" w:rsidR="00C77D9A">
        <w:t>.</w:t>
      </w:r>
    </w:p>
    <w:p w:rsidR="00B44C89" w:rsidP="002A6CE6" w14:paraId="183C6795" w14:textId="77777777">
      <w:pPr>
        <w:ind w:left="1440"/>
      </w:pPr>
    </w:p>
    <w:p w:rsidR="004E15C6" w:rsidP="00D664F7" w14:paraId="5309894A" w14:textId="3EBB5776">
      <w:pPr>
        <w:widowControl/>
        <w:numPr>
          <w:ilvl w:val="0"/>
          <w:numId w:val="8"/>
        </w:numPr>
        <w:spacing w:after="120"/>
        <w:rPr>
          <w:szCs w:val="22"/>
        </w:rPr>
      </w:pPr>
      <w:r>
        <w:t>The user manual provided with the device must caution operators that the system</w:t>
      </w:r>
      <w:r w:rsidRPr="00B06387" w:rsidR="00B06387">
        <w:t xml:space="preserve"> </w:t>
      </w:r>
      <w:r w:rsidR="00B06387">
        <w:t>may not be used within certain distances from locations where Federal Government radar operations take place to avoid the possibility of causing harmful interference to those Federal operations</w:t>
      </w:r>
      <w:r>
        <w:t>.</w:t>
      </w:r>
      <w:r w:rsidR="005068E2">
        <w:t xml:space="preserve"> </w:t>
      </w:r>
      <w:r>
        <w:t xml:space="preserve"> </w:t>
      </w:r>
      <w:r w:rsidR="00704B78">
        <w:t>The user manual</w:t>
      </w:r>
      <w:r>
        <w:t xml:space="preserve"> must contain information describing the system’s geo</w:t>
      </w:r>
      <w:r w:rsidR="00902713">
        <w:t>-</w:t>
      </w:r>
      <w:r>
        <w:t xml:space="preserve">fencing feature and must indicate that transmissions </w:t>
      </w:r>
      <w:r w:rsidR="002834B5">
        <w:t>are prohibited</w:t>
      </w:r>
      <w:r w:rsidR="00E656FE">
        <w:t xml:space="preserve"> </w:t>
      </w:r>
      <w:r w:rsidR="00981496">
        <w:t xml:space="preserve">on </w:t>
      </w:r>
      <w:r w:rsidR="002834B5">
        <w:t>specific channels within the specified zones</w:t>
      </w:r>
      <w:r w:rsidR="00F43945">
        <w:t xml:space="preserve"> listed</w:t>
      </w:r>
      <w:r w:rsidR="00E656FE">
        <w:t xml:space="preserve"> in paragraph (4) above</w:t>
      </w:r>
      <w:r>
        <w:t>.</w:t>
      </w:r>
      <w:r w:rsidR="00D80E02">
        <w:t xml:space="preserve">  It must also indicate that devices located on land are subject to the same restrictions as shipboard devices.</w:t>
      </w:r>
      <w:r w:rsidR="00921465">
        <w:t xml:space="preserve">  </w:t>
      </w:r>
      <w:r w:rsidR="002648B4">
        <w:t>The user manual</w:t>
      </w:r>
      <w:r w:rsidR="00921465">
        <w:t xml:space="preserve"> must further </w:t>
      </w:r>
      <w:bookmarkStart w:id="20" w:name="_Hlk63071831"/>
      <w:r w:rsidR="00921465">
        <w:t>provide a pictorial representation of the exclusion zones to scale, including the geographic coordinates of the corners</w:t>
      </w:r>
      <w:r w:rsidR="009A5D51">
        <w:t xml:space="preserve"> and the lengths of the edges</w:t>
      </w:r>
      <w:r w:rsidR="009B7264">
        <w:t>, or the geographic coordinates of the center points and radii of the circles</w:t>
      </w:r>
      <w:r w:rsidR="00921465">
        <w:t>.</w:t>
      </w:r>
      <w:bookmarkEnd w:id="20"/>
      <w:r w:rsidR="00F05293">
        <w:rPr>
          <w:szCs w:val="22"/>
        </w:rPr>
        <w:t xml:space="preserve">  </w:t>
      </w:r>
    </w:p>
    <w:p w:rsidR="00FE27CC" w:rsidRPr="001470F1" w:rsidP="00084A19" w14:paraId="26278469" w14:textId="48C4C5E8">
      <w:pPr>
        <w:widowControl/>
        <w:numPr>
          <w:ilvl w:val="0"/>
          <w:numId w:val="8"/>
        </w:numPr>
        <w:spacing w:after="120"/>
        <w:rPr>
          <w:szCs w:val="22"/>
        </w:rPr>
      </w:pPr>
      <w:r>
        <w:t>The Kongsberg system’s geo</w:t>
      </w:r>
      <w:r w:rsidR="003C7E8A">
        <w:t>-</w:t>
      </w:r>
      <w:r>
        <w:t>fencing mechanism used to prevent transmission</w:t>
      </w:r>
      <w:r w:rsidR="009B7264">
        <w:t>s</w:t>
      </w:r>
      <w:r>
        <w:t xml:space="preserve"> within the exclusion zones set forth in this waiver shall not have any override function or capability.</w:t>
      </w:r>
      <w:r>
        <w:rPr>
          <w:rStyle w:val="FootnoteReference"/>
        </w:rPr>
        <w:footnoteReference w:id="35"/>
      </w:r>
    </w:p>
    <w:p w:rsidR="00B965AB" w:rsidP="00EA76D9" w14:paraId="2EC3366B" w14:textId="0DAD790C">
      <w:pPr>
        <w:numPr>
          <w:ilvl w:val="0"/>
          <w:numId w:val="8"/>
        </w:numPr>
        <w:spacing w:after="120"/>
      </w:pPr>
      <w:r>
        <w:t xml:space="preserve">The Kongsberg system shall </w:t>
      </w:r>
      <w:r w:rsidR="00AD4E52">
        <w:t xml:space="preserve">on all channels </w:t>
      </w:r>
      <w:r>
        <w:t>comply with the out-of-band emission mask shown in its September 29, 2020 filing</w:t>
      </w:r>
      <w:r w:rsidR="00053523">
        <w:t xml:space="preserve"> in </w:t>
      </w:r>
      <w:r w:rsidR="00053523">
        <w:rPr>
          <w:spacing w:val="-2"/>
        </w:rPr>
        <w:t>ET Docket No. 19-240</w:t>
      </w:r>
      <w:r>
        <w:t>.</w:t>
      </w:r>
    </w:p>
    <w:p w:rsidR="00EA76D9" w:rsidRPr="00050AEB" w:rsidP="00EA76D9" w14:paraId="4714FF1E" w14:textId="78A70EAD">
      <w:pPr>
        <w:numPr>
          <w:ilvl w:val="0"/>
          <w:numId w:val="8"/>
        </w:numPr>
        <w:spacing w:after="120"/>
      </w:pPr>
      <w:r>
        <w:t xml:space="preserve">The </w:t>
      </w:r>
      <w:r w:rsidR="009413CD">
        <w:t>Kongsberg</w:t>
      </w:r>
      <w:r w:rsidRPr="00050AEB">
        <w:t xml:space="preserve"> </w:t>
      </w:r>
      <w:r>
        <w:t>system shall not</w:t>
      </w:r>
      <w:r w:rsidRPr="00050AEB">
        <w:t xml:space="preserve"> be used for cruise ship passenger communications</w:t>
      </w:r>
      <w:r w:rsidR="00190331">
        <w:t xml:space="preserve"> but may </w:t>
      </w:r>
      <w:r w:rsidRPr="00190331" w:rsidR="00190331">
        <w:t>be used in connection with operational aspects of cruise ships</w:t>
      </w:r>
      <w:r w:rsidRPr="00050AEB">
        <w:t>.</w:t>
      </w:r>
    </w:p>
    <w:p w:rsidR="00050AEB" w:rsidP="00050AEB" w14:paraId="0AE56799" w14:textId="3BEAF590">
      <w:pPr>
        <w:numPr>
          <w:ilvl w:val="0"/>
          <w:numId w:val="8"/>
        </w:numPr>
        <w:spacing w:after="120"/>
      </w:pPr>
      <w:r>
        <w:t xml:space="preserve">The </w:t>
      </w:r>
      <w:r w:rsidR="009413CD">
        <w:t>Kongsberg</w:t>
      </w:r>
      <w:r w:rsidRPr="00050AEB">
        <w:t xml:space="preserve"> </w:t>
      </w:r>
      <w:r>
        <w:t>system shall incorporate</w:t>
      </w:r>
      <w:r w:rsidRPr="00050AEB">
        <w:t xml:space="preserve"> always-on adaptive power control</w:t>
      </w:r>
      <w:r w:rsidR="00AD4E52">
        <w:t xml:space="preserve"> as described in its January 15, 2021 filing</w:t>
      </w:r>
      <w:r w:rsidR="00053523">
        <w:t xml:space="preserve"> in </w:t>
      </w:r>
      <w:r w:rsidR="00053523">
        <w:rPr>
          <w:spacing w:val="-2"/>
        </w:rPr>
        <w:t>ET Docket No. 19-240</w:t>
      </w:r>
      <w:r w:rsidRPr="00050AEB">
        <w:t>.</w:t>
      </w:r>
    </w:p>
    <w:p w:rsidR="00050AEB" w:rsidRPr="00050AEB" w:rsidP="00EA76D9" w14:paraId="32A68EBC" w14:textId="60C04C3B">
      <w:pPr>
        <w:numPr>
          <w:ilvl w:val="0"/>
          <w:numId w:val="8"/>
        </w:numPr>
        <w:spacing w:after="120"/>
      </w:pPr>
      <w:r>
        <w:t xml:space="preserve">The </w:t>
      </w:r>
      <w:r w:rsidR="009413CD">
        <w:t>Kongsberg</w:t>
      </w:r>
      <w:r w:rsidRPr="00050AEB">
        <w:t xml:space="preserve"> </w:t>
      </w:r>
      <w:r>
        <w:t>system</w:t>
      </w:r>
      <w:r w:rsidRPr="000D3B08" w:rsidR="000D3B08">
        <w:t xml:space="preserve"> shall incorporate integral, non-replaceable antennas and</w:t>
      </w:r>
      <w:r>
        <w:t xml:space="preserve"> </w:t>
      </w:r>
      <w:bookmarkStart w:id="21" w:name="_Hlk105667141"/>
      <w:r>
        <w:t>may not use any</w:t>
      </w:r>
      <w:r w:rsidRPr="00050AEB">
        <w:t xml:space="preserve"> antennas other than those</w:t>
      </w:r>
      <w:r>
        <w:t xml:space="preserve"> </w:t>
      </w:r>
      <w:r w:rsidRPr="00050AEB">
        <w:t>tested with the transmitter for certification</w:t>
      </w:r>
      <w:bookmarkEnd w:id="21"/>
      <w:r w:rsidRPr="00050AEB">
        <w:t>.</w:t>
      </w:r>
    </w:p>
    <w:p w:rsidR="00EA76D9" w:rsidRPr="00050AEB" w:rsidP="00EA76D9" w14:paraId="4F25D354" w14:textId="77777777">
      <w:pPr>
        <w:numPr>
          <w:ilvl w:val="0"/>
          <w:numId w:val="8"/>
        </w:numPr>
        <w:spacing w:after="120"/>
      </w:pPr>
      <w:r w:rsidRPr="00050AEB">
        <w:t>No sales to consumers</w:t>
      </w:r>
      <w:r>
        <w:t xml:space="preserve"> are permitted.</w:t>
      </w:r>
    </w:p>
    <w:p w:rsidR="00A00F39" w:rsidP="00A00F39" w14:paraId="14472870" w14:textId="6BF749C2">
      <w:pPr>
        <w:numPr>
          <w:ilvl w:val="0"/>
          <w:numId w:val="8"/>
        </w:numPr>
        <w:spacing w:after="120"/>
      </w:pPr>
      <w:r w:rsidRPr="00050AEB">
        <w:t xml:space="preserve">U.S. sales </w:t>
      </w:r>
      <w:r>
        <w:t xml:space="preserve">shall </w:t>
      </w:r>
      <w:r w:rsidRPr="00050AEB">
        <w:t>not exceed 200 units per year</w:t>
      </w:r>
      <w:r>
        <w:t xml:space="preserve">.  This </w:t>
      </w:r>
      <w:r w:rsidR="00862236">
        <w:t>200-unit</w:t>
      </w:r>
      <w:r w:rsidR="00962941">
        <w:t xml:space="preserve"> annual </w:t>
      </w:r>
      <w:r>
        <w:t xml:space="preserve">limitation </w:t>
      </w:r>
      <w:r w:rsidR="00047F73">
        <w:t xml:space="preserve">applies to </w:t>
      </w:r>
      <w:r w:rsidR="0045616D">
        <w:t xml:space="preserve">the combined number of shipborne and </w:t>
      </w:r>
      <w:r w:rsidR="00136857">
        <w:t>coastal units</w:t>
      </w:r>
      <w:r w:rsidR="00862236">
        <w:t xml:space="preserve"> </w:t>
      </w:r>
      <w:r w:rsidR="0029769F">
        <w:t>sold</w:t>
      </w:r>
      <w:r w:rsidR="007B415E">
        <w:t xml:space="preserve"> </w:t>
      </w:r>
      <w:r w:rsidR="0045616D">
        <w:t xml:space="preserve">and </w:t>
      </w:r>
      <w:r>
        <w:t>shall only apply through the end of the fifth year following the date of this Order</w:t>
      </w:r>
      <w:r w:rsidR="00276BD0">
        <w:t xml:space="preserve">, but shall not include any units sold to Federal </w:t>
      </w:r>
      <w:r w:rsidR="0080420E">
        <w:t>G</w:t>
      </w:r>
      <w:r w:rsidR="00276BD0">
        <w:t>overnment entities for use under the authority of the National Telecommunications and Information Administration.</w:t>
      </w:r>
    </w:p>
    <w:p w:rsidR="00EE7260" w:rsidRPr="00EE7260" w:rsidP="00173B86" w14:paraId="0C8E4280" w14:textId="4B82ED91">
      <w:pPr>
        <w:keepNext/>
        <w:numPr>
          <w:ilvl w:val="0"/>
          <w:numId w:val="3"/>
        </w:numPr>
        <w:tabs>
          <w:tab w:val="left" w:pos="720"/>
        </w:tabs>
        <w:suppressAutoHyphens/>
        <w:spacing w:after="120"/>
        <w:jc w:val="both"/>
        <w:outlineLvl w:val="0"/>
        <w:rPr>
          <w:rFonts w:ascii="Times New Roman Bold" w:hAnsi="Times New Roman Bold"/>
          <w:b/>
          <w:bCs/>
          <w:caps/>
        </w:rPr>
      </w:pPr>
      <w:r w:rsidRPr="00EE7260">
        <w:rPr>
          <w:rFonts w:ascii="Times New Roman Bold" w:hAnsi="Times New Roman Bold"/>
          <w:b/>
          <w:bCs/>
          <w:caps/>
        </w:rPr>
        <w:t xml:space="preserve">ORDERING </w:t>
      </w:r>
      <w:r w:rsidRPr="00EE7260">
        <w:rPr>
          <w:rFonts w:ascii="Times New Roman Bold" w:hAnsi="Times New Roman Bold"/>
          <w:b/>
          <w:caps/>
        </w:rPr>
        <w:t>CLAUSES</w:t>
      </w:r>
    </w:p>
    <w:p w:rsidR="00EE7260" w:rsidRPr="00EE7260" w:rsidP="00D24260" w14:paraId="4899D216" w14:textId="3883655E">
      <w:pPr>
        <w:pStyle w:val="ParaNum"/>
        <w:rPr>
          <w:szCs w:val="22"/>
        </w:rPr>
      </w:pPr>
      <w:r w:rsidRPr="00EE7260">
        <w:t xml:space="preserve">Accordingly, pursuant to authority delegated in Sections 0.31 and 0.241 of the Commission's rules, 47 CFR §§ 0.31, 0.241, and Section 1.3 of the Commission's rules, 47 CFR § 1.3, IT IS ORDERED that the Request for Waiver filed by </w:t>
      </w:r>
      <w:r w:rsidRPr="006D314C" w:rsidR="009413CD">
        <w:t xml:space="preserve">Kongsberg </w:t>
      </w:r>
      <w:r w:rsidRPr="006D314C" w:rsidR="009413CD">
        <w:t>Seatex</w:t>
      </w:r>
      <w:r w:rsidRPr="006D314C" w:rsidR="009413CD">
        <w:t xml:space="preserve"> AS</w:t>
      </w:r>
      <w:r w:rsidRPr="00EE7260">
        <w:t xml:space="preserve"> on </w:t>
      </w:r>
      <w:r w:rsidR="000C196C">
        <w:t>July 2</w:t>
      </w:r>
      <w:r w:rsidRPr="00EE7260">
        <w:t>, 201</w:t>
      </w:r>
      <w:r w:rsidR="000C196C">
        <w:t>9</w:t>
      </w:r>
      <w:r w:rsidRPr="00EE7260">
        <w:t xml:space="preserve"> IS GRANTED consistent with the terms of this Order.  This action is taken pursuant to Sections 4(</w:t>
      </w:r>
      <w:r w:rsidRPr="00EE7260">
        <w:t>i</w:t>
      </w:r>
      <w:r w:rsidRPr="00EE7260">
        <w:t>), 302, 303(e), and 303(r) of the Communications Act of 1934, as amended, 47 U.S.C. Sections 154(</w:t>
      </w:r>
      <w:r w:rsidRPr="00EE7260">
        <w:t>i</w:t>
      </w:r>
      <w:r w:rsidRPr="00EE7260">
        <w:t>), 302, 303(e), and 303(r).  This action is effective upon release of this Order.</w:t>
      </w:r>
    </w:p>
    <w:p w:rsidR="00EE7260" w:rsidP="00D24260" w14:paraId="501D6890" w14:textId="6207CD68">
      <w:pPr>
        <w:pStyle w:val="ParaNum"/>
      </w:pPr>
      <w:r w:rsidRPr="00EE7260">
        <w:t xml:space="preserve">IT IS FURTHER ORDERED that, if no applications for review are timely filed, this proceeding SHALL BE </w:t>
      </w:r>
      <w:r w:rsidRPr="00EE7260" w:rsidR="000C196C">
        <w:t>TERMINATED,</w:t>
      </w:r>
      <w:r w:rsidRPr="00EE7260">
        <w:t xml:space="preserve"> and the docket CLOSED.</w:t>
      </w:r>
    </w:p>
    <w:p w:rsidR="00084A19" w:rsidRPr="00EE7260" w:rsidP="00084A19" w14:paraId="606006F7" w14:textId="77777777">
      <w:pPr>
        <w:pStyle w:val="ParaNum"/>
        <w:numPr>
          <w:ilvl w:val="0"/>
          <w:numId w:val="0"/>
        </w:numPr>
        <w:ind w:left="720"/>
      </w:pPr>
    </w:p>
    <w:p w:rsidR="00586A1D" w:rsidP="0017296B" w14:paraId="008186D5" w14:textId="77777777">
      <w:r>
        <w:tab/>
      </w:r>
      <w:r>
        <w:tab/>
      </w:r>
      <w:r>
        <w:tab/>
      </w:r>
      <w:r>
        <w:tab/>
      </w:r>
      <w:r>
        <w:tab/>
      </w:r>
      <w:r>
        <w:tab/>
        <w:t>FEDERAL COMMUNICATIONS COMMISSION</w:t>
      </w:r>
    </w:p>
    <w:p w:rsidR="00586A1D" w:rsidP="0017296B" w14:paraId="041E4EF5" w14:textId="77777777"/>
    <w:p w:rsidR="00586A1D" w:rsidP="0017296B" w14:paraId="19C7BB9D" w14:textId="77777777"/>
    <w:p w:rsidR="00586A1D" w:rsidP="0017296B" w14:paraId="1E753443" w14:textId="77777777"/>
    <w:p w:rsidR="00586A1D" w:rsidP="0017296B" w14:paraId="1162A7B8" w14:textId="77777777"/>
    <w:p w:rsidR="00586A1D" w:rsidP="0017296B" w14:paraId="10C8FE6F" w14:textId="163F9227">
      <w:r>
        <w:tab/>
      </w:r>
      <w:r>
        <w:tab/>
      </w:r>
      <w:r>
        <w:tab/>
      </w:r>
      <w:r>
        <w:tab/>
      </w:r>
      <w:r>
        <w:tab/>
      </w:r>
      <w:r>
        <w:tab/>
      </w:r>
      <w:r>
        <w:t>Ronald T. Repasi</w:t>
      </w:r>
    </w:p>
    <w:p w:rsidR="00A904F4" w:rsidRPr="003F777A" w:rsidP="00586A1D" w14:paraId="64683239" w14:textId="42160698">
      <w:r>
        <w:tab/>
      </w:r>
      <w:r>
        <w:tab/>
      </w:r>
      <w:r>
        <w:tab/>
      </w:r>
      <w:r>
        <w:tab/>
      </w:r>
      <w:r>
        <w:tab/>
      </w:r>
      <w:r>
        <w:tab/>
      </w:r>
      <w:r>
        <w:t xml:space="preserve">Acting </w:t>
      </w:r>
      <w:r w:rsidRPr="00EE7260">
        <w:t>Chief, Office of Engineering and Technology</w:t>
      </w:r>
    </w:p>
    <w:sectPr w:rsidSect="00D664F7">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75B0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09A0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84A19" w14:paraId="67960B9B" w14:textId="1D51C95E">
    <w:pPr>
      <w:pStyle w:val="Footer"/>
      <w:jc w:val="center"/>
    </w:pPr>
    <w:r>
      <w:fldChar w:fldCharType="begin"/>
    </w:r>
    <w:r>
      <w:instrText xml:space="preserve"> PAGE   \* MERGEFORMAT </w:instrText>
    </w:r>
    <w:r>
      <w:fldChar w:fldCharType="separate"/>
    </w:r>
    <w:r w:rsidR="002A68B3">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FD7F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6CF9" w14:paraId="6CD78EF9" w14:textId="77777777">
      <w:r>
        <w:separator/>
      </w:r>
    </w:p>
  </w:footnote>
  <w:footnote w:type="continuationSeparator" w:id="1">
    <w:p w:rsidR="000D6CF9" w:rsidP="00C721AC" w14:paraId="7CC6D124" w14:textId="77777777">
      <w:pPr>
        <w:spacing w:before="120"/>
        <w:rPr>
          <w:sz w:val="20"/>
        </w:rPr>
      </w:pPr>
      <w:r>
        <w:rPr>
          <w:sz w:val="20"/>
        </w:rPr>
        <w:t xml:space="preserve">(Continued from previous page)  </w:t>
      </w:r>
      <w:r>
        <w:rPr>
          <w:sz w:val="20"/>
        </w:rPr>
        <w:separator/>
      </w:r>
    </w:p>
  </w:footnote>
  <w:footnote w:type="continuationNotice" w:id="2">
    <w:p w:rsidR="000D6CF9" w:rsidP="00C721AC" w14:paraId="5BB27FE6" w14:textId="77777777">
      <w:pPr>
        <w:jc w:val="right"/>
        <w:rPr>
          <w:sz w:val="20"/>
        </w:rPr>
      </w:pPr>
      <w:r>
        <w:rPr>
          <w:sz w:val="20"/>
        </w:rPr>
        <w:t>(continued….)</w:t>
      </w:r>
    </w:p>
  </w:footnote>
  <w:footnote w:id="3">
    <w:p w:rsidR="00136857" w:rsidRPr="00136857" w14:paraId="7D96798F" w14:textId="1BC13EFB">
      <w:pPr>
        <w:pStyle w:val="FootnoteText"/>
      </w:pPr>
      <w:r>
        <w:rPr>
          <w:rStyle w:val="FootnoteReference"/>
        </w:rPr>
        <w:footnoteRef/>
      </w:r>
      <w:r>
        <w:t xml:space="preserve"> </w:t>
      </w:r>
      <w:r w:rsidRPr="00136857">
        <w:t xml:space="preserve">Letter from Tony S. Lee, Counsel to Kongsberg </w:t>
      </w:r>
      <w:r w:rsidRPr="006D314C" w:rsidR="00246EED">
        <w:t>Seatex</w:t>
      </w:r>
      <w:r w:rsidRPr="006D314C" w:rsidR="00246EED">
        <w:t xml:space="preserve"> </w:t>
      </w:r>
      <w:r w:rsidRPr="00136857">
        <w:t xml:space="preserve">AS, Fletcher, Heald and Hildreth, to Marlene H. Dortch, Secretary, FCC, ET Docket No. 19-240, at </w:t>
      </w:r>
      <w:r>
        <w:t>1</w:t>
      </w:r>
      <w:r w:rsidRPr="00136857">
        <w:t xml:space="preserve"> (filed May </w:t>
      </w:r>
      <w:r>
        <w:t>7</w:t>
      </w:r>
      <w:r w:rsidRPr="00136857">
        <w:t>, 2021)</w:t>
      </w:r>
      <w:r>
        <w:t xml:space="preserve"> (Kongsberg May 7, 2021 </w:t>
      </w:r>
      <w:r w:rsidR="00803C74">
        <w:rPr>
          <w:i/>
          <w:iCs/>
        </w:rPr>
        <w:t>e</w:t>
      </w:r>
      <w:r>
        <w:rPr>
          <w:i/>
          <w:iCs/>
        </w:rPr>
        <w:t xml:space="preserve">x </w:t>
      </w:r>
      <w:r w:rsidR="00803C74">
        <w:rPr>
          <w:i/>
          <w:iCs/>
        </w:rPr>
        <w:t>p</w:t>
      </w:r>
      <w:r>
        <w:rPr>
          <w:i/>
          <w:iCs/>
        </w:rPr>
        <w:t>arte</w:t>
      </w:r>
      <w:r>
        <w:t>).</w:t>
      </w:r>
    </w:p>
  </w:footnote>
  <w:footnote w:id="4">
    <w:p w:rsidR="00DE3D97" w:rsidP="00CE790D" w14:paraId="1F985EDC" w14:textId="315D7E64">
      <w:pPr>
        <w:pStyle w:val="FootnoteText"/>
      </w:pPr>
      <w:r>
        <w:rPr>
          <w:rStyle w:val="FootnoteReference"/>
        </w:rPr>
        <w:footnoteRef/>
      </w:r>
      <w:r>
        <w:t xml:space="preserve"> </w:t>
      </w:r>
      <w:r w:rsidRPr="006D314C" w:rsidR="006D314C">
        <w:t xml:space="preserve">Kongsberg </w:t>
      </w:r>
      <w:r w:rsidRPr="006D314C" w:rsidR="006D314C">
        <w:t>Seatex</w:t>
      </w:r>
      <w:r w:rsidRPr="006D314C" w:rsidR="006D314C">
        <w:t xml:space="preserve"> AS </w:t>
      </w:r>
      <w:r w:rsidRPr="00871064">
        <w:t xml:space="preserve">Request for Waiver </w:t>
      </w:r>
      <w:r>
        <w:t>(filed Jul</w:t>
      </w:r>
      <w:r w:rsidR="00803C74">
        <w:t>y</w:t>
      </w:r>
      <w:r>
        <w:t xml:space="preserve"> 2, 2019) (</w:t>
      </w:r>
      <w:r w:rsidR="006D314C">
        <w:t>Kongsberg</w:t>
      </w:r>
      <w:r>
        <w:t xml:space="preserve"> Waiver Request).</w:t>
      </w:r>
      <w:r w:rsidR="006D314C">
        <w:t xml:space="preserve">  The request was originally filed by Hydroid, Inc., which was subsequently </w:t>
      </w:r>
      <w:r w:rsidR="00CE790D">
        <w:t>sold</w:t>
      </w:r>
      <w:r w:rsidR="00DB7D24">
        <w:t>.  Its</w:t>
      </w:r>
      <w:r w:rsidR="00CE790D">
        <w:t xml:space="preserve"> counsel </w:t>
      </w:r>
      <w:r w:rsidR="00DB7D24">
        <w:t xml:space="preserve">then </w:t>
      </w:r>
      <w:r w:rsidR="00CE790D">
        <w:t>request</w:t>
      </w:r>
      <w:r w:rsidR="00DB7D24">
        <w:t>ed</w:t>
      </w:r>
      <w:r w:rsidR="00CE790D">
        <w:t xml:space="preserve"> that the name Kongsberg </w:t>
      </w:r>
      <w:r w:rsidR="00CE790D">
        <w:t>Seatex</w:t>
      </w:r>
      <w:r w:rsidR="00CE790D">
        <w:t xml:space="preserve"> AS be substituted or, in the alternative, added to the waiver request. </w:t>
      </w:r>
      <w:r w:rsidRPr="00CE790D" w:rsidR="00CE790D">
        <w:t xml:space="preserve"> </w:t>
      </w:r>
      <w:bookmarkStart w:id="1" w:name="_Hlk52378353"/>
      <w:r w:rsidRPr="00CE790D" w:rsidR="00CE790D">
        <w:t xml:space="preserve">Letter from </w:t>
      </w:r>
      <w:r w:rsidR="00CE790D">
        <w:t>Michelle A. McClure and Tony S. Lee</w:t>
      </w:r>
      <w:r w:rsidRPr="00CE790D" w:rsidR="00CE790D">
        <w:t xml:space="preserve">, </w:t>
      </w:r>
      <w:r w:rsidR="00CE790D">
        <w:t>Counsel to Hydroid, Inc.</w:t>
      </w:r>
      <w:r w:rsidRPr="00CE790D" w:rsidR="00CE790D">
        <w:t xml:space="preserve">, </w:t>
      </w:r>
      <w:r w:rsidR="00CE790D">
        <w:t>Fletcher, Heald and Hildreth</w:t>
      </w:r>
      <w:r w:rsidRPr="00CE790D" w:rsidR="00CE790D">
        <w:t xml:space="preserve">, to Marlene H. Dortch, Secretary, FCC, </w:t>
      </w:r>
      <w:r w:rsidR="00CE790D">
        <w:t>ET</w:t>
      </w:r>
      <w:r w:rsidRPr="00CE790D" w:rsidR="00CE790D">
        <w:t xml:space="preserve"> Docket No. 19</w:t>
      </w:r>
      <w:r w:rsidR="00CE790D">
        <w:t>-240</w:t>
      </w:r>
      <w:r w:rsidRPr="00CE790D" w:rsidR="00CE790D">
        <w:t xml:space="preserve">, at </w:t>
      </w:r>
      <w:r w:rsidR="00CE790D">
        <w:t>1</w:t>
      </w:r>
      <w:r w:rsidRPr="00CE790D" w:rsidR="00CE790D">
        <w:t xml:space="preserve"> (filed </w:t>
      </w:r>
      <w:r w:rsidR="00CE790D">
        <w:t>Mar</w:t>
      </w:r>
      <w:r w:rsidRPr="00CE790D" w:rsidR="00CE790D">
        <w:t xml:space="preserve">. </w:t>
      </w:r>
      <w:r w:rsidR="00CE790D">
        <w:t>23</w:t>
      </w:r>
      <w:r w:rsidRPr="00CE790D" w:rsidR="00CE790D">
        <w:t>, 20</w:t>
      </w:r>
      <w:r w:rsidR="00CE790D">
        <w:t>20</w:t>
      </w:r>
      <w:r w:rsidRPr="00CE790D" w:rsidR="00CE790D">
        <w:t>).</w:t>
      </w:r>
      <w:bookmarkEnd w:id="1"/>
      <w:r w:rsidRPr="00CE790D" w:rsidR="00CE790D">
        <w:t xml:space="preserve">  </w:t>
      </w:r>
      <w:r w:rsidR="00DB7D24">
        <w:t>We grant this request and us</w:t>
      </w:r>
      <w:r w:rsidR="001D006E">
        <w:t>e</w:t>
      </w:r>
      <w:r w:rsidR="00DB7D24">
        <w:t xml:space="preserve"> the name Kongsberg </w:t>
      </w:r>
      <w:r w:rsidR="00DB7D24">
        <w:t>Seatex</w:t>
      </w:r>
      <w:r w:rsidR="00DB7D24">
        <w:t xml:space="preserve"> AS throughout this document.  </w:t>
      </w:r>
    </w:p>
  </w:footnote>
  <w:footnote w:id="5">
    <w:p w:rsidR="00000168" w14:paraId="122BE614" w14:textId="41410757">
      <w:pPr>
        <w:pStyle w:val="FootnoteText"/>
      </w:pPr>
      <w:r>
        <w:rPr>
          <w:rStyle w:val="FootnoteReference"/>
        </w:rPr>
        <w:footnoteRef/>
      </w:r>
      <w:r>
        <w:t xml:space="preserve"> </w:t>
      </w:r>
      <w:r w:rsidR="006D314C">
        <w:t>Kongsberg</w:t>
      </w:r>
      <w:r>
        <w:t xml:space="preserve"> states that the</w:t>
      </w:r>
      <w:r w:rsidR="00441AD9">
        <w:t xml:space="preserve"> antenna arrays range from 4 to 76 elements and the</w:t>
      </w:r>
      <w:r>
        <w:t xml:space="preserve"> gains of the antennas used with its system vary between 6 and 24 </w:t>
      </w:r>
      <w:r>
        <w:t>dBi</w:t>
      </w:r>
      <w:r>
        <w:t xml:space="preserve">.  </w:t>
      </w:r>
      <w:r w:rsidR="006D314C">
        <w:t>Kongsberg</w:t>
      </w:r>
      <w:r>
        <w:t xml:space="preserve"> Waiver Request at 5.</w:t>
      </w:r>
    </w:p>
  </w:footnote>
  <w:footnote w:id="6">
    <w:p w:rsidR="00D53014" w14:paraId="44D0136A" w14:textId="02CB055B">
      <w:pPr>
        <w:pStyle w:val="FootnoteText"/>
      </w:pPr>
      <w:r>
        <w:rPr>
          <w:rStyle w:val="FootnoteReference"/>
        </w:rPr>
        <w:footnoteRef/>
      </w:r>
      <w:r>
        <w:t xml:space="preserve"> Kongsberg Waiver Request at 10.</w:t>
      </w:r>
    </w:p>
  </w:footnote>
  <w:footnote w:id="7">
    <w:p w:rsidR="00455445" w:rsidP="00455445" w14:paraId="054AE081" w14:textId="77777777">
      <w:pPr>
        <w:pStyle w:val="FootnoteText"/>
      </w:pPr>
      <w:r>
        <w:rPr>
          <w:rStyle w:val="FootnoteReference"/>
        </w:rPr>
        <w:footnoteRef/>
      </w:r>
      <w:r>
        <w:t xml:space="preserve"> </w:t>
      </w:r>
      <w:r w:rsidRPr="004002AC">
        <w:rPr>
          <w:i/>
        </w:rPr>
        <w:t xml:space="preserve">Office of Engineering </w:t>
      </w:r>
      <w:r>
        <w:rPr>
          <w:i/>
        </w:rPr>
        <w:t>a</w:t>
      </w:r>
      <w:r w:rsidRPr="004002AC">
        <w:rPr>
          <w:i/>
        </w:rPr>
        <w:t xml:space="preserve">nd Technology Seeks Comment </w:t>
      </w:r>
      <w:r>
        <w:rPr>
          <w:i/>
        </w:rPr>
        <w:t>o</w:t>
      </w:r>
      <w:r w:rsidRPr="004002AC">
        <w:rPr>
          <w:i/>
        </w:rPr>
        <w:t>n Hydroid Inc.’</w:t>
      </w:r>
      <w:r>
        <w:rPr>
          <w:i/>
        </w:rPr>
        <w:t>s</w:t>
      </w:r>
      <w:r w:rsidRPr="004002AC">
        <w:rPr>
          <w:i/>
        </w:rPr>
        <w:t xml:space="preserve"> Request </w:t>
      </w:r>
      <w:r>
        <w:rPr>
          <w:i/>
        </w:rPr>
        <w:t>f</w:t>
      </w:r>
      <w:r w:rsidRPr="004002AC">
        <w:rPr>
          <w:i/>
        </w:rPr>
        <w:t xml:space="preserve">or Waiver </w:t>
      </w:r>
      <w:r>
        <w:rPr>
          <w:i/>
        </w:rPr>
        <w:t>o</w:t>
      </w:r>
      <w:r w:rsidRPr="004002AC">
        <w:rPr>
          <w:i/>
        </w:rPr>
        <w:t>f Section 15.407(</w:t>
      </w:r>
      <w:r>
        <w:rPr>
          <w:i/>
        </w:rPr>
        <w:t>a</w:t>
      </w:r>
      <w:r w:rsidRPr="004002AC">
        <w:rPr>
          <w:i/>
        </w:rPr>
        <w:t xml:space="preserve">)(3) </w:t>
      </w:r>
      <w:r>
        <w:rPr>
          <w:i/>
        </w:rPr>
        <w:t>o</w:t>
      </w:r>
      <w:r w:rsidRPr="004002AC">
        <w:rPr>
          <w:i/>
        </w:rPr>
        <w:t xml:space="preserve">f </w:t>
      </w:r>
      <w:r>
        <w:rPr>
          <w:i/>
        </w:rPr>
        <w:t>t</w:t>
      </w:r>
      <w:r w:rsidRPr="004002AC">
        <w:rPr>
          <w:i/>
        </w:rPr>
        <w:t xml:space="preserve">he Rules </w:t>
      </w:r>
      <w:r>
        <w:rPr>
          <w:i/>
        </w:rPr>
        <w:t>f</w:t>
      </w:r>
      <w:r w:rsidRPr="004002AC">
        <w:rPr>
          <w:i/>
        </w:rPr>
        <w:t xml:space="preserve">or Unlicensed National Information Infrastructure Devices </w:t>
      </w:r>
      <w:r>
        <w:rPr>
          <w:i/>
        </w:rPr>
        <w:t>t</w:t>
      </w:r>
      <w:r w:rsidRPr="004002AC">
        <w:rPr>
          <w:i/>
        </w:rPr>
        <w:t>hat Emit Steerable Directional Beams</w:t>
      </w:r>
      <w:r>
        <w:t>, ET Docket No. 19-240, Public Notice, DA 19-826 (OET Aug. 27, 2019).</w:t>
      </w:r>
    </w:p>
  </w:footnote>
  <w:footnote w:id="8">
    <w:p w:rsidR="002E4134" w14:paraId="2CF8E8E2" w14:textId="7901D4C7">
      <w:pPr>
        <w:pStyle w:val="FootnoteText"/>
      </w:pPr>
      <w:r>
        <w:rPr>
          <w:rStyle w:val="FootnoteReference"/>
        </w:rPr>
        <w:footnoteRef/>
      </w:r>
      <w:r>
        <w:t xml:space="preserve"> </w:t>
      </w:r>
      <w:bookmarkStart w:id="3" w:name="_Hlk71271864"/>
      <w:r w:rsidRPr="00CE790D">
        <w:t xml:space="preserve">Letter from </w:t>
      </w:r>
      <w:r>
        <w:t>Tony S. Lee</w:t>
      </w:r>
      <w:r w:rsidRPr="00CE790D">
        <w:t xml:space="preserve">, </w:t>
      </w:r>
      <w:r>
        <w:t xml:space="preserve">Counsel to Kongsberg </w:t>
      </w:r>
      <w:r>
        <w:t>Seatex</w:t>
      </w:r>
      <w:r>
        <w:t xml:space="preserve"> AS</w:t>
      </w:r>
      <w:r w:rsidRPr="00CE790D">
        <w:t xml:space="preserve">, </w:t>
      </w:r>
      <w:r>
        <w:t>Fletcher, Heald and Hildreth</w:t>
      </w:r>
      <w:r w:rsidRPr="00CE790D">
        <w:t xml:space="preserve">, to Marlene H. Dortch, Secretary, FCC, </w:t>
      </w:r>
      <w:r>
        <w:t>ET</w:t>
      </w:r>
      <w:r w:rsidRPr="00CE790D">
        <w:t xml:space="preserve"> Docket No. 19</w:t>
      </w:r>
      <w:r>
        <w:t>-240</w:t>
      </w:r>
      <w:r w:rsidRPr="00CE790D">
        <w:t xml:space="preserve">, at </w:t>
      </w:r>
      <w:r>
        <w:t>2-5</w:t>
      </w:r>
      <w:r w:rsidRPr="00CE790D">
        <w:t xml:space="preserve"> (filed </w:t>
      </w:r>
      <w:r>
        <w:t>Sep</w:t>
      </w:r>
      <w:r w:rsidR="00803C74">
        <w:t>t</w:t>
      </w:r>
      <w:r w:rsidRPr="00CE790D">
        <w:t xml:space="preserve">. </w:t>
      </w:r>
      <w:r>
        <w:t>29</w:t>
      </w:r>
      <w:r w:rsidRPr="00CE790D">
        <w:t>, 20</w:t>
      </w:r>
      <w:r>
        <w:t>20</w:t>
      </w:r>
      <w:r w:rsidRPr="00CE790D">
        <w:t>)</w:t>
      </w:r>
      <w:bookmarkEnd w:id="3"/>
      <w:r w:rsidR="00555F0E">
        <w:t xml:space="preserve"> (Kongsberg Sep</w:t>
      </w:r>
      <w:r w:rsidR="00803C74">
        <w:t>t</w:t>
      </w:r>
      <w:r w:rsidR="00555F0E">
        <w:t xml:space="preserve">. 29, 2020 </w:t>
      </w:r>
      <w:r w:rsidR="00555F0E">
        <w:rPr>
          <w:i/>
          <w:iCs/>
        </w:rPr>
        <w:t>ex parte</w:t>
      </w:r>
      <w:r w:rsidR="00555F0E">
        <w:t>)</w:t>
      </w:r>
      <w:r w:rsidR="00AD4E52">
        <w:t xml:space="preserve">; </w:t>
      </w:r>
      <w:r w:rsidRPr="00CE790D" w:rsidR="00AD4E52">
        <w:t xml:space="preserve">Letter from </w:t>
      </w:r>
      <w:r w:rsidR="00AD4E52">
        <w:t>Tony S. Lee</w:t>
      </w:r>
      <w:r w:rsidRPr="00CE790D" w:rsidR="00AD4E52">
        <w:t xml:space="preserve">, </w:t>
      </w:r>
      <w:r w:rsidR="00AD4E52">
        <w:t xml:space="preserve">Counsel to Kongsberg </w:t>
      </w:r>
      <w:r w:rsidR="00AD4E52">
        <w:t>Seatex</w:t>
      </w:r>
      <w:r w:rsidR="00AD4E52">
        <w:t xml:space="preserve"> AS</w:t>
      </w:r>
      <w:r w:rsidRPr="00CE790D" w:rsidR="00AD4E52">
        <w:t xml:space="preserve">, </w:t>
      </w:r>
      <w:r w:rsidR="00AD4E52">
        <w:t>Fletcher, Heald and Hildreth</w:t>
      </w:r>
      <w:r w:rsidRPr="00CE790D" w:rsidR="00AD4E52">
        <w:t xml:space="preserve">, to Marlene H. Dortch, Secretary, FCC, </w:t>
      </w:r>
      <w:r w:rsidR="00AD4E52">
        <w:t>ET</w:t>
      </w:r>
      <w:r w:rsidRPr="00CE790D" w:rsidR="00AD4E52">
        <w:t xml:space="preserve"> Docket No. 19</w:t>
      </w:r>
      <w:r w:rsidR="00AD4E52">
        <w:t>-240</w:t>
      </w:r>
      <w:r w:rsidRPr="00CE790D" w:rsidR="00AD4E52">
        <w:t xml:space="preserve">, (filed </w:t>
      </w:r>
      <w:r w:rsidR="00AD4E52">
        <w:t>Jan</w:t>
      </w:r>
      <w:r w:rsidRPr="00CE790D" w:rsidR="00AD4E52">
        <w:t xml:space="preserve">. </w:t>
      </w:r>
      <w:r w:rsidR="00AD4E52">
        <w:t>15</w:t>
      </w:r>
      <w:r w:rsidRPr="00CE790D" w:rsidR="00AD4E52">
        <w:t>, 20</w:t>
      </w:r>
      <w:r w:rsidR="00AD4E52">
        <w:t>21</w:t>
      </w:r>
      <w:r w:rsidRPr="00CE790D" w:rsidR="00AD4E52">
        <w:t>)</w:t>
      </w:r>
      <w:r w:rsidR="00AD4E52">
        <w:t xml:space="preserve"> (Kongsberg Jan. 15, 2021 </w:t>
      </w:r>
      <w:r w:rsidR="00AD4E52">
        <w:rPr>
          <w:i/>
          <w:iCs/>
        </w:rPr>
        <w:t>ex parte</w:t>
      </w:r>
      <w:r w:rsidR="00AD4E52">
        <w:t>)</w:t>
      </w:r>
      <w:r w:rsidR="00596286">
        <w:t xml:space="preserve">; </w:t>
      </w:r>
      <w:r w:rsidRPr="00CE790D" w:rsidR="00596286">
        <w:t xml:space="preserve">Letter from </w:t>
      </w:r>
      <w:r w:rsidR="00596286">
        <w:t>Tony S. Lee</w:t>
      </w:r>
      <w:r w:rsidRPr="00CE790D" w:rsidR="00596286">
        <w:t xml:space="preserve">, </w:t>
      </w:r>
      <w:r w:rsidR="00596286">
        <w:t xml:space="preserve">Counsel to Kongsberg </w:t>
      </w:r>
      <w:r w:rsidR="00596286">
        <w:t>Seatex</w:t>
      </w:r>
      <w:r w:rsidR="00596286">
        <w:t xml:space="preserve"> AS</w:t>
      </w:r>
      <w:r w:rsidRPr="00CE790D" w:rsidR="00596286">
        <w:t xml:space="preserve">, </w:t>
      </w:r>
      <w:r w:rsidR="00596286">
        <w:t>Fletcher, Heald and Hildreth</w:t>
      </w:r>
      <w:r w:rsidRPr="00CE790D" w:rsidR="00596286">
        <w:t xml:space="preserve">, to Marlene H. Dortch, Secretary, FCC, </w:t>
      </w:r>
      <w:r w:rsidR="00596286">
        <w:t>ET</w:t>
      </w:r>
      <w:r w:rsidRPr="00CE790D" w:rsidR="00596286">
        <w:t xml:space="preserve"> Docket No. 19</w:t>
      </w:r>
      <w:r w:rsidR="00596286">
        <w:t>-240</w:t>
      </w:r>
      <w:r w:rsidRPr="00CE790D" w:rsidR="00596286">
        <w:t xml:space="preserve">, (filed </w:t>
      </w:r>
      <w:r w:rsidR="001D46C9">
        <w:t>Jun. 6</w:t>
      </w:r>
      <w:r w:rsidRPr="00CE790D" w:rsidR="00596286">
        <w:t>, 20</w:t>
      </w:r>
      <w:r w:rsidR="00596286">
        <w:t>22</w:t>
      </w:r>
      <w:r w:rsidRPr="00CE790D" w:rsidR="00596286">
        <w:t>)</w:t>
      </w:r>
      <w:r w:rsidR="00596286">
        <w:t xml:space="preserve"> (Kongsberg </w:t>
      </w:r>
      <w:r w:rsidR="001D46C9">
        <w:t>Jun. 6</w:t>
      </w:r>
      <w:r w:rsidR="00596286">
        <w:t xml:space="preserve">, 2022 </w:t>
      </w:r>
      <w:r w:rsidR="00596286">
        <w:rPr>
          <w:i/>
          <w:iCs/>
        </w:rPr>
        <w:t>ex parte</w:t>
      </w:r>
      <w:r w:rsidR="00596286">
        <w:t>)</w:t>
      </w:r>
      <w:r w:rsidRPr="00CE790D">
        <w:t>.</w:t>
      </w:r>
    </w:p>
  </w:footnote>
  <w:footnote w:id="9">
    <w:p w:rsidR="00455445" w:rsidP="00455445" w14:paraId="39DAD7ED" w14:textId="77777777">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10">
    <w:p w:rsidR="00455445" w:rsidP="00455445" w14:paraId="1B9A60BD" w14:textId="77777777">
      <w:pPr>
        <w:pStyle w:val="FootnoteText"/>
      </w:pPr>
      <w:r>
        <w:rPr>
          <w:rStyle w:val="FootnoteReference"/>
        </w:rPr>
        <w:footnoteRef/>
      </w:r>
      <w:r>
        <w:t xml:space="preserve"> </w:t>
      </w:r>
      <w:r>
        <w:rPr>
          <w:i/>
        </w:rPr>
        <w:t>Northeast Cellular</w:t>
      </w:r>
      <w:r>
        <w:t xml:space="preserve">, 897 F.2d at 1166; </w:t>
      </w:r>
      <w:r>
        <w:rPr>
          <w:i/>
        </w:rPr>
        <w:t>see also</w:t>
      </w:r>
      <w:r>
        <w:t xml:space="preserve"> </w:t>
      </w:r>
      <w:hyperlink r:id="rId5" w:tgtFrame="_top" w:history="1">
        <w:r>
          <w:rPr>
            <w:i/>
          </w:rPr>
          <w:t>ICO Global Communications</w:t>
        </w:r>
        <w:r>
          <w:t>, 428 F.3d at 269</w:t>
        </w:r>
      </w:hyperlink>
      <w:r>
        <w:t xml:space="preserve"> (quoting </w:t>
      </w:r>
      <w:r>
        <w:rPr>
          <w:i/>
        </w:rPr>
        <w:t>Northeast Cellular</w:t>
      </w:r>
      <w:r>
        <w:t xml:space="preserve">); </w:t>
      </w:r>
      <w:hyperlink r:id="rId6" w:tgtFrame="_top" w:history="1">
        <w:r>
          <w:rPr>
            <w:i/>
          </w:rPr>
          <w:t>WAIT Radio</w:t>
        </w:r>
        <w:r>
          <w:t>, 418 F.2d at 1157-59</w:t>
        </w:r>
      </w:hyperlink>
      <w:r>
        <w:t>.</w:t>
      </w:r>
    </w:p>
  </w:footnote>
  <w:footnote w:id="11">
    <w:p w:rsidR="00455445" w:rsidP="00455445" w14:paraId="0C7DEAA3" w14:textId="77777777">
      <w:pPr>
        <w:pStyle w:val="FootnoteText"/>
      </w:pPr>
      <w:r>
        <w:rPr>
          <w:rStyle w:val="FootnoteReference"/>
        </w:rPr>
        <w:footnoteRef/>
      </w:r>
      <w:r>
        <w:t xml:space="preserve"> </w:t>
      </w:r>
      <w:r w:rsidRPr="00865BAF">
        <w:rPr>
          <w:i/>
        </w:rPr>
        <w:t>See, e.g.</w:t>
      </w:r>
      <w:r w:rsidRPr="00865BAF">
        <w:t xml:space="preserve">, </w:t>
      </w:r>
      <w:hyperlink r:id="rId6"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12">
    <w:p w:rsidR="00B76F20" w14:paraId="4AF4C762" w14:textId="09289838">
      <w:pPr>
        <w:pStyle w:val="FootnoteText"/>
      </w:pPr>
      <w:r>
        <w:rPr>
          <w:rStyle w:val="FootnoteReference"/>
        </w:rPr>
        <w:footnoteRef/>
      </w:r>
      <w:r>
        <w:t xml:space="preserve"> </w:t>
      </w:r>
      <w:r w:rsidR="006D314C">
        <w:t>Kongsberg</w:t>
      </w:r>
      <w:r>
        <w:t xml:space="preserve"> Waiver Request at 6</w:t>
      </w:r>
      <w:r w:rsidR="00160CD9">
        <w:t xml:space="preserve">.  The </w:t>
      </w:r>
      <w:r w:rsidR="00D55DB6">
        <w:t xml:space="preserve">University of New Hampshire </w:t>
      </w:r>
      <w:r w:rsidR="00160CD9">
        <w:t>states that it</w:t>
      </w:r>
      <w:r w:rsidR="00C97FFD">
        <w:t xml:space="preserve">s real-world experience with </w:t>
      </w:r>
      <w:r w:rsidR="00160CD9">
        <w:t xml:space="preserve">the </w:t>
      </w:r>
      <w:r w:rsidR="006D314C">
        <w:t>Kongsberg</w:t>
      </w:r>
      <w:r w:rsidR="00684E0C">
        <w:t xml:space="preserve"> </w:t>
      </w:r>
      <w:r w:rsidR="00160CD9">
        <w:t xml:space="preserve">system </w:t>
      </w:r>
      <w:r w:rsidR="00C97FFD">
        <w:t xml:space="preserve">has resulted in </w:t>
      </w:r>
      <w:r w:rsidR="00160CD9">
        <w:t xml:space="preserve">ranges of more than 12 kilometers.  University of New Hampshire </w:t>
      </w:r>
      <w:r w:rsidR="00D55DB6">
        <w:t>Comments at 1.</w:t>
      </w:r>
    </w:p>
  </w:footnote>
  <w:footnote w:id="13">
    <w:p w:rsidR="00B76F20" w14:paraId="4A66B0BA" w14:textId="430FE2BE">
      <w:pPr>
        <w:pStyle w:val="FootnoteText"/>
      </w:pPr>
      <w:r>
        <w:rPr>
          <w:rStyle w:val="FootnoteReference"/>
        </w:rPr>
        <w:footnoteRef/>
      </w:r>
      <w:r>
        <w:t xml:space="preserve"> </w:t>
      </w:r>
      <w:r w:rsidR="006D314C">
        <w:t>Kongsberg</w:t>
      </w:r>
      <w:r>
        <w:t xml:space="preserve"> Waiver Request at 3-4.</w:t>
      </w:r>
    </w:p>
  </w:footnote>
  <w:footnote w:id="14">
    <w:p w:rsidR="004A0465" w14:paraId="22094503" w14:textId="75645DE7">
      <w:pPr>
        <w:pStyle w:val="FootnoteText"/>
      </w:pPr>
      <w:r>
        <w:rPr>
          <w:rStyle w:val="FootnoteReference"/>
        </w:rPr>
        <w:footnoteRef/>
      </w:r>
      <w:r>
        <w:t xml:space="preserve"> </w:t>
      </w:r>
      <w:r w:rsidR="006D314C">
        <w:t>Kongsberg</w:t>
      </w:r>
      <w:r>
        <w:t xml:space="preserve"> Waiver Request at 7</w:t>
      </w:r>
      <w:r w:rsidR="00A140F6">
        <w:t xml:space="preserve"> (citing Federal Government provisions that </w:t>
      </w:r>
      <w:r w:rsidR="00C97FFD">
        <w:t xml:space="preserve">facilitate agencies’ </w:t>
      </w:r>
      <w:r w:rsidR="00A140F6">
        <w:t xml:space="preserve">purchase </w:t>
      </w:r>
      <w:r w:rsidR="00C97FFD">
        <w:t xml:space="preserve">of </w:t>
      </w:r>
      <w:r w:rsidR="00A140F6">
        <w:t>non-licensed devices for which the FCC has granted a waiver</w:t>
      </w:r>
      <w:r w:rsidR="003D50A2">
        <w:t>)</w:t>
      </w:r>
      <w:r w:rsidR="00C97FFD">
        <w:t>.</w:t>
      </w:r>
    </w:p>
  </w:footnote>
  <w:footnote w:id="15">
    <w:p w:rsidR="004A0465" w:rsidP="004A0465" w14:paraId="05CB718A" w14:textId="290B4BF9">
      <w:pPr>
        <w:pStyle w:val="FootnoteText"/>
      </w:pPr>
      <w:r>
        <w:rPr>
          <w:rStyle w:val="FootnoteReference"/>
        </w:rPr>
        <w:footnoteRef/>
      </w:r>
      <w:r>
        <w:t xml:space="preserve"> University of New Hampshire Comments at 1 (no other telemetry system capable of the data throughput at the ranges required); </w:t>
      </w:r>
      <w:r w:rsidR="006D314C">
        <w:t>Kongsberg</w:t>
      </w:r>
      <w:r>
        <w:t xml:space="preserve"> Waiver Request at 7.</w:t>
      </w:r>
    </w:p>
  </w:footnote>
  <w:footnote w:id="16">
    <w:p w:rsidR="00160CD9" w14:paraId="1BC2A47F" w14:textId="722C6CE7">
      <w:pPr>
        <w:pStyle w:val="FootnoteText"/>
      </w:pPr>
      <w:r>
        <w:rPr>
          <w:rStyle w:val="FootnoteReference"/>
        </w:rPr>
        <w:footnoteRef/>
      </w:r>
      <w:r>
        <w:t xml:space="preserve"> </w:t>
      </w:r>
      <w:r w:rsidR="006D314C">
        <w:t>Kongsberg</w:t>
      </w:r>
      <w:r>
        <w:t xml:space="preserve"> Waiver Request at 7.</w:t>
      </w:r>
    </w:p>
  </w:footnote>
  <w:footnote w:id="17">
    <w:p w:rsidR="00731233" w:rsidP="00731233" w14:paraId="54E43925" w14:textId="2141F44C">
      <w:pPr>
        <w:pStyle w:val="FootnoteText"/>
      </w:pPr>
      <w:r>
        <w:rPr>
          <w:rStyle w:val="FootnoteReference"/>
        </w:rPr>
        <w:footnoteRef/>
      </w:r>
      <w:r>
        <w:t xml:space="preserve"> 47 CFR § 2.106.  The federal radiolocation allocation covers the entire 5725-5850 MHz band where </w:t>
      </w:r>
      <w:r w:rsidR="006D314C">
        <w:t>Kongsberg</w:t>
      </w:r>
      <w:r>
        <w:t xml:space="preserve"> plans to operate.  The 5725-5830 MHz portion of this band contains a secondary amateur allocation, and the 5830-5850 MHz portion contains both a secondary amateur allocation and a secondary amateur (space-to-Earth) allocation.  </w:t>
      </w:r>
      <w:r w:rsidR="00A74360">
        <w:t xml:space="preserve">In addition, </w:t>
      </w:r>
      <w:r w:rsidRPr="00A74360" w:rsidR="00A74360">
        <w:t>t</w:t>
      </w:r>
      <w:r w:rsidRPr="00A74360" w:rsidR="002E1168">
        <w:t xml:space="preserve">he </w:t>
      </w:r>
      <w:r w:rsidRPr="00407F77" w:rsidR="00E85F3F">
        <w:t>5725-5850 MHz band falls within the 5725-5875 MHz band</w:t>
      </w:r>
      <w:r w:rsidRPr="00A74360" w:rsidR="00A74360">
        <w:t>, which</w:t>
      </w:r>
      <w:r w:rsidR="00A74360">
        <w:t xml:space="preserve"> </w:t>
      </w:r>
      <w:r w:rsidR="002E1168">
        <w:t>is designated for use by industrial, scientific, and medical (</w:t>
      </w:r>
      <w:r>
        <w:t>ISM</w:t>
      </w:r>
      <w:r w:rsidR="002E1168">
        <w:t>)</w:t>
      </w:r>
      <w:r>
        <w:t xml:space="preserve"> equipment</w:t>
      </w:r>
      <w:r w:rsidR="005F6089">
        <w:t xml:space="preserve">.  47 CFR §§ 18.107(c) and 18.301. </w:t>
      </w:r>
      <w:r w:rsidR="00A74360">
        <w:t xml:space="preserve"> </w:t>
      </w:r>
      <w:r w:rsidR="005F6089">
        <w:t>ISM equipment</w:t>
      </w:r>
      <w:r w:rsidR="00A74360">
        <w:t xml:space="preserve"> </w:t>
      </w:r>
      <w:r>
        <w:t>uses radiofrequency energy for non-communication purposes</w:t>
      </w:r>
      <w:r w:rsidR="00A74360">
        <w:t>.</w:t>
      </w:r>
    </w:p>
  </w:footnote>
  <w:footnote w:id="18">
    <w:p w:rsidR="00FF6013" w:rsidP="00FF6013" w14:paraId="4C2CA6E1" w14:textId="1CBA3B25">
      <w:pPr>
        <w:pStyle w:val="FootnoteText"/>
      </w:pPr>
      <w:r>
        <w:rPr>
          <w:rStyle w:val="FootnoteReference"/>
        </w:rPr>
        <w:footnoteRef/>
      </w:r>
      <w:r>
        <w:t xml:space="preserve"> The Office of Engineering and Technology previously granted a waiver of this same rule to permit high-gain antennas to be used by U-NII devices on trains.  Letter from Julius Knapp, Chief, Office of Engineering and Technology, to Robert D. Primosch, Counsel for Amtrak, ET Docket No. 16-415, DA 17-441 (</w:t>
      </w:r>
      <w:r w:rsidR="00607AEB">
        <w:t xml:space="preserve">filed </w:t>
      </w:r>
      <w:r>
        <w:t>June 1, 2017).</w:t>
      </w:r>
    </w:p>
  </w:footnote>
  <w:footnote w:id="19">
    <w:p w:rsidR="00A03CEA" w:rsidP="00A03CEA" w14:paraId="28EF8B7E" w14:textId="485007BA">
      <w:pPr>
        <w:pStyle w:val="FootnoteText"/>
      </w:pPr>
      <w:r>
        <w:rPr>
          <w:rStyle w:val="FootnoteReference"/>
        </w:rPr>
        <w:footnoteRef/>
      </w:r>
      <w:r>
        <w:t xml:space="preserve"> </w:t>
      </w:r>
      <w:r w:rsidR="006D314C">
        <w:t>Kongsberg</w:t>
      </w:r>
      <w:r>
        <w:t xml:space="preserve"> Waiver Request at 5.</w:t>
      </w:r>
    </w:p>
  </w:footnote>
  <w:footnote w:id="20">
    <w:p w:rsidR="00D65B7E" w14:paraId="7FA8FC76" w14:textId="1A4CD716">
      <w:pPr>
        <w:pStyle w:val="FootnoteText"/>
      </w:pPr>
      <w:r>
        <w:rPr>
          <w:rStyle w:val="FootnoteReference"/>
        </w:rPr>
        <w:footnoteRef/>
      </w:r>
      <w:r>
        <w:t xml:space="preserve"> </w:t>
      </w:r>
      <w:r w:rsidR="006D314C">
        <w:t>Kongsberg</w:t>
      </w:r>
      <w:r>
        <w:t xml:space="preserve"> Waiver Request at 8.</w:t>
      </w:r>
    </w:p>
  </w:footnote>
  <w:footnote w:id="21">
    <w:p w:rsidR="003F6F16" w14:paraId="1927CB10" w14:textId="0AC3FDDE">
      <w:pPr>
        <w:pStyle w:val="FootnoteText"/>
      </w:pPr>
      <w:r>
        <w:rPr>
          <w:rStyle w:val="FootnoteReference"/>
        </w:rPr>
        <w:footnoteRef/>
      </w:r>
      <w:r>
        <w:t xml:space="preserve"> Kongsberg Sept. 29, 2020 </w:t>
      </w:r>
      <w:r w:rsidR="00D15F69">
        <w:rPr>
          <w:i/>
          <w:iCs/>
        </w:rPr>
        <w:t>e</w:t>
      </w:r>
      <w:r w:rsidRPr="00814DD9">
        <w:rPr>
          <w:i/>
          <w:iCs/>
        </w:rPr>
        <w:t xml:space="preserve">x </w:t>
      </w:r>
      <w:r w:rsidR="00D15F69">
        <w:rPr>
          <w:i/>
          <w:iCs/>
        </w:rPr>
        <w:t>p</w:t>
      </w:r>
      <w:r w:rsidRPr="00814DD9">
        <w:rPr>
          <w:i/>
          <w:iCs/>
        </w:rPr>
        <w:t>arte</w:t>
      </w:r>
      <w:r>
        <w:t xml:space="preserve"> at 1-2 (citing U.S. </w:t>
      </w:r>
      <w:r>
        <w:t>Dep’t</w:t>
      </w:r>
      <w:r>
        <w:t xml:space="preserve"> of Commerce, Technical Report TR-10-544, </w:t>
      </w:r>
      <w:r w:rsidRPr="00814DD9">
        <w:rPr>
          <w:i/>
          <w:iCs/>
        </w:rPr>
        <w:t>National Telecommunications and Information Administration: Lessons Learned from the Development and Deployment of 5 GHz Unlicensed National Information Infrastructure (U-NII) Dynamic Frequency Selection</w:t>
      </w:r>
      <w:r>
        <w:t xml:space="preserve"> (2019), https://www.its.bldrdoc.gov/publications/download/TR-20-544.pdf (last viewed Dec. 3, 2020).</w:t>
      </w:r>
    </w:p>
  </w:footnote>
  <w:footnote w:id="22">
    <w:p w:rsidR="003F6F16" w14:paraId="084BA4B5" w14:textId="6DE149AA">
      <w:pPr>
        <w:pStyle w:val="FootnoteText"/>
      </w:pPr>
      <w:r>
        <w:rPr>
          <w:rStyle w:val="FootnoteReference"/>
        </w:rPr>
        <w:footnoteRef/>
      </w:r>
      <w:r>
        <w:t xml:space="preserve"> </w:t>
      </w:r>
      <w:r w:rsidR="00253F5D">
        <w:t xml:space="preserve">Kongsberg Sept. 29, 2020 </w:t>
      </w:r>
      <w:r w:rsidR="00253F5D">
        <w:rPr>
          <w:i/>
          <w:iCs/>
        </w:rPr>
        <w:t>e</w:t>
      </w:r>
      <w:r w:rsidRPr="00814DD9" w:rsidR="00253F5D">
        <w:rPr>
          <w:i/>
          <w:iCs/>
        </w:rPr>
        <w:t xml:space="preserve">x </w:t>
      </w:r>
      <w:r w:rsidR="00253F5D">
        <w:rPr>
          <w:i/>
          <w:iCs/>
        </w:rPr>
        <w:t>p</w:t>
      </w:r>
      <w:r w:rsidRPr="00814DD9" w:rsidR="00253F5D">
        <w:rPr>
          <w:i/>
          <w:iCs/>
        </w:rPr>
        <w:t>arte</w:t>
      </w:r>
      <w:r w:rsidR="00253F5D">
        <w:t xml:space="preserve"> at 2</w:t>
      </w:r>
      <w:r>
        <w:t>.</w:t>
      </w:r>
    </w:p>
  </w:footnote>
  <w:footnote w:id="23">
    <w:p w:rsidR="005F05AF" w14:paraId="5450562C" w14:textId="2E95B678">
      <w:pPr>
        <w:pStyle w:val="FootnoteText"/>
      </w:pPr>
      <w:r>
        <w:rPr>
          <w:rStyle w:val="FootnoteReference"/>
        </w:rPr>
        <w:footnoteRef/>
      </w:r>
      <w:r>
        <w:t xml:space="preserve"> Kongsberg’s</w:t>
      </w:r>
      <w:r w:rsidRPr="005F05AF">
        <w:t xml:space="preserve"> 5-kilometer exclusion zone is a square, while </w:t>
      </w:r>
      <w:r>
        <w:t>its</w:t>
      </w:r>
      <w:r w:rsidRPr="005F05AF">
        <w:t xml:space="preserve"> 5</w:t>
      </w:r>
      <w:r w:rsidR="00431932">
        <w:t>3</w:t>
      </w:r>
      <w:r w:rsidRPr="005F05AF">
        <w:t xml:space="preserve">-kilometer exclusion zone is a polygon.  Because of these shapes, much of </w:t>
      </w:r>
      <w:r>
        <w:t>the area in those zones is</w:t>
      </w:r>
      <w:r w:rsidRPr="005F05AF">
        <w:t xml:space="preserve"> actually farther away from the base than 5 or 5</w:t>
      </w:r>
      <w:r w:rsidR="00431932">
        <w:t>3</w:t>
      </w:r>
      <w:r w:rsidRPr="005F05AF">
        <w:t xml:space="preserve"> </w:t>
      </w:r>
      <w:r>
        <w:t>kilometers</w:t>
      </w:r>
      <w:r w:rsidRPr="005F05AF">
        <w:t xml:space="preserve">.  </w:t>
      </w:r>
    </w:p>
  </w:footnote>
  <w:footnote w:id="24">
    <w:p w:rsidR="00E332D5" w:rsidRPr="009201D9" w14:paraId="118398F4" w14:textId="2C2611E9">
      <w:pPr>
        <w:pStyle w:val="FootnoteText"/>
      </w:pPr>
      <w:r w:rsidRPr="00D848AD">
        <w:rPr>
          <w:rStyle w:val="FootnoteReference"/>
        </w:rPr>
        <w:footnoteRef/>
      </w:r>
      <w:r w:rsidRPr="00D848AD" w:rsidR="00D848AD">
        <w:t xml:space="preserve"> </w:t>
      </w:r>
      <w:r w:rsidRPr="00D848AD">
        <w:t>47</w:t>
      </w:r>
      <w:r>
        <w:t xml:space="preserve"> CFR § 15.407(</w:t>
      </w:r>
      <w:r w:rsidR="009201D9">
        <w:t xml:space="preserve">b)(4) and </w:t>
      </w:r>
      <w:bookmarkStart w:id="10" w:name="_Hlk53568781"/>
      <w:r w:rsidR="009201D9">
        <w:t>Kongsberg Sep</w:t>
      </w:r>
      <w:r w:rsidR="00803C74">
        <w:t>t</w:t>
      </w:r>
      <w:r w:rsidR="009201D9">
        <w:t xml:space="preserve">. 29, 2020 </w:t>
      </w:r>
      <w:r w:rsidR="009201D9">
        <w:rPr>
          <w:i/>
          <w:iCs/>
        </w:rPr>
        <w:t>ex parte</w:t>
      </w:r>
      <w:r w:rsidR="009201D9">
        <w:t xml:space="preserve"> at </w:t>
      </w:r>
      <w:r w:rsidR="00D848AD">
        <w:t>3.</w:t>
      </w:r>
      <w:bookmarkEnd w:id="10"/>
    </w:p>
  </w:footnote>
  <w:footnote w:id="25">
    <w:p w:rsidR="00F04DC8" w:rsidRPr="00F04DC8" w14:paraId="73EB4BAA" w14:textId="693A2814">
      <w:pPr>
        <w:pStyle w:val="FootnoteText"/>
      </w:pPr>
      <w:r>
        <w:rPr>
          <w:rStyle w:val="FootnoteReference"/>
        </w:rPr>
        <w:footnoteRef/>
      </w:r>
      <w:r>
        <w:t xml:space="preserve"> Kongsberg </w:t>
      </w:r>
      <w:r w:rsidR="00942505">
        <w:t>Jun. 6</w:t>
      </w:r>
      <w:r>
        <w:t xml:space="preserve">, 2022 </w:t>
      </w:r>
      <w:r>
        <w:rPr>
          <w:i/>
          <w:iCs/>
        </w:rPr>
        <w:t>ex parte</w:t>
      </w:r>
      <w:r>
        <w:t xml:space="preserve"> at 1</w:t>
      </w:r>
      <w:r w:rsidR="00942505">
        <w:t>-2</w:t>
      </w:r>
      <w:r>
        <w:t>.</w:t>
      </w:r>
    </w:p>
  </w:footnote>
  <w:footnote w:id="26">
    <w:p w:rsidR="00ED3BC5" w14:paraId="29756E76" w14:textId="77208345">
      <w:pPr>
        <w:pStyle w:val="FootnoteText"/>
      </w:pPr>
      <w:r>
        <w:rPr>
          <w:rStyle w:val="FootnoteReference"/>
        </w:rPr>
        <w:footnoteRef/>
      </w:r>
      <w:r>
        <w:t xml:space="preserve"> </w:t>
      </w:r>
      <w:r w:rsidR="00C77D9A">
        <w:t xml:space="preserve">Kongsberg </w:t>
      </w:r>
      <w:r>
        <w:t xml:space="preserve">indicates that </w:t>
      </w:r>
      <w:r w:rsidRPr="00ED3BC5">
        <w:t xml:space="preserve">NASA may provide some flexibility </w:t>
      </w:r>
      <w:r w:rsidR="000D223D">
        <w:t>regarding</w:t>
      </w:r>
      <w:r w:rsidRPr="00ED3BC5">
        <w:t xml:space="preserve"> the boundaries of the Wallops Island and Coquina </w:t>
      </w:r>
      <w:r>
        <w:t>exclusion zones for</w:t>
      </w:r>
      <w:r w:rsidRPr="00ED3BC5">
        <w:t xml:space="preserve"> channel IV after pre-coordination </w:t>
      </w:r>
      <w:r>
        <w:t xml:space="preserve">with </w:t>
      </w:r>
      <w:r w:rsidRPr="00ED3BC5">
        <w:t xml:space="preserve">and approval of NASA </w:t>
      </w:r>
      <w:r w:rsidR="00C77D9A">
        <w:t xml:space="preserve">Wallops Flight Facility </w:t>
      </w:r>
      <w:r w:rsidRPr="00ED3BC5">
        <w:t>spectrum managers</w:t>
      </w:r>
      <w:r>
        <w:t>.</w:t>
      </w:r>
      <w:r w:rsidR="00C77D9A">
        <w:t xml:space="preserve">  Kongsberg </w:t>
      </w:r>
      <w:r w:rsidR="00942505">
        <w:t>Jun. 6</w:t>
      </w:r>
      <w:r w:rsidRPr="00C77D9A" w:rsidR="00C77D9A">
        <w:t xml:space="preserve">, 2022 </w:t>
      </w:r>
      <w:r w:rsidRPr="00942505" w:rsidR="00C77D9A">
        <w:rPr>
          <w:i/>
          <w:iCs/>
        </w:rPr>
        <w:t>ex parte</w:t>
      </w:r>
      <w:r w:rsidRPr="00C77D9A" w:rsidR="00C77D9A">
        <w:t xml:space="preserve"> at </w:t>
      </w:r>
      <w:r w:rsidR="00942505">
        <w:t>2</w:t>
      </w:r>
      <w:r w:rsidRPr="00C77D9A" w:rsidR="00C77D9A">
        <w:t>.</w:t>
      </w:r>
    </w:p>
  </w:footnote>
  <w:footnote w:id="27">
    <w:p w:rsidR="00C633F9" w:rsidRPr="00C633F9" w14:paraId="613B1325" w14:textId="141448D1">
      <w:pPr>
        <w:pStyle w:val="FootnoteText"/>
      </w:pPr>
      <w:r>
        <w:rPr>
          <w:rStyle w:val="FootnoteReference"/>
        </w:rPr>
        <w:footnoteRef/>
      </w:r>
      <w:r>
        <w:t xml:space="preserve"> Kongsberg </w:t>
      </w:r>
      <w:bookmarkStart w:id="12" w:name="_Hlk104995258"/>
      <w:r w:rsidR="00942505">
        <w:t>Jun. 6,</w:t>
      </w:r>
      <w:r>
        <w:t xml:space="preserve"> 2022 </w:t>
      </w:r>
      <w:r>
        <w:rPr>
          <w:i/>
          <w:iCs/>
        </w:rPr>
        <w:t>ex parte</w:t>
      </w:r>
      <w:r>
        <w:t xml:space="preserve"> at</w:t>
      </w:r>
      <w:r w:rsidR="00C075F2">
        <w:t xml:space="preserve"> </w:t>
      </w:r>
      <w:r w:rsidR="00942505">
        <w:t>2</w:t>
      </w:r>
      <w:r>
        <w:t>.</w:t>
      </w:r>
      <w:bookmarkEnd w:id="12"/>
    </w:p>
  </w:footnote>
  <w:footnote w:id="28">
    <w:p w:rsidR="00562A22" w:rsidP="00562A22" w14:paraId="6AEF131C" w14:textId="564CC8DB">
      <w:pPr>
        <w:pStyle w:val="FootnoteText"/>
      </w:pPr>
      <w:r>
        <w:rPr>
          <w:rStyle w:val="FootnoteReference"/>
        </w:rPr>
        <w:footnoteRef/>
      </w:r>
      <w:r>
        <w:t xml:space="preserve"> Kongsberg Waiver Request at 10.</w:t>
      </w:r>
    </w:p>
  </w:footnote>
  <w:footnote w:id="29">
    <w:p w:rsidR="002C2466" w:rsidP="002C2466" w14:paraId="1E70034C" w14:textId="7039515B">
      <w:pPr>
        <w:pStyle w:val="FootnoteText"/>
      </w:pPr>
      <w:r>
        <w:rPr>
          <w:rStyle w:val="FootnoteReference"/>
        </w:rPr>
        <w:footnoteRef/>
      </w:r>
      <w:r>
        <w:t xml:space="preserve"> </w:t>
      </w:r>
      <w:bookmarkStart w:id="13" w:name="_Hlk53669877"/>
      <w:r w:rsidR="006D314C">
        <w:t>Kongsberg</w:t>
      </w:r>
      <w:r>
        <w:t xml:space="preserve"> Waiver Request at 10</w:t>
      </w:r>
      <w:r w:rsidR="00C72CBF">
        <w:t xml:space="preserve"> and</w:t>
      </w:r>
      <w:r w:rsidR="00562A22">
        <w:t xml:space="preserve"> </w:t>
      </w:r>
      <w:bookmarkStart w:id="14" w:name="_Hlk62132458"/>
      <w:r w:rsidR="00562A22">
        <w:t xml:space="preserve">Kongsberg Jan. 15, 2021 </w:t>
      </w:r>
      <w:r w:rsidR="00562A22">
        <w:rPr>
          <w:i/>
          <w:iCs/>
        </w:rPr>
        <w:t>ex parte</w:t>
      </w:r>
      <w:r w:rsidR="00562A22">
        <w:t xml:space="preserve"> at</w:t>
      </w:r>
      <w:r w:rsidR="00BA75B5">
        <w:t xml:space="preserve"> 3</w:t>
      </w:r>
      <w:bookmarkEnd w:id="14"/>
      <w:r>
        <w:t>.</w:t>
      </w:r>
      <w:bookmarkEnd w:id="13"/>
    </w:p>
  </w:footnote>
  <w:footnote w:id="30">
    <w:p w:rsidR="002C2466" w:rsidRPr="00BF2386" w:rsidP="002C2466" w14:paraId="4A3B4490" w14:textId="43AFB881">
      <w:pPr>
        <w:pStyle w:val="FootnoteText"/>
        <w:rPr>
          <w:i/>
          <w:iCs/>
        </w:rPr>
      </w:pPr>
      <w:r>
        <w:rPr>
          <w:rStyle w:val="FootnoteReference"/>
        </w:rPr>
        <w:footnoteRef/>
      </w:r>
      <w:r>
        <w:t xml:space="preserve"> </w:t>
      </w:r>
      <w:r w:rsidR="00634A47">
        <w:t>Kongsberg Waiver Request at 10</w:t>
      </w:r>
      <w:r w:rsidR="004A7067">
        <w:t xml:space="preserve">.  </w:t>
      </w:r>
      <w:r w:rsidR="004A7067">
        <w:rPr>
          <w:i/>
          <w:iCs/>
        </w:rPr>
        <w:t>See also</w:t>
      </w:r>
      <w:r w:rsidR="00634A47">
        <w:t xml:space="preserve"> Kongsberg Sep</w:t>
      </w:r>
      <w:r w:rsidR="00803C74">
        <w:t>t</w:t>
      </w:r>
      <w:r w:rsidR="00634A47">
        <w:t xml:space="preserve">. 29, 2020 </w:t>
      </w:r>
      <w:r w:rsidR="00634A47">
        <w:rPr>
          <w:i/>
          <w:iCs/>
        </w:rPr>
        <w:t>ex parte</w:t>
      </w:r>
      <w:r w:rsidR="00634A47">
        <w:t xml:space="preserve"> at </w:t>
      </w:r>
      <w:r w:rsidR="00053523">
        <w:t>3</w:t>
      </w:r>
      <w:r w:rsidR="00634A47">
        <w:t>-5</w:t>
      </w:r>
      <w:r w:rsidR="00C72CBF">
        <w:t xml:space="preserve"> and</w:t>
      </w:r>
      <w:r w:rsidR="006D1830">
        <w:t xml:space="preserve"> Kongsberg Jan. 15, 2021 </w:t>
      </w:r>
      <w:r w:rsidR="006D1830">
        <w:rPr>
          <w:i/>
          <w:iCs/>
        </w:rPr>
        <w:t>ex parte</w:t>
      </w:r>
      <w:r w:rsidR="006D1830">
        <w:t xml:space="preserve"> at 1-3</w:t>
      </w:r>
      <w:r w:rsidR="00053523">
        <w:t xml:space="preserve"> (including clarification that the specified emission mask applies on all channels).</w:t>
      </w:r>
    </w:p>
  </w:footnote>
  <w:footnote w:id="31">
    <w:p w:rsidR="00221CE6" w:rsidRPr="00975A0A" w14:paraId="26199B5D" w14:textId="5FA4D461">
      <w:pPr>
        <w:pStyle w:val="FootnoteText"/>
      </w:pPr>
      <w:r>
        <w:rPr>
          <w:rStyle w:val="FootnoteReference"/>
        </w:rPr>
        <w:footnoteRef/>
      </w:r>
      <w:r>
        <w:t xml:space="preserve"> </w:t>
      </w:r>
      <w:r w:rsidR="00975A0A">
        <w:t xml:space="preserve">Kongsberg </w:t>
      </w:r>
      <w:r w:rsidR="00C075F2">
        <w:t>Jun. 6</w:t>
      </w:r>
      <w:r w:rsidR="00975A0A">
        <w:t xml:space="preserve">, 2022 </w:t>
      </w:r>
      <w:r w:rsidR="00975A0A">
        <w:rPr>
          <w:i/>
          <w:iCs/>
        </w:rPr>
        <w:t>ex parte</w:t>
      </w:r>
      <w:r w:rsidR="00975A0A">
        <w:t xml:space="preserve"> at </w:t>
      </w:r>
      <w:r w:rsidR="00C075F2">
        <w:t>2</w:t>
      </w:r>
      <w:r w:rsidR="00975A0A">
        <w:t>.</w:t>
      </w:r>
      <w:r w:rsidR="00117510">
        <w:t xml:space="preserve">  There are two </w:t>
      </w:r>
      <w:r w:rsidR="00613C97">
        <w:t xml:space="preserve">different size </w:t>
      </w:r>
      <w:r w:rsidR="00117510">
        <w:t>exclusion zones at Patrick Air Force Base</w:t>
      </w:r>
      <w:r w:rsidR="00613C97">
        <w:t>, with o</w:t>
      </w:r>
      <w:r w:rsidR="00117510">
        <w:t xml:space="preserve">peration prohibited on </w:t>
      </w:r>
      <w:r w:rsidR="00613C97">
        <w:t>channels I, II and III within the larger zone, and on all channels within the smaller zone.  Operation is prohibited on all channels within the exclusion zone at Vandenberg Air Force Base.</w:t>
      </w:r>
      <w:r w:rsidR="008F4CBC">
        <w:t xml:space="preserve">  </w:t>
      </w:r>
      <w:r w:rsidR="006369AF">
        <w:t>With respect to</w:t>
      </w:r>
      <w:r w:rsidR="008F4CBC">
        <w:t xml:space="preserve"> the Wallops Island and Coquina sites, operation is prohibited </w:t>
      </w:r>
      <w:r w:rsidRPr="008F4CBC" w:rsidR="008F4CBC">
        <w:t>on channels I, II and IV within a 200 km radius, and on channel III within a 65 km radius</w:t>
      </w:r>
      <w:r w:rsidR="008F4CBC">
        <w:t>.</w:t>
      </w:r>
    </w:p>
  </w:footnote>
  <w:footnote w:id="32">
    <w:p w:rsidR="002C2466" w:rsidRPr="00D91A81" w:rsidP="002C2466" w14:paraId="5EC22CDD" w14:textId="4745F2D9">
      <w:pPr>
        <w:pStyle w:val="FootnoteText"/>
      </w:pPr>
      <w:r>
        <w:rPr>
          <w:rStyle w:val="FootnoteReference"/>
        </w:rPr>
        <w:footnoteRef/>
      </w:r>
      <w:r>
        <w:t xml:space="preserve"> </w:t>
      </w:r>
      <w:r w:rsidR="00CD374A">
        <w:t>Kongsberg Waiver Request at 10.</w:t>
      </w:r>
    </w:p>
  </w:footnote>
  <w:footnote w:id="33">
    <w:p w:rsidR="00B53469" w:rsidRPr="00136857" w14:paraId="70686741" w14:textId="62AAB010">
      <w:pPr>
        <w:pStyle w:val="FootnoteText"/>
      </w:pPr>
      <w:r>
        <w:rPr>
          <w:rStyle w:val="FootnoteReference"/>
        </w:rPr>
        <w:footnoteRef/>
      </w:r>
      <w:r w:rsidR="00136857">
        <w:t xml:space="preserve"> </w:t>
      </w:r>
      <w:r w:rsidR="00F041B6">
        <w:rPr>
          <w:i/>
          <w:iCs/>
        </w:rPr>
        <w:t xml:space="preserve">See </w:t>
      </w:r>
      <w:r w:rsidR="00136857">
        <w:t>Kong</w:t>
      </w:r>
      <w:r w:rsidR="00E1046B">
        <w:t>s</w:t>
      </w:r>
      <w:r w:rsidR="00136857">
        <w:t xml:space="preserve">berg May 7, 2021 </w:t>
      </w:r>
      <w:r w:rsidR="00803C74">
        <w:rPr>
          <w:i/>
          <w:iCs/>
        </w:rPr>
        <w:t>e</w:t>
      </w:r>
      <w:r w:rsidR="00136857">
        <w:rPr>
          <w:i/>
          <w:iCs/>
        </w:rPr>
        <w:t xml:space="preserve">x </w:t>
      </w:r>
      <w:r w:rsidR="00803C74">
        <w:rPr>
          <w:i/>
          <w:iCs/>
        </w:rPr>
        <w:t>p</w:t>
      </w:r>
      <w:r w:rsidR="00136857">
        <w:rPr>
          <w:i/>
          <w:iCs/>
        </w:rPr>
        <w:t>arte</w:t>
      </w:r>
      <w:r w:rsidR="00F041B6">
        <w:t xml:space="preserve">.  NTIA, and not the FCC, authorizes the use of spectrum by Federal </w:t>
      </w:r>
      <w:r w:rsidR="0080420E">
        <w:t>G</w:t>
      </w:r>
      <w:r w:rsidR="00F041B6">
        <w:t>overnment entities.</w:t>
      </w:r>
    </w:p>
  </w:footnote>
  <w:footnote w:id="34">
    <w:p w:rsidR="000A584E" w14:paraId="3E17145F" w14:textId="311DB880">
      <w:pPr>
        <w:pStyle w:val="FootnoteText"/>
      </w:pPr>
      <w:r>
        <w:rPr>
          <w:rStyle w:val="FootnoteReference"/>
        </w:rPr>
        <w:footnoteRef/>
      </w:r>
      <w:r>
        <w:t xml:space="preserve"> Kongsberg has indicated that its devices will communicate between two points with no simultaneous point-to-multipoint applications.  Kongsberg Waiver Request at 5.</w:t>
      </w:r>
    </w:p>
  </w:footnote>
  <w:footnote w:id="35">
    <w:p w:rsidR="00975A0A" w:rsidRPr="00975A0A" w14:paraId="3FE936C4" w14:textId="1021CDD6">
      <w:pPr>
        <w:pStyle w:val="FootnoteText"/>
      </w:pPr>
      <w:r>
        <w:rPr>
          <w:rStyle w:val="FootnoteReference"/>
        </w:rPr>
        <w:footnoteRef/>
      </w:r>
      <w:r>
        <w:t xml:space="preserve"> </w:t>
      </w:r>
      <w:r>
        <w:rPr>
          <w:i/>
          <w:iCs/>
        </w:rPr>
        <w:t>See</w:t>
      </w:r>
      <w:r w:rsidR="004A7067">
        <w:rPr>
          <w:i/>
          <w:iCs/>
        </w:rPr>
        <w:t xml:space="preserve"> also</w:t>
      </w:r>
      <w:r>
        <w:t xml:space="preserve"> 47 CFR § 15.15(b).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66344" w14:paraId="7A7780D2" w14:textId="661180FF">
    <w:pPr>
      <w:pStyle w:val="Header"/>
    </w:pPr>
    <w:r>
      <w:tab/>
      <w:t>Federal Communications Commission</w:t>
    </w:r>
    <w:r>
      <w:tab/>
    </w:r>
    <w:r w:rsidR="004564D5">
      <w:t xml:space="preserve">DA </w:t>
    </w:r>
    <w:r w:rsidR="00F66344">
      <w:t>22</w:t>
    </w:r>
    <w:r w:rsidR="004564D5">
      <w:t>-</w:t>
    </w:r>
    <w:r w:rsidR="00D664F7">
      <w:t>656</w:t>
    </w:r>
  </w:p>
  <w:p w:rsidR="00D25FB5" w:rsidRPr="00084A19" w:rsidP="00084A19" w14:paraId="73B01F6F" w14:textId="78C89C1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66344" w14:paraId="273DAEFD" w14:textId="3AB7FDF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4564D5">
      <w:rPr>
        <w:spacing w:val="-2"/>
      </w:rPr>
      <w:t xml:space="preserve">DA </w:t>
    </w:r>
    <w:r w:rsidR="00184FE8">
      <w:rPr>
        <w:spacing w:val="-2"/>
      </w:rPr>
      <w:t>2</w:t>
    </w:r>
    <w:r w:rsidR="00F66344">
      <w:rPr>
        <w:spacing w:val="-2"/>
      </w:rPr>
      <w:t>2</w:t>
    </w:r>
    <w:r w:rsidR="004564D5">
      <w:rPr>
        <w:spacing w:val="-2"/>
      </w:rPr>
      <w:t>-</w:t>
    </w:r>
    <w:r w:rsidR="0018575A">
      <w:rPr>
        <w:spacing w:val="-2"/>
      </w:rPr>
      <w:t>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26C86A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D72B1C"/>
    <w:multiLevelType w:val="hybridMultilevel"/>
    <w:tmpl w:val="F522D81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num>
  <w:num w:numId="8">
    <w:abstractNumId w:val="1"/>
  </w:num>
  <w:num w:numId="9">
    <w:abstractNumId w:val="7"/>
    <w:lvlOverride w:ilvl="0">
      <w:startOverride w:val="1"/>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EC"/>
    <w:rsid w:val="00000168"/>
    <w:rsid w:val="000073FB"/>
    <w:rsid w:val="00013EDF"/>
    <w:rsid w:val="00015B63"/>
    <w:rsid w:val="00024705"/>
    <w:rsid w:val="00027D59"/>
    <w:rsid w:val="000349F8"/>
    <w:rsid w:val="00036039"/>
    <w:rsid w:val="00037F90"/>
    <w:rsid w:val="00044313"/>
    <w:rsid w:val="00047F73"/>
    <w:rsid w:val="00050AEB"/>
    <w:rsid w:val="00050B72"/>
    <w:rsid w:val="00053523"/>
    <w:rsid w:val="0005665E"/>
    <w:rsid w:val="0006786C"/>
    <w:rsid w:val="00084A19"/>
    <w:rsid w:val="00085743"/>
    <w:rsid w:val="000875BF"/>
    <w:rsid w:val="0008794A"/>
    <w:rsid w:val="00096D8C"/>
    <w:rsid w:val="000A0156"/>
    <w:rsid w:val="000A584E"/>
    <w:rsid w:val="000C0B65"/>
    <w:rsid w:val="000C196C"/>
    <w:rsid w:val="000D1E67"/>
    <w:rsid w:val="000D223D"/>
    <w:rsid w:val="000D3B08"/>
    <w:rsid w:val="000D5BFF"/>
    <w:rsid w:val="000D5E87"/>
    <w:rsid w:val="000D6CF9"/>
    <w:rsid w:val="000E05FE"/>
    <w:rsid w:val="000E3D42"/>
    <w:rsid w:val="000F55FA"/>
    <w:rsid w:val="00107334"/>
    <w:rsid w:val="00112611"/>
    <w:rsid w:val="00117510"/>
    <w:rsid w:val="00122BD5"/>
    <w:rsid w:val="00127FDD"/>
    <w:rsid w:val="001330AD"/>
    <w:rsid w:val="00133F79"/>
    <w:rsid w:val="0013617B"/>
    <w:rsid w:val="00136857"/>
    <w:rsid w:val="00140954"/>
    <w:rsid w:val="00143E5C"/>
    <w:rsid w:val="001470F1"/>
    <w:rsid w:val="0015421B"/>
    <w:rsid w:val="00160CD9"/>
    <w:rsid w:val="0017296B"/>
    <w:rsid w:val="0017352D"/>
    <w:rsid w:val="00173B86"/>
    <w:rsid w:val="001740C1"/>
    <w:rsid w:val="00184FE8"/>
    <w:rsid w:val="0018575A"/>
    <w:rsid w:val="00190331"/>
    <w:rsid w:val="00194A66"/>
    <w:rsid w:val="001A1427"/>
    <w:rsid w:val="001C23F7"/>
    <w:rsid w:val="001C30F4"/>
    <w:rsid w:val="001C4486"/>
    <w:rsid w:val="001C77E2"/>
    <w:rsid w:val="001D006E"/>
    <w:rsid w:val="001D15EE"/>
    <w:rsid w:val="001D46C9"/>
    <w:rsid w:val="001D6BCF"/>
    <w:rsid w:val="001E01CA"/>
    <w:rsid w:val="001E3C1D"/>
    <w:rsid w:val="0021170A"/>
    <w:rsid w:val="002122BD"/>
    <w:rsid w:val="00217365"/>
    <w:rsid w:val="00221CE6"/>
    <w:rsid w:val="00242674"/>
    <w:rsid w:val="00246EED"/>
    <w:rsid w:val="00247C31"/>
    <w:rsid w:val="00253F5D"/>
    <w:rsid w:val="00256A99"/>
    <w:rsid w:val="002648B4"/>
    <w:rsid w:val="00275CF5"/>
    <w:rsid w:val="0027649A"/>
    <w:rsid w:val="00276A8B"/>
    <w:rsid w:val="00276BD0"/>
    <w:rsid w:val="0028301F"/>
    <w:rsid w:val="002834B5"/>
    <w:rsid w:val="00285017"/>
    <w:rsid w:val="00285816"/>
    <w:rsid w:val="00285F9F"/>
    <w:rsid w:val="0029769F"/>
    <w:rsid w:val="002A2D2E"/>
    <w:rsid w:val="002A387D"/>
    <w:rsid w:val="002A68B3"/>
    <w:rsid w:val="002A6CE6"/>
    <w:rsid w:val="002B19EC"/>
    <w:rsid w:val="002B30F6"/>
    <w:rsid w:val="002B523E"/>
    <w:rsid w:val="002C00E8"/>
    <w:rsid w:val="002C2466"/>
    <w:rsid w:val="002C3A2B"/>
    <w:rsid w:val="002D56F0"/>
    <w:rsid w:val="002D5A8F"/>
    <w:rsid w:val="002E1168"/>
    <w:rsid w:val="002E4134"/>
    <w:rsid w:val="002E51BC"/>
    <w:rsid w:val="002E6527"/>
    <w:rsid w:val="00310817"/>
    <w:rsid w:val="0031300E"/>
    <w:rsid w:val="003207EA"/>
    <w:rsid w:val="00343749"/>
    <w:rsid w:val="003660ED"/>
    <w:rsid w:val="00382A6D"/>
    <w:rsid w:val="00394DBB"/>
    <w:rsid w:val="003A06CC"/>
    <w:rsid w:val="003A3D2E"/>
    <w:rsid w:val="003B0550"/>
    <w:rsid w:val="003B694F"/>
    <w:rsid w:val="003C7E8A"/>
    <w:rsid w:val="003D50A2"/>
    <w:rsid w:val="003F171C"/>
    <w:rsid w:val="003F6F16"/>
    <w:rsid w:val="003F777A"/>
    <w:rsid w:val="004002AC"/>
    <w:rsid w:val="00407EF1"/>
    <w:rsid w:val="00407F77"/>
    <w:rsid w:val="00411DD5"/>
    <w:rsid w:val="00412FC5"/>
    <w:rsid w:val="0041304D"/>
    <w:rsid w:val="00422230"/>
    <w:rsid w:val="00422276"/>
    <w:rsid w:val="004242F1"/>
    <w:rsid w:val="00431932"/>
    <w:rsid w:val="0043358E"/>
    <w:rsid w:val="00441AD9"/>
    <w:rsid w:val="00445A00"/>
    <w:rsid w:val="004467E3"/>
    <w:rsid w:val="00451B0F"/>
    <w:rsid w:val="0045335C"/>
    <w:rsid w:val="00455445"/>
    <w:rsid w:val="0045616D"/>
    <w:rsid w:val="004564D5"/>
    <w:rsid w:val="00470E67"/>
    <w:rsid w:val="004A0465"/>
    <w:rsid w:val="004A613D"/>
    <w:rsid w:val="004A7067"/>
    <w:rsid w:val="004C2EE3"/>
    <w:rsid w:val="004C6CA5"/>
    <w:rsid w:val="004D052E"/>
    <w:rsid w:val="004D289B"/>
    <w:rsid w:val="004D3839"/>
    <w:rsid w:val="004D5A6F"/>
    <w:rsid w:val="004D6DD4"/>
    <w:rsid w:val="004E15C6"/>
    <w:rsid w:val="004E4A22"/>
    <w:rsid w:val="005024AB"/>
    <w:rsid w:val="005039A0"/>
    <w:rsid w:val="005068E2"/>
    <w:rsid w:val="00511968"/>
    <w:rsid w:val="005303DE"/>
    <w:rsid w:val="00540EAB"/>
    <w:rsid w:val="005515EC"/>
    <w:rsid w:val="00552416"/>
    <w:rsid w:val="00555F0E"/>
    <w:rsid w:val="0055614C"/>
    <w:rsid w:val="00557920"/>
    <w:rsid w:val="00562A22"/>
    <w:rsid w:val="00566D06"/>
    <w:rsid w:val="00573687"/>
    <w:rsid w:val="005769F6"/>
    <w:rsid w:val="00586A1D"/>
    <w:rsid w:val="00596286"/>
    <w:rsid w:val="005D3B58"/>
    <w:rsid w:val="005D7247"/>
    <w:rsid w:val="005E14C2"/>
    <w:rsid w:val="005F05AF"/>
    <w:rsid w:val="005F6089"/>
    <w:rsid w:val="006072F2"/>
    <w:rsid w:val="00607AEB"/>
    <w:rsid w:val="00607BA5"/>
    <w:rsid w:val="0061180A"/>
    <w:rsid w:val="0061336C"/>
    <w:rsid w:val="00613C97"/>
    <w:rsid w:val="006171B1"/>
    <w:rsid w:val="00625C58"/>
    <w:rsid w:val="00626EB6"/>
    <w:rsid w:val="00634A47"/>
    <w:rsid w:val="006369AF"/>
    <w:rsid w:val="00641E00"/>
    <w:rsid w:val="00655D03"/>
    <w:rsid w:val="00657E94"/>
    <w:rsid w:val="00661A19"/>
    <w:rsid w:val="00670812"/>
    <w:rsid w:val="00671D63"/>
    <w:rsid w:val="0067358D"/>
    <w:rsid w:val="00677C6C"/>
    <w:rsid w:val="00683388"/>
    <w:rsid w:val="00683F84"/>
    <w:rsid w:val="00683FB2"/>
    <w:rsid w:val="00684E0C"/>
    <w:rsid w:val="006A65D6"/>
    <w:rsid w:val="006A6A81"/>
    <w:rsid w:val="006C1389"/>
    <w:rsid w:val="006D1830"/>
    <w:rsid w:val="006D314C"/>
    <w:rsid w:val="006E20A1"/>
    <w:rsid w:val="006F7393"/>
    <w:rsid w:val="0070224F"/>
    <w:rsid w:val="00704B78"/>
    <w:rsid w:val="007115F7"/>
    <w:rsid w:val="007224C7"/>
    <w:rsid w:val="00731233"/>
    <w:rsid w:val="00735872"/>
    <w:rsid w:val="007556E4"/>
    <w:rsid w:val="00756B54"/>
    <w:rsid w:val="00762EEF"/>
    <w:rsid w:val="007828D1"/>
    <w:rsid w:val="00785689"/>
    <w:rsid w:val="007876BC"/>
    <w:rsid w:val="0079754B"/>
    <w:rsid w:val="007A1E6D"/>
    <w:rsid w:val="007B0EB2"/>
    <w:rsid w:val="007B415E"/>
    <w:rsid w:val="007C1CF8"/>
    <w:rsid w:val="007C3CEB"/>
    <w:rsid w:val="007D64FF"/>
    <w:rsid w:val="007E12BC"/>
    <w:rsid w:val="007E4535"/>
    <w:rsid w:val="00800B27"/>
    <w:rsid w:val="00803C74"/>
    <w:rsid w:val="0080420E"/>
    <w:rsid w:val="00805CF2"/>
    <w:rsid w:val="00810B6F"/>
    <w:rsid w:val="00814DD9"/>
    <w:rsid w:val="00822CE0"/>
    <w:rsid w:val="00823A06"/>
    <w:rsid w:val="00830398"/>
    <w:rsid w:val="00832453"/>
    <w:rsid w:val="00833FFC"/>
    <w:rsid w:val="00837D46"/>
    <w:rsid w:val="00841AB1"/>
    <w:rsid w:val="0085370E"/>
    <w:rsid w:val="00856BEA"/>
    <w:rsid w:val="00857E11"/>
    <w:rsid w:val="00860284"/>
    <w:rsid w:val="00862236"/>
    <w:rsid w:val="00865BAF"/>
    <w:rsid w:val="0087061E"/>
    <w:rsid w:val="00871064"/>
    <w:rsid w:val="00881FF3"/>
    <w:rsid w:val="00882994"/>
    <w:rsid w:val="008B5598"/>
    <w:rsid w:val="008C68F1"/>
    <w:rsid w:val="008E08FE"/>
    <w:rsid w:val="008F236A"/>
    <w:rsid w:val="008F4CBC"/>
    <w:rsid w:val="008F4CF0"/>
    <w:rsid w:val="00902713"/>
    <w:rsid w:val="009044FE"/>
    <w:rsid w:val="00916D2D"/>
    <w:rsid w:val="009201D9"/>
    <w:rsid w:val="00921465"/>
    <w:rsid w:val="00921803"/>
    <w:rsid w:val="00925037"/>
    <w:rsid w:val="00926503"/>
    <w:rsid w:val="009413CD"/>
    <w:rsid w:val="00942505"/>
    <w:rsid w:val="00957AF5"/>
    <w:rsid w:val="00962941"/>
    <w:rsid w:val="00970331"/>
    <w:rsid w:val="0097245F"/>
    <w:rsid w:val="009726D8"/>
    <w:rsid w:val="00975A0A"/>
    <w:rsid w:val="00976D5A"/>
    <w:rsid w:val="00981496"/>
    <w:rsid w:val="009A246F"/>
    <w:rsid w:val="009A5D51"/>
    <w:rsid w:val="009B3F80"/>
    <w:rsid w:val="009B7264"/>
    <w:rsid w:val="009C60B0"/>
    <w:rsid w:val="009D4223"/>
    <w:rsid w:val="009D6CA4"/>
    <w:rsid w:val="009D727E"/>
    <w:rsid w:val="009D7308"/>
    <w:rsid w:val="009E50D1"/>
    <w:rsid w:val="009E6BB7"/>
    <w:rsid w:val="009F76DB"/>
    <w:rsid w:val="00A00F39"/>
    <w:rsid w:val="00A0340F"/>
    <w:rsid w:val="00A03CEA"/>
    <w:rsid w:val="00A04514"/>
    <w:rsid w:val="00A046F2"/>
    <w:rsid w:val="00A04982"/>
    <w:rsid w:val="00A06EB4"/>
    <w:rsid w:val="00A140F6"/>
    <w:rsid w:val="00A30916"/>
    <w:rsid w:val="00A32C3B"/>
    <w:rsid w:val="00A3494D"/>
    <w:rsid w:val="00A36A24"/>
    <w:rsid w:val="00A45F4F"/>
    <w:rsid w:val="00A511C9"/>
    <w:rsid w:val="00A600A9"/>
    <w:rsid w:val="00A64F79"/>
    <w:rsid w:val="00A65DF8"/>
    <w:rsid w:val="00A74360"/>
    <w:rsid w:val="00A904F4"/>
    <w:rsid w:val="00A92B27"/>
    <w:rsid w:val="00AA3386"/>
    <w:rsid w:val="00AA38B4"/>
    <w:rsid w:val="00AA55B7"/>
    <w:rsid w:val="00AA5B9E"/>
    <w:rsid w:val="00AA5DA7"/>
    <w:rsid w:val="00AB2407"/>
    <w:rsid w:val="00AB53DF"/>
    <w:rsid w:val="00AC1574"/>
    <w:rsid w:val="00AD4E52"/>
    <w:rsid w:val="00AD567E"/>
    <w:rsid w:val="00AD655D"/>
    <w:rsid w:val="00AD7C26"/>
    <w:rsid w:val="00AE2BC5"/>
    <w:rsid w:val="00AF3088"/>
    <w:rsid w:val="00AF6561"/>
    <w:rsid w:val="00B00799"/>
    <w:rsid w:val="00B00A36"/>
    <w:rsid w:val="00B05ED4"/>
    <w:rsid w:val="00B06387"/>
    <w:rsid w:val="00B0790C"/>
    <w:rsid w:val="00B07E5C"/>
    <w:rsid w:val="00B11A49"/>
    <w:rsid w:val="00B16A17"/>
    <w:rsid w:val="00B2061E"/>
    <w:rsid w:val="00B44C89"/>
    <w:rsid w:val="00B53469"/>
    <w:rsid w:val="00B567C0"/>
    <w:rsid w:val="00B629CB"/>
    <w:rsid w:val="00B7399C"/>
    <w:rsid w:val="00B76F20"/>
    <w:rsid w:val="00B811F7"/>
    <w:rsid w:val="00B84F96"/>
    <w:rsid w:val="00B910D9"/>
    <w:rsid w:val="00B94094"/>
    <w:rsid w:val="00B965AB"/>
    <w:rsid w:val="00BA21A3"/>
    <w:rsid w:val="00BA5DC6"/>
    <w:rsid w:val="00BA6196"/>
    <w:rsid w:val="00BA75B5"/>
    <w:rsid w:val="00BA7E7D"/>
    <w:rsid w:val="00BC6D8C"/>
    <w:rsid w:val="00BD022F"/>
    <w:rsid w:val="00BD406E"/>
    <w:rsid w:val="00BF2386"/>
    <w:rsid w:val="00C02778"/>
    <w:rsid w:val="00C075F2"/>
    <w:rsid w:val="00C10788"/>
    <w:rsid w:val="00C14F33"/>
    <w:rsid w:val="00C2443B"/>
    <w:rsid w:val="00C34006"/>
    <w:rsid w:val="00C3428C"/>
    <w:rsid w:val="00C36B4C"/>
    <w:rsid w:val="00C37F51"/>
    <w:rsid w:val="00C426B1"/>
    <w:rsid w:val="00C633F9"/>
    <w:rsid w:val="00C66160"/>
    <w:rsid w:val="00C721AC"/>
    <w:rsid w:val="00C72CBF"/>
    <w:rsid w:val="00C77D9A"/>
    <w:rsid w:val="00C86BF5"/>
    <w:rsid w:val="00C90D6A"/>
    <w:rsid w:val="00C9131F"/>
    <w:rsid w:val="00C97FFD"/>
    <w:rsid w:val="00CA1031"/>
    <w:rsid w:val="00CA247E"/>
    <w:rsid w:val="00CA6D21"/>
    <w:rsid w:val="00CB44C6"/>
    <w:rsid w:val="00CB6627"/>
    <w:rsid w:val="00CC05D3"/>
    <w:rsid w:val="00CC72B6"/>
    <w:rsid w:val="00CC7E51"/>
    <w:rsid w:val="00CD374A"/>
    <w:rsid w:val="00CE790D"/>
    <w:rsid w:val="00CF0E45"/>
    <w:rsid w:val="00CF5666"/>
    <w:rsid w:val="00D0218D"/>
    <w:rsid w:val="00D05A29"/>
    <w:rsid w:val="00D15F69"/>
    <w:rsid w:val="00D24260"/>
    <w:rsid w:val="00D25FB5"/>
    <w:rsid w:val="00D355BB"/>
    <w:rsid w:val="00D44223"/>
    <w:rsid w:val="00D53014"/>
    <w:rsid w:val="00D55DB6"/>
    <w:rsid w:val="00D60C3D"/>
    <w:rsid w:val="00D65B7E"/>
    <w:rsid w:val="00D664F7"/>
    <w:rsid w:val="00D708C9"/>
    <w:rsid w:val="00D80E02"/>
    <w:rsid w:val="00D811DB"/>
    <w:rsid w:val="00D848AD"/>
    <w:rsid w:val="00D91A81"/>
    <w:rsid w:val="00D91C11"/>
    <w:rsid w:val="00DA2529"/>
    <w:rsid w:val="00DB130A"/>
    <w:rsid w:val="00DB2EBB"/>
    <w:rsid w:val="00DB7D24"/>
    <w:rsid w:val="00DC10A1"/>
    <w:rsid w:val="00DC655F"/>
    <w:rsid w:val="00DD0B59"/>
    <w:rsid w:val="00DD0E01"/>
    <w:rsid w:val="00DD190F"/>
    <w:rsid w:val="00DD7EBD"/>
    <w:rsid w:val="00DE2ADA"/>
    <w:rsid w:val="00DE2CC2"/>
    <w:rsid w:val="00DE3D97"/>
    <w:rsid w:val="00DF62B6"/>
    <w:rsid w:val="00DF6BD6"/>
    <w:rsid w:val="00E06C43"/>
    <w:rsid w:val="00E07225"/>
    <w:rsid w:val="00E10181"/>
    <w:rsid w:val="00E1046B"/>
    <w:rsid w:val="00E1407C"/>
    <w:rsid w:val="00E332D5"/>
    <w:rsid w:val="00E3437B"/>
    <w:rsid w:val="00E40E84"/>
    <w:rsid w:val="00E468B3"/>
    <w:rsid w:val="00E509A8"/>
    <w:rsid w:val="00E5409F"/>
    <w:rsid w:val="00E624A4"/>
    <w:rsid w:val="00E656FE"/>
    <w:rsid w:val="00E713C0"/>
    <w:rsid w:val="00E85F3F"/>
    <w:rsid w:val="00E86000"/>
    <w:rsid w:val="00E87651"/>
    <w:rsid w:val="00E87945"/>
    <w:rsid w:val="00E901F4"/>
    <w:rsid w:val="00E90C50"/>
    <w:rsid w:val="00EA0C20"/>
    <w:rsid w:val="00EA76D9"/>
    <w:rsid w:val="00EC1A1A"/>
    <w:rsid w:val="00ED29B4"/>
    <w:rsid w:val="00ED3BC5"/>
    <w:rsid w:val="00EE6488"/>
    <w:rsid w:val="00EE7260"/>
    <w:rsid w:val="00EF3FB9"/>
    <w:rsid w:val="00EF7A23"/>
    <w:rsid w:val="00F004A2"/>
    <w:rsid w:val="00F01FC9"/>
    <w:rsid w:val="00F021FA"/>
    <w:rsid w:val="00F041B6"/>
    <w:rsid w:val="00F04DC8"/>
    <w:rsid w:val="00F05293"/>
    <w:rsid w:val="00F12982"/>
    <w:rsid w:val="00F403DC"/>
    <w:rsid w:val="00F43945"/>
    <w:rsid w:val="00F62E97"/>
    <w:rsid w:val="00F64209"/>
    <w:rsid w:val="00F66344"/>
    <w:rsid w:val="00F679D6"/>
    <w:rsid w:val="00F67E57"/>
    <w:rsid w:val="00F80EF2"/>
    <w:rsid w:val="00F82B28"/>
    <w:rsid w:val="00F834CB"/>
    <w:rsid w:val="00F93BF5"/>
    <w:rsid w:val="00FB1BC5"/>
    <w:rsid w:val="00FC055A"/>
    <w:rsid w:val="00FC2840"/>
    <w:rsid w:val="00FC3867"/>
    <w:rsid w:val="00FC419D"/>
    <w:rsid w:val="00FD10EF"/>
    <w:rsid w:val="00FE27CC"/>
    <w:rsid w:val="00FE6EE5"/>
    <w:rsid w:val="00FF6013"/>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7F2688A"/>
  <w15:docId w15:val="{C940F62F-71AA-4377-8CE4-2B379A19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43E5C"/>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n,footnote text"/>
    <w:link w:val="FootnoteTextChar2"/>
    <w:rsid w:val="000E3D42"/>
    <w:pPr>
      <w:spacing w:after="120"/>
    </w:pPr>
  </w:style>
  <w:style w:type="character" w:styleId="FootnoteReference">
    <w:name w:val="footnote reference"/>
    <w:aliases w:val="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6634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D708C9"/>
    <w:rPr>
      <w:rFonts w:ascii="Segoe UI" w:hAnsi="Segoe UI" w:cs="Segoe UI"/>
      <w:sz w:val="18"/>
      <w:szCs w:val="18"/>
    </w:rPr>
  </w:style>
  <w:style w:type="character" w:customStyle="1" w:styleId="BalloonTextChar">
    <w:name w:val="Balloon Text Char"/>
    <w:basedOn w:val="DefaultParagraphFont"/>
    <w:link w:val="BalloonText"/>
    <w:rsid w:val="00D708C9"/>
    <w:rPr>
      <w:rFonts w:ascii="Segoe UI" w:hAnsi="Segoe UI" w:cs="Segoe UI"/>
      <w:snapToGrid w:val="0"/>
      <w:kern w:val="28"/>
      <w:sz w:val="18"/>
      <w:szCs w:val="18"/>
    </w:r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rsid w:val="00DE3D97"/>
  </w:style>
  <w:style w:type="character" w:styleId="CommentReference">
    <w:name w:val="annotation reference"/>
    <w:basedOn w:val="DefaultParagraphFont"/>
    <w:rsid w:val="00607AEB"/>
    <w:rPr>
      <w:sz w:val="16"/>
      <w:szCs w:val="16"/>
    </w:rPr>
  </w:style>
  <w:style w:type="paragraph" w:styleId="CommentText">
    <w:name w:val="annotation text"/>
    <w:basedOn w:val="Normal"/>
    <w:link w:val="CommentTextChar"/>
    <w:rsid w:val="00607AEB"/>
    <w:rPr>
      <w:sz w:val="20"/>
    </w:rPr>
  </w:style>
  <w:style w:type="character" w:customStyle="1" w:styleId="CommentTextChar">
    <w:name w:val="Comment Text Char"/>
    <w:basedOn w:val="DefaultParagraphFont"/>
    <w:link w:val="CommentText"/>
    <w:rsid w:val="00607AEB"/>
    <w:rPr>
      <w:snapToGrid w:val="0"/>
      <w:kern w:val="28"/>
    </w:rPr>
  </w:style>
  <w:style w:type="paragraph" w:styleId="CommentSubject">
    <w:name w:val="annotation subject"/>
    <w:basedOn w:val="CommentText"/>
    <w:next w:val="CommentText"/>
    <w:link w:val="CommentSubjectChar"/>
    <w:rsid w:val="00607AEB"/>
    <w:rPr>
      <w:b/>
      <w:bCs/>
    </w:rPr>
  </w:style>
  <w:style w:type="character" w:customStyle="1" w:styleId="CommentSubjectChar">
    <w:name w:val="Comment Subject Char"/>
    <w:basedOn w:val="CommentTextChar"/>
    <w:link w:val="CommentSubject"/>
    <w:rsid w:val="00607AEB"/>
    <w:rPr>
      <w:b/>
      <w:bCs/>
      <w:snapToGrid w:val="0"/>
      <w:kern w:val="28"/>
    </w:rPr>
  </w:style>
  <w:style w:type="paragraph" w:styleId="Revision">
    <w:name w:val="Revision"/>
    <w:hidden/>
    <w:uiPriority w:val="99"/>
    <w:semiHidden/>
    <w:rsid w:val="00E85F3F"/>
    <w:rPr>
      <w:snapToGrid w:val="0"/>
      <w:kern w:val="28"/>
      <w:sz w:val="22"/>
    </w:rPr>
  </w:style>
  <w:style w:type="paragraph" w:styleId="ListParagraph">
    <w:name w:val="List Paragraph"/>
    <w:basedOn w:val="Normal"/>
    <w:uiPriority w:val="34"/>
    <w:qFormat/>
    <w:rsid w:val="0005665E"/>
    <w:pPr>
      <w:ind w:left="720"/>
      <w:contextualSpacing/>
    </w:pPr>
  </w:style>
  <w:style w:type="character" w:styleId="PlaceholderText">
    <w:name w:val="Placeholder Text"/>
    <w:basedOn w:val="DefaultParagraphFont"/>
    <w:uiPriority w:val="99"/>
    <w:semiHidden/>
    <w:rsid w:val="00586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