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77DD8" w14:paraId="67674019" w14:textId="77777777">
      <w:pPr>
        <w:jc w:val="right"/>
        <w:rPr>
          <w:sz w:val="24"/>
        </w:rPr>
      </w:pPr>
    </w:p>
    <w:p w:rsidR="00877DD8" w14:paraId="16DE24F0" w14:textId="08EFF8EA">
      <w:pPr>
        <w:jc w:val="right"/>
        <w:rPr>
          <w:b/>
          <w:sz w:val="24"/>
        </w:rPr>
      </w:pPr>
      <w:r>
        <w:rPr>
          <w:b/>
          <w:sz w:val="24"/>
        </w:rPr>
        <w:t>DA 22-</w:t>
      </w:r>
      <w:r w:rsidR="0073183E">
        <w:rPr>
          <w:b/>
          <w:sz w:val="24"/>
        </w:rPr>
        <w:t>65</w:t>
      </w:r>
    </w:p>
    <w:p w:rsidR="00877DD8" w14:paraId="633BB5F8" w14:textId="6C347DB1">
      <w:pPr>
        <w:spacing w:before="60"/>
        <w:jc w:val="right"/>
        <w:rPr>
          <w:b/>
          <w:sz w:val="24"/>
        </w:rPr>
      </w:pPr>
      <w:r>
        <w:rPr>
          <w:b/>
          <w:sz w:val="24"/>
        </w:rPr>
        <w:t xml:space="preserve">Released:  </w:t>
      </w:r>
      <w:r w:rsidR="00E2297E">
        <w:rPr>
          <w:b/>
          <w:sz w:val="24"/>
        </w:rPr>
        <w:t>January 20, 2022</w:t>
      </w:r>
    </w:p>
    <w:p w:rsidR="00877DD8" w14:paraId="04C0E06F" w14:textId="77777777">
      <w:pPr>
        <w:jc w:val="right"/>
        <w:rPr>
          <w:sz w:val="24"/>
        </w:rPr>
      </w:pPr>
    </w:p>
    <w:p w:rsidR="00877DD8" w:rsidRPr="00A505EC" w:rsidP="6252B472" w14:paraId="766EC708" w14:textId="46A6E4CB">
      <w:pPr>
        <w:spacing w:after="240"/>
        <w:jc w:val="center"/>
        <w:rPr>
          <w:rFonts w:ascii="Times New Roman Bold" w:hAnsi="Times New Roman Bold"/>
          <w:b/>
          <w:bCs/>
          <w:caps/>
          <w:sz w:val="24"/>
          <w:szCs w:val="24"/>
        </w:rPr>
      </w:pPr>
      <w:r w:rsidRPr="6252B472">
        <w:rPr>
          <w:rFonts w:ascii="Times New Roman Bold" w:hAnsi="Times New Roman Bold"/>
          <w:b/>
          <w:bCs/>
          <w:caps/>
          <w:sz w:val="24"/>
          <w:szCs w:val="24"/>
        </w:rPr>
        <w:t xml:space="preserve">Public Safety and Homeland Security Bureau Reminds </w:t>
      </w:r>
      <w:r w:rsidRPr="6252B472" w:rsidR="6D862745">
        <w:rPr>
          <w:rFonts w:ascii="Times New Roman Bold" w:hAnsi="Times New Roman Bold"/>
          <w:b/>
          <w:bCs/>
          <w:caps/>
          <w:sz w:val="24"/>
          <w:szCs w:val="24"/>
        </w:rPr>
        <w:t xml:space="preserve">PUBLIC SAFETY </w:t>
      </w:r>
      <w:r w:rsidRPr="6252B472">
        <w:rPr>
          <w:rFonts w:ascii="Times New Roman Bold" w:hAnsi="Times New Roman Bold"/>
          <w:b/>
          <w:bCs/>
          <w:caps/>
          <w:sz w:val="24"/>
          <w:szCs w:val="24"/>
        </w:rPr>
        <w:t xml:space="preserve">Licensees to </w:t>
      </w:r>
      <w:r w:rsidRPr="6252B472" w:rsidR="468C5FA5">
        <w:rPr>
          <w:rFonts w:ascii="Times New Roman Bold" w:hAnsi="Times New Roman Bold"/>
          <w:b/>
          <w:bCs/>
          <w:caps/>
          <w:sz w:val="24"/>
          <w:szCs w:val="24"/>
        </w:rPr>
        <w:t xml:space="preserve">update </w:t>
      </w:r>
      <w:r w:rsidRPr="6252B472">
        <w:rPr>
          <w:rFonts w:ascii="Times New Roman Bold" w:hAnsi="Times New Roman Bold"/>
          <w:b/>
          <w:bCs/>
          <w:caps/>
          <w:sz w:val="24"/>
          <w:szCs w:val="24"/>
        </w:rPr>
        <w:t>license</w:t>
      </w:r>
      <w:r w:rsidRPr="6252B472" w:rsidR="468C5FA5">
        <w:rPr>
          <w:rFonts w:ascii="Times New Roman Bold" w:hAnsi="Times New Roman Bold"/>
          <w:b/>
          <w:bCs/>
          <w:caps/>
          <w:sz w:val="24"/>
          <w:szCs w:val="24"/>
        </w:rPr>
        <w:t>e</w:t>
      </w:r>
      <w:r w:rsidRPr="6252B472">
        <w:rPr>
          <w:rFonts w:ascii="Times New Roman Bold" w:hAnsi="Times New Roman Bold"/>
          <w:b/>
          <w:bCs/>
          <w:caps/>
          <w:sz w:val="24"/>
          <w:szCs w:val="24"/>
        </w:rPr>
        <w:t xml:space="preserve"> contact information</w:t>
      </w:r>
      <w:r w:rsidRPr="6252B472" w:rsidR="468C5FA5">
        <w:rPr>
          <w:rFonts w:ascii="Times New Roman Bold" w:hAnsi="Times New Roman Bold"/>
          <w:b/>
          <w:bCs/>
          <w:caps/>
          <w:sz w:val="24"/>
          <w:szCs w:val="24"/>
        </w:rPr>
        <w:t xml:space="preserve"> with </w:t>
      </w:r>
      <w:r w:rsidRPr="6252B472" w:rsidR="6D862745">
        <w:rPr>
          <w:rFonts w:ascii="Times New Roman Bold" w:hAnsi="Times New Roman Bold"/>
          <w:b/>
          <w:bCs/>
          <w:caps/>
          <w:sz w:val="24"/>
          <w:szCs w:val="24"/>
        </w:rPr>
        <w:t xml:space="preserve">an </w:t>
      </w:r>
      <w:r w:rsidRPr="00A505EC" w:rsidR="468C5FA5">
        <w:rPr>
          <w:rFonts w:ascii="Times New Roman Bold" w:hAnsi="Times New Roman Bold"/>
          <w:b/>
          <w:bCs/>
          <w:caps/>
          <w:sz w:val="24"/>
          <w:szCs w:val="24"/>
        </w:rPr>
        <w:t>Email Address</w:t>
      </w:r>
    </w:p>
    <w:p w:rsidR="00A505EC" w:rsidP="00A505EC" w14:paraId="051EEACB" w14:textId="19591CA8">
      <w:pPr>
        <w:jc w:val="center"/>
        <w:rPr>
          <w:rStyle w:val="normaltextrun"/>
          <w:sz w:val="24"/>
          <w:szCs w:val="24"/>
          <w:shd w:val="clear" w:color="auto" w:fill="FFFFFF"/>
        </w:rPr>
      </w:pPr>
      <w:r>
        <w:rPr>
          <w:rStyle w:val="normaltextrun"/>
          <w:b/>
          <w:bCs/>
          <w:sz w:val="24"/>
          <w:szCs w:val="24"/>
          <w:shd w:val="clear" w:color="auto" w:fill="FFFFFF"/>
        </w:rPr>
        <w:t>WT</w:t>
      </w:r>
      <w:r w:rsidRPr="00A505EC">
        <w:rPr>
          <w:rStyle w:val="normaltextrun"/>
          <w:b/>
          <w:bCs/>
          <w:sz w:val="24"/>
          <w:szCs w:val="24"/>
          <w:shd w:val="clear" w:color="auto" w:fill="FFFFFF"/>
        </w:rPr>
        <w:t> Docket No. 19-212</w:t>
      </w:r>
    </w:p>
    <w:p w:rsidR="00877DD8" w:rsidRPr="00A505EC" w:rsidP="00A505EC" w14:paraId="0EE5FF3E" w14:textId="7BABB3D5">
      <w:pPr>
        <w:jc w:val="center"/>
        <w:rPr>
          <w:sz w:val="24"/>
          <w:szCs w:val="24"/>
        </w:rPr>
      </w:pPr>
      <w:r w:rsidRPr="00A505EC">
        <w:rPr>
          <w:sz w:val="24"/>
          <w:szCs w:val="24"/>
        </w:rPr>
        <w:fldChar w:fldCharType="begin">
          <w:ffData>
            <w:name w:val="Text4"/>
            <w:enabled/>
            <w:calcOnExit w:val="0"/>
            <w:textInput>
              <w:default w:val="[Click to enter Subtitle]"/>
            </w:textInput>
          </w:ffData>
        </w:fldChar>
      </w:r>
      <w:r w:rsidRPr="00A505EC">
        <w:rPr>
          <w:sz w:val="24"/>
          <w:szCs w:val="24"/>
        </w:rPr>
        <w:instrText xml:space="preserve"> </w:instrText>
      </w:r>
      <w:bookmarkStart w:id="0" w:name="Text4"/>
      <w:r w:rsidRPr="00A505EC">
        <w:rPr>
          <w:sz w:val="24"/>
          <w:szCs w:val="24"/>
        </w:rPr>
        <w:instrText xml:space="preserve">FORMTEXT </w:instrText>
      </w:r>
      <w:r w:rsidR="0073183E">
        <w:rPr>
          <w:sz w:val="24"/>
          <w:szCs w:val="24"/>
        </w:rPr>
        <w:fldChar w:fldCharType="separate"/>
      </w:r>
      <w:r w:rsidRPr="00A505EC">
        <w:rPr>
          <w:sz w:val="24"/>
          <w:szCs w:val="24"/>
        </w:rPr>
        <w:fldChar w:fldCharType="end"/>
      </w:r>
      <w:bookmarkEnd w:id="0"/>
      <w:r w:rsidRPr="00A505EC">
        <w:rPr>
          <w:sz w:val="24"/>
          <w:szCs w:val="24"/>
        </w:rPr>
        <w:fldChar w:fldCharType="begin">
          <w:fldData xml:space="preserve">/////wAAAAAUAAUAVABlAHgAdAA1AAAALwBbAEMAbABpAGMAawAgAHQAbwAgAGUAbgB0AGUAcgAg
AEQAbwBjAGsAZQB0ACwAIABSAE0ALAAgAGEAbgBkAC8AbwByACAARgBpAGwAZQAgAE4AbwAoAHMA
KQAuAF0AAAAAAAAAAAAAAAAAAAAAAAAAAAAAAA==
</w:fldData>
        </w:fldChar>
      </w:r>
      <w:r w:rsidRPr="00A505EC" w:rsidR="4227C89A">
        <w:rPr>
          <w:sz w:val="24"/>
          <w:szCs w:val="24"/>
        </w:rPr>
        <w:instrText xml:space="preserve">WT Docket No. 19-212 </w:instrText>
      </w:r>
      <w:r w:rsidRPr="00A505EC">
        <w:rPr>
          <w:sz w:val="24"/>
          <w:szCs w:val="24"/>
        </w:rPr>
        <w:instrText xml:space="preserve"> </w:instrText>
      </w:r>
      <w:bookmarkStart w:id="1" w:name="Text5"/>
      <w:r w:rsidRPr="00A505EC">
        <w:rPr>
          <w:sz w:val="24"/>
          <w:szCs w:val="24"/>
        </w:rPr>
        <w:instrText xml:space="preserve">FORMTEXT </w:instrText>
      </w:r>
      <w:r w:rsidRPr="00A505EC">
        <w:rPr>
          <w:sz w:val="24"/>
          <w:szCs w:val="24"/>
        </w:rPr>
        <w:fldChar w:fldCharType="end"/>
      </w:r>
      <w:bookmarkStart w:id="2" w:name="TOChere"/>
      <w:bookmarkEnd w:id="1"/>
    </w:p>
    <w:p w:rsidR="00877DD8" w:rsidRPr="00F24C23" w:rsidP="0052513D" w14:paraId="287DB4EF" w14:textId="55027D3A">
      <w:pPr>
        <w:spacing w:after="120"/>
        <w:ind w:firstLine="720"/>
      </w:pPr>
      <w:r>
        <w:t xml:space="preserve">By this </w:t>
      </w:r>
      <w:r w:rsidRPr="002F1AAF">
        <w:rPr>
          <w:i/>
          <w:iCs/>
        </w:rPr>
        <w:t>Public Notice</w:t>
      </w:r>
      <w:r>
        <w:t xml:space="preserve">, </w:t>
      </w:r>
      <w:r w:rsidR="2A8C0702">
        <w:t>the Public Safety and Homeland Security Bureau (</w:t>
      </w:r>
      <w:r w:rsidR="468C5FA5">
        <w:t>PSHSB</w:t>
      </w:r>
      <w:r w:rsidR="0662BD46">
        <w:t>)</w:t>
      </w:r>
      <w:r w:rsidR="468C5FA5">
        <w:t xml:space="preserve"> reminds </w:t>
      </w:r>
      <w:r w:rsidR="00287900">
        <w:t>p</w:t>
      </w:r>
      <w:r w:rsidR="024107C1">
        <w:t xml:space="preserve">art 90 and </w:t>
      </w:r>
      <w:r w:rsidR="00287900">
        <w:t>p</w:t>
      </w:r>
      <w:r w:rsidR="024107C1">
        <w:t xml:space="preserve">art 101 public safety </w:t>
      </w:r>
      <w:r w:rsidR="468C5FA5">
        <w:t xml:space="preserve">licensees </w:t>
      </w:r>
      <w:r w:rsidR="00F81D71">
        <w:t xml:space="preserve">to </w:t>
      </w:r>
      <w:r w:rsidR="00F24C23">
        <w:t xml:space="preserve">update their </w:t>
      </w:r>
      <w:r w:rsidR="00E03B52">
        <w:t xml:space="preserve">license </w:t>
      </w:r>
      <w:r w:rsidR="468C5FA5">
        <w:t xml:space="preserve">contact information </w:t>
      </w:r>
      <w:r w:rsidR="00F24C23">
        <w:t>with an email address</w:t>
      </w:r>
      <w:r w:rsidR="468C5FA5">
        <w:t>.</w:t>
      </w:r>
      <w:r w:rsidR="00F24C23">
        <w:t xml:space="preserve">  PSHSB also reminds licensees to file timely renewal applications and construction notifications.</w:t>
      </w:r>
    </w:p>
    <w:p w:rsidR="00A11D93" w:rsidP="005252CE" w14:paraId="0D36E908" w14:textId="182A930D">
      <w:pPr>
        <w:spacing w:after="120"/>
        <w:ind w:firstLine="720"/>
        <w:rPr>
          <w:szCs w:val="22"/>
        </w:rPr>
      </w:pPr>
      <w:r>
        <w:t>In 2020</w:t>
      </w:r>
      <w:r w:rsidR="008D4C1B">
        <w:t xml:space="preserve">, </w:t>
      </w:r>
      <w:r w:rsidR="00D57EF5">
        <w:t>the Commission</w:t>
      </w:r>
      <w:r w:rsidR="00A82B24">
        <w:t xml:space="preserve"> </w:t>
      </w:r>
      <w:r w:rsidR="00AA6FF3">
        <w:t xml:space="preserve">issued </w:t>
      </w:r>
      <w:r w:rsidR="002E74C3">
        <w:t xml:space="preserve">rules to </w:t>
      </w:r>
      <w:r w:rsidR="00A82B24">
        <w:t xml:space="preserve">finalize </w:t>
      </w:r>
      <w:r w:rsidR="002E74C3">
        <w:t xml:space="preserve">the </w:t>
      </w:r>
      <w:r w:rsidRPr="00AB38B9" w:rsidR="00786C9E">
        <w:t>transition to electronic</w:t>
      </w:r>
      <w:r w:rsidR="00786C9E">
        <w:t xml:space="preserve"> </w:t>
      </w:r>
      <w:r w:rsidR="00A82B24">
        <w:t xml:space="preserve">interactions </w:t>
      </w:r>
      <w:r w:rsidR="00984E1D">
        <w:t>for licenses in the Wireless Radio Services</w:t>
      </w:r>
      <w:r w:rsidR="00026D3B">
        <w:t>.</w:t>
      </w:r>
      <w:r>
        <w:rPr>
          <w:rStyle w:val="FootnoteReference"/>
        </w:rPr>
        <w:footnoteReference w:id="3"/>
      </w:r>
      <w:r w:rsidR="00026D3B">
        <w:t xml:space="preserve">  In particular</w:t>
      </w:r>
      <w:r w:rsidR="008C38BF">
        <w:t xml:space="preserve">, </w:t>
      </w:r>
      <w:r>
        <w:t xml:space="preserve">the </w:t>
      </w:r>
      <w:r w:rsidR="002D176D">
        <w:t xml:space="preserve">Commission eliminated </w:t>
      </w:r>
      <w:r w:rsidR="008B712D">
        <w:t xml:space="preserve">the mailing of </w:t>
      </w:r>
      <w:r w:rsidR="002D176D">
        <w:t xml:space="preserve">paper </w:t>
      </w:r>
      <w:r w:rsidR="002F67E2">
        <w:t xml:space="preserve">courtesy </w:t>
      </w:r>
      <w:r w:rsidR="002D176D">
        <w:t xml:space="preserve">reminder notices </w:t>
      </w:r>
      <w:r w:rsidR="005952F6">
        <w:t xml:space="preserve">and other </w:t>
      </w:r>
      <w:r w:rsidR="002F67E2">
        <w:t>Universal Licensing System (</w:t>
      </w:r>
      <w:r w:rsidRPr="003F6D38" w:rsidR="002F67E2">
        <w:t>ULS</w:t>
      </w:r>
      <w:r w:rsidR="002F67E2">
        <w:t>)</w:t>
      </w:r>
      <w:r w:rsidRPr="003F6D38" w:rsidR="002F67E2">
        <w:t xml:space="preserve"> </w:t>
      </w:r>
      <w:r w:rsidR="005952F6">
        <w:t xml:space="preserve">correspondence </w:t>
      </w:r>
      <w:r w:rsidR="002D176D">
        <w:t>to licensees</w:t>
      </w:r>
      <w:r w:rsidR="008B712D">
        <w:t xml:space="preserve"> and </w:t>
      </w:r>
      <w:r w:rsidRPr="003F6D38" w:rsidR="003F6D38">
        <w:t>adopt</w:t>
      </w:r>
      <w:r w:rsidR="003F6D38">
        <w:t>ed</w:t>
      </w:r>
      <w:r w:rsidRPr="003F6D38" w:rsidR="003F6D38">
        <w:t xml:space="preserve"> rules mandating electronic delivery for all ULS compulsory and courtesy correspondence</w:t>
      </w:r>
      <w:r w:rsidR="00762EEF">
        <w:t>.</w:t>
      </w:r>
      <w:r>
        <w:rPr>
          <w:rStyle w:val="FootnoteReference"/>
        </w:rPr>
        <w:footnoteReference w:id="4"/>
      </w:r>
      <w:r w:rsidR="00346B53">
        <w:t xml:space="preserve"> </w:t>
      </w:r>
      <w:r w:rsidR="00C572F9">
        <w:t xml:space="preserve"> </w:t>
      </w:r>
      <w:r w:rsidR="00FB3330">
        <w:t xml:space="preserve">On June 11, 2021, </w:t>
      </w:r>
      <w:r w:rsidRPr="6252B472" w:rsidR="00672F9A">
        <w:rPr>
          <w:szCs w:val="22"/>
        </w:rPr>
        <w:t xml:space="preserve">the Wireless Telecommunications Bureau and PSHSB issued a </w:t>
      </w:r>
      <w:r w:rsidRPr="008A2C39" w:rsidR="00672F9A">
        <w:rPr>
          <w:i/>
          <w:iCs/>
          <w:szCs w:val="22"/>
        </w:rPr>
        <w:t>Public Notice</w:t>
      </w:r>
      <w:r w:rsidRPr="6252B472" w:rsidR="00672F9A">
        <w:rPr>
          <w:szCs w:val="22"/>
        </w:rPr>
        <w:t xml:space="preserve"> </w:t>
      </w:r>
      <w:r w:rsidR="001E033B">
        <w:rPr>
          <w:szCs w:val="22"/>
        </w:rPr>
        <w:t xml:space="preserve">announcing </w:t>
      </w:r>
      <w:r w:rsidRPr="6252B472" w:rsidR="00672F9A">
        <w:rPr>
          <w:szCs w:val="22"/>
        </w:rPr>
        <w:t xml:space="preserve">that electronic filing for all wireless </w:t>
      </w:r>
      <w:r w:rsidRPr="6252B472" w:rsidR="008A2C39">
        <w:rPr>
          <w:szCs w:val="22"/>
        </w:rPr>
        <w:t xml:space="preserve">radio </w:t>
      </w:r>
      <w:r w:rsidRPr="6252B472" w:rsidR="00672F9A">
        <w:rPr>
          <w:szCs w:val="22"/>
        </w:rPr>
        <w:t xml:space="preserve">service applications would begin </w:t>
      </w:r>
      <w:r w:rsidR="00D45702">
        <w:rPr>
          <w:szCs w:val="22"/>
        </w:rPr>
        <w:t xml:space="preserve">on </w:t>
      </w:r>
      <w:r w:rsidRPr="6252B472" w:rsidR="00672F9A">
        <w:rPr>
          <w:szCs w:val="22"/>
        </w:rPr>
        <w:t xml:space="preserve">June 29, 2021 and </w:t>
      </w:r>
      <w:r w:rsidR="00463EC3">
        <w:rPr>
          <w:szCs w:val="22"/>
        </w:rPr>
        <w:t>encourag</w:t>
      </w:r>
      <w:r w:rsidR="00AA21BD">
        <w:rPr>
          <w:szCs w:val="22"/>
        </w:rPr>
        <w:t>ing</w:t>
      </w:r>
      <w:r w:rsidRPr="6252B472" w:rsidR="00672F9A">
        <w:rPr>
          <w:szCs w:val="22"/>
        </w:rPr>
        <w:t xml:space="preserve"> licen</w:t>
      </w:r>
      <w:r w:rsidR="008A2C39">
        <w:rPr>
          <w:szCs w:val="22"/>
        </w:rPr>
        <w:t>s</w:t>
      </w:r>
      <w:r w:rsidRPr="6252B472" w:rsidR="00672F9A">
        <w:rPr>
          <w:szCs w:val="22"/>
        </w:rPr>
        <w:t xml:space="preserve">ees to </w:t>
      </w:r>
      <w:r w:rsidR="00250A9C">
        <w:rPr>
          <w:szCs w:val="22"/>
        </w:rPr>
        <w:t>provide</w:t>
      </w:r>
      <w:r w:rsidRPr="6252B472" w:rsidR="00672F9A">
        <w:rPr>
          <w:szCs w:val="22"/>
        </w:rPr>
        <w:t xml:space="preserve"> email addresses</w:t>
      </w:r>
      <w:r w:rsidR="00FB3330">
        <w:rPr>
          <w:szCs w:val="22"/>
        </w:rPr>
        <w:t>.</w:t>
      </w:r>
      <w:r>
        <w:rPr>
          <w:rStyle w:val="FootnoteReference"/>
          <w:szCs w:val="22"/>
        </w:rPr>
        <w:footnoteReference w:id="5"/>
      </w:r>
      <w:r w:rsidR="00FB3330">
        <w:rPr>
          <w:szCs w:val="22"/>
        </w:rPr>
        <w:t xml:space="preserve">  </w:t>
      </w:r>
      <w:r w:rsidR="009B512E">
        <w:t xml:space="preserve">Licensees without </w:t>
      </w:r>
      <w:r w:rsidR="00A20F2B">
        <w:t xml:space="preserve">valid or updated </w:t>
      </w:r>
      <w:r w:rsidR="009B512E">
        <w:t xml:space="preserve">email addresses </w:t>
      </w:r>
      <w:r w:rsidR="0078331E">
        <w:t>do</w:t>
      </w:r>
      <w:r w:rsidR="009B512E">
        <w:t xml:space="preserve"> not receive </w:t>
      </w:r>
      <w:r w:rsidR="00803075">
        <w:t xml:space="preserve">courtesy </w:t>
      </w:r>
      <w:r w:rsidR="009B512E">
        <w:t>electronic reminders regarding license expiration or construction deadlines</w:t>
      </w:r>
      <w:r w:rsidR="00C572F9">
        <w:t>.</w:t>
      </w:r>
      <w:r>
        <w:rPr>
          <w:rStyle w:val="FootnoteReference"/>
        </w:rPr>
        <w:footnoteReference w:id="6"/>
      </w:r>
      <w:r w:rsidR="00A11747">
        <w:t xml:space="preserve">  </w:t>
      </w:r>
      <w:r w:rsidR="00803075">
        <w:t>F</w:t>
      </w:r>
      <w:r w:rsidRPr="6252B472" w:rsidR="00A11747">
        <w:rPr>
          <w:szCs w:val="22"/>
        </w:rPr>
        <w:t>ailure to timely file renewal applications and construction notifications may lead to license cancel</w:t>
      </w:r>
      <w:r w:rsidR="00C91DD9">
        <w:rPr>
          <w:szCs w:val="22"/>
        </w:rPr>
        <w:t>l</w:t>
      </w:r>
      <w:r w:rsidRPr="6252B472" w:rsidR="00A11747">
        <w:rPr>
          <w:szCs w:val="22"/>
        </w:rPr>
        <w:t>ation</w:t>
      </w:r>
      <w:r w:rsidR="00A11747">
        <w:rPr>
          <w:szCs w:val="22"/>
        </w:rPr>
        <w:t>.</w:t>
      </w:r>
      <w:r>
        <w:rPr>
          <w:rStyle w:val="FootnoteReference"/>
          <w:szCs w:val="22"/>
        </w:rPr>
        <w:footnoteReference w:id="7"/>
      </w:r>
      <w:r w:rsidR="00804163">
        <w:rPr>
          <w:szCs w:val="22"/>
        </w:rPr>
        <w:t xml:space="preserve">  </w:t>
      </w:r>
      <w:r w:rsidR="00F70E32">
        <w:rPr>
          <w:szCs w:val="22"/>
        </w:rPr>
        <w:t>Below, w</w:t>
      </w:r>
      <w:r w:rsidR="00273A5F">
        <w:rPr>
          <w:szCs w:val="22"/>
        </w:rPr>
        <w:t xml:space="preserve">e </w:t>
      </w:r>
      <w:r w:rsidR="00776AC1">
        <w:rPr>
          <w:szCs w:val="22"/>
        </w:rPr>
        <w:t xml:space="preserve">outline actions that can help licensees avoid </w:t>
      </w:r>
      <w:r w:rsidR="00A761A6">
        <w:rPr>
          <w:szCs w:val="22"/>
        </w:rPr>
        <w:t>license cance</w:t>
      </w:r>
      <w:r w:rsidR="00C91DD9">
        <w:rPr>
          <w:szCs w:val="22"/>
        </w:rPr>
        <w:t>l</w:t>
      </w:r>
      <w:r w:rsidR="00A761A6">
        <w:rPr>
          <w:szCs w:val="22"/>
        </w:rPr>
        <w:t>lation</w:t>
      </w:r>
      <w:r w:rsidR="00776AC1">
        <w:rPr>
          <w:szCs w:val="22"/>
        </w:rPr>
        <w:t>.</w:t>
      </w:r>
    </w:p>
    <w:p w:rsidR="00A2296D" w:rsidP="00A2296D" w14:paraId="111F4FEE" w14:textId="0F632019">
      <w:pPr>
        <w:spacing w:after="120"/>
      </w:pPr>
      <w:r w:rsidRPr="00341730">
        <w:rPr>
          <w:b/>
          <w:bCs/>
          <w:u w:val="single"/>
        </w:rPr>
        <w:t>Email address</w:t>
      </w:r>
      <w:r>
        <w:t xml:space="preserve">  </w:t>
      </w:r>
    </w:p>
    <w:p w:rsidR="00DC248D" w:rsidP="00A2296D" w14:paraId="6D70CD37" w14:textId="30A3A5E0">
      <w:pPr>
        <w:pStyle w:val="ListParagraph"/>
        <w:numPr>
          <w:ilvl w:val="0"/>
          <w:numId w:val="7"/>
        </w:numPr>
        <w:spacing w:after="120"/>
      </w:pPr>
      <w:r>
        <w:t>A</w:t>
      </w:r>
      <w:r>
        <w:t xml:space="preserve">pplicants </w:t>
      </w:r>
      <w:r w:rsidR="00AD7FDE">
        <w:t xml:space="preserve">and licensees </w:t>
      </w:r>
      <w:r>
        <w:t xml:space="preserve">must </w:t>
      </w:r>
      <w:r>
        <w:t xml:space="preserve">provide </w:t>
      </w:r>
      <w:r w:rsidR="00AD7FDE">
        <w:t xml:space="preserve">an </w:t>
      </w:r>
      <w:r>
        <w:t>email address</w:t>
      </w:r>
      <w:r w:rsidR="0074057C">
        <w:t xml:space="preserve"> where they can receive electronic </w:t>
      </w:r>
      <w:r w:rsidR="009037F4">
        <w:t xml:space="preserve">documents and </w:t>
      </w:r>
      <w:r w:rsidR="0074057C">
        <w:t>correspondence</w:t>
      </w:r>
      <w:r w:rsidR="00AD7FDE">
        <w:t>.</w:t>
      </w:r>
      <w:r>
        <w:rPr>
          <w:rStyle w:val="FootnoteReference"/>
        </w:rPr>
        <w:footnoteReference w:id="8"/>
      </w:r>
      <w:r w:rsidR="00CF158C">
        <w:t xml:space="preserve">  </w:t>
      </w:r>
    </w:p>
    <w:p w:rsidR="00A974F1" w:rsidP="005F004B" w14:paraId="015B3FF2" w14:textId="4793B674">
      <w:pPr>
        <w:numPr>
          <w:ilvl w:val="0"/>
          <w:numId w:val="7"/>
        </w:numPr>
        <w:spacing w:after="120"/>
      </w:pPr>
      <w:r>
        <w:t>L</w:t>
      </w:r>
      <w:r w:rsidRPr="00AB38B9">
        <w:t xml:space="preserve">icensees </w:t>
      </w:r>
      <w:r>
        <w:t xml:space="preserve">must </w:t>
      </w:r>
      <w:r w:rsidRPr="00AB38B9">
        <w:t>notify the Commission</w:t>
      </w:r>
      <w:r>
        <w:t xml:space="preserve"> </w:t>
      </w:r>
      <w:r w:rsidRPr="00AB38B9">
        <w:t>within 30 days of updating an email address of record</w:t>
      </w:r>
      <w:r>
        <w:t>.</w:t>
      </w:r>
      <w:r>
        <w:rPr>
          <w:rStyle w:val="FootnoteReference"/>
        </w:rPr>
        <w:footnoteReference w:id="9"/>
      </w:r>
    </w:p>
    <w:p w:rsidR="009037F4" w:rsidP="002449D7" w14:paraId="448EC856" w14:textId="77777777">
      <w:pPr>
        <w:widowControl/>
        <w:numPr>
          <w:ilvl w:val="0"/>
          <w:numId w:val="7"/>
        </w:numPr>
        <w:spacing w:after="120"/>
      </w:pPr>
      <w:r>
        <w:t xml:space="preserve">Licensees must include email addresses whenever they </w:t>
      </w:r>
      <w:r w:rsidRPr="00AB38B9">
        <w:t>modify, renew, or otherwise touch their existing licenses</w:t>
      </w:r>
      <w:r>
        <w:t>.</w:t>
      </w:r>
      <w:r>
        <w:rPr>
          <w:rStyle w:val="FootnoteReference"/>
        </w:rPr>
        <w:footnoteReference w:id="10"/>
      </w:r>
    </w:p>
    <w:p w:rsidR="00175989" w:rsidP="005F004B" w14:paraId="353046B2" w14:textId="767A4945">
      <w:pPr>
        <w:numPr>
          <w:ilvl w:val="0"/>
          <w:numId w:val="7"/>
        </w:numPr>
        <w:spacing w:after="120"/>
      </w:pPr>
      <w:r>
        <w:t xml:space="preserve">We encourage licensees to add </w:t>
      </w:r>
      <w:r w:rsidR="00CF6DE4">
        <w:t xml:space="preserve">or update </w:t>
      </w:r>
      <w:r>
        <w:t xml:space="preserve">an email address </w:t>
      </w:r>
      <w:r w:rsidR="00D31A34">
        <w:t>by way of administrative update</w:t>
      </w:r>
      <w:r>
        <w:rPr>
          <w:rStyle w:val="FootnoteReference"/>
        </w:rPr>
        <w:footnoteReference w:id="11"/>
      </w:r>
      <w:r w:rsidR="00D31A34">
        <w:t xml:space="preserve"> </w:t>
      </w:r>
      <w:r w:rsidR="00594E5F">
        <w:t xml:space="preserve">in order to receive courtesy electronic reminders </w:t>
      </w:r>
      <w:r w:rsidR="00A30006">
        <w:t xml:space="preserve">and other correspondence </w:t>
      </w:r>
      <w:r w:rsidR="00594E5F">
        <w:t>going forward</w:t>
      </w:r>
      <w:r>
        <w:t xml:space="preserve">. </w:t>
      </w:r>
    </w:p>
    <w:p w:rsidR="00A11D93" w:rsidP="005F004B" w14:paraId="7ED1EA64" w14:textId="247CF2F6">
      <w:pPr>
        <w:numPr>
          <w:ilvl w:val="0"/>
          <w:numId w:val="7"/>
        </w:numPr>
        <w:spacing w:after="120"/>
      </w:pPr>
      <w:r>
        <w:t>Licensees can find i</w:t>
      </w:r>
      <w:r w:rsidR="0019317C">
        <w:t xml:space="preserve">nstructions on how to perform </w:t>
      </w:r>
      <w:r>
        <w:t>administrative update</w:t>
      </w:r>
      <w:r w:rsidR="0019317C">
        <w:t>s</w:t>
      </w:r>
      <w:r w:rsidR="00B701CD">
        <w:t xml:space="preserve"> </w:t>
      </w:r>
      <w:r w:rsidR="00BB1C62">
        <w:t>at</w:t>
      </w:r>
      <w:r w:rsidR="00B701CD">
        <w:t xml:space="preserve">: </w:t>
      </w:r>
      <w:hyperlink r:id="rId5" w:history="1">
        <w:r w:rsidRPr="00220EAB" w:rsidR="00F91F06">
          <w:rPr>
            <w:rStyle w:val="Hyperlink"/>
          </w:rPr>
          <w:t>https://www.fcc.gov/wireless/support/universal-licensing-system-uls-resources/updating-administrative-information</w:t>
        </w:r>
      </w:hyperlink>
      <w:r w:rsidR="00764E4B">
        <w:t>.</w:t>
      </w:r>
    </w:p>
    <w:p w:rsidR="00BC1B20" w:rsidRPr="00285EE5" w:rsidP="00BB62FA" w14:paraId="15011920" w14:textId="3ACDC95B">
      <w:pPr>
        <w:spacing w:after="120"/>
        <w:rPr>
          <w:b/>
          <w:bCs/>
          <w:u w:val="single"/>
        </w:rPr>
      </w:pPr>
      <w:r w:rsidRPr="00285EE5">
        <w:rPr>
          <w:b/>
          <w:bCs/>
          <w:u w:val="single"/>
        </w:rPr>
        <w:t xml:space="preserve">Renewal applications and construction notifications  </w:t>
      </w:r>
    </w:p>
    <w:p w:rsidR="00C91DD9" w:rsidP="00C91DD9" w14:paraId="7741CD35" w14:textId="77777777">
      <w:pPr>
        <w:numPr>
          <w:ilvl w:val="0"/>
          <w:numId w:val="21"/>
        </w:numPr>
        <w:spacing w:after="120"/>
      </w:pPr>
      <w:r>
        <w:t xml:space="preserve">Licensees </w:t>
      </w:r>
      <w:r w:rsidR="00AA12D2">
        <w:t xml:space="preserve">must </w:t>
      </w:r>
      <w:r>
        <w:t>file timely renewal</w:t>
      </w:r>
      <w:r w:rsidR="00764E4B">
        <w:t xml:space="preserve"> </w:t>
      </w:r>
      <w:r w:rsidR="00105C63">
        <w:t>applications</w:t>
      </w:r>
      <w:r>
        <w:rPr>
          <w:rStyle w:val="FootnoteReference"/>
        </w:rPr>
        <w:footnoteReference w:id="12"/>
      </w:r>
      <w:r w:rsidR="00105C63">
        <w:t xml:space="preserve"> </w:t>
      </w:r>
      <w:r w:rsidR="00764E4B">
        <w:t>and construction notification</w:t>
      </w:r>
      <w:r>
        <w:t xml:space="preserve"> applications</w:t>
      </w:r>
      <w:r>
        <w:rPr>
          <w:rStyle w:val="FootnoteReference"/>
        </w:rPr>
        <w:footnoteReference w:id="13"/>
      </w:r>
      <w:r w:rsidR="00A60BCE">
        <w:t xml:space="preserve"> in order to </w:t>
      </w:r>
      <w:r w:rsidR="00773FBC">
        <w:t>main</w:t>
      </w:r>
      <w:r w:rsidR="00A60BCE">
        <w:t xml:space="preserve">tain </w:t>
      </w:r>
      <w:r w:rsidR="00773FBC">
        <w:t xml:space="preserve">active </w:t>
      </w:r>
      <w:r w:rsidR="00A60BCE">
        <w:t xml:space="preserve">license </w:t>
      </w:r>
      <w:r w:rsidR="00773FBC">
        <w:t>status.</w:t>
      </w:r>
      <w:r>
        <w:t xml:space="preserve">  </w:t>
      </w:r>
      <w:r w:rsidRPr="3A265A64">
        <w:t>Failure to timely file renewal applications and construction notifications may lead to license cancelation.</w:t>
      </w:r>
      <w:r>
        <w:rPr>
          <w:rStyle w:val="FootnoteReference"/>
        </w:rPr>
        <w:footnoteReference w:id="14"/>
      </w:r>
    </w:p>
    <w:p w:rsidR="00876893" w:rsidP="00544856" w14:paraId="396AF11A" w14:textId="239AFDA4">
      <w:pPr>
        <w:numPr>
          <w:ilvl w:val="0"/>
          <w:numId w:val="21"/>
        </w:numPr>
        <w:spacing w:after="120"/>
      </w:pPr>
      <w:r>
        <w:t xml:space="preserve">Licensees can find instructions on how to </w:t>
      </w:r>
      <w:r w:rsidR="003F3E9E">
        <w:t>file</w:t>
      </w:r>
      <w:r>
        <w:t xml:space="preserve"> </w:t>
      </w:r>
      <w:r w:rsidR="003F3E9E">
        <w:t xml:space="preserve">license </w:t>
      </w:r>
      <w:r>
        <w:t>renewal</w:t>
      </w:r>
      <w:r w:rsidR="003F3E9E">
        <w:t>s</w:t>
      </w:r>
      <w:r w:rsidR="00F91F06">
        <w:t xml:space="preserve"> applications</w:t>
      </w:r>
      <w:r>
        <w:t xml:space="preserve"> </w:t>
      </w:r>
      <w:r w:rsidR="003F3E9E">
        <w:t>at</w:t>
      </w:r>
      <w:r>
        <w:t xml:space="preserve">: </w:t>
      </w:r>
      <w:hyperlink r:id="rId6" w:history="1">
        <w:r w:rsidRPr="00717F18" w:rsidR="00764E4B">
          <w:rPr>
            <w:rStyle w:val="Hyperlink"/>
          </w:rPr>
          <w:t>https://www.fcc.gov/wireless/support/universal-licensing-system-uls-resources/renewing-license-universal-licensing</w:t>
        </w:r>
      </w:hyperlink>
      <w:r w:rsidR="006319DF">
        <w:rPr>
          <w:rStyle w:val="Hyperlink"/>
        </w:rPr>
        <w:t>.</w:t>
      </w:r>
    </w:p>
    <w:p w:rsidR="00764E4B" w:rsidP="00544856" w14:paraId="56D2C47B" w14:textId="6A3C1E54">
      <w:pPr>
        <w:numPr>
          <w:ilvl w:val="0"/>
          <w:numId w:val="21"/>
        </w:numPr>
        <w:spacing w:after="120"/>
      </w:pPr>
      <w:r>
        <w:t xml:space="preserve">Licensees can find instructions on how to file construction notifications </w:t>
      </w:r>
      <w:r w:rsidR="4D26AF1C">
        <w:t>a</w:t>
      </w:r>
      <w:r w:rsidR="00535303">
        <w:t>t</w:t>
      </w:r>
      <w:r w:rsidR="6E9D7D49">
        <w:t xml:space="preserve">: </w:t>
      </w:r>
      <w:hyperlink r:id="rId7" w:history="1">
        <w:r w:rsidRPr="6252B472" w:rsidR="6E9D7D49">
          <w:rPr>
            <w:rStyle w:val="Hyperlink"/>
          </w:rPr>
          <w:t>https://www.fcc.gov/constructioncoverage-requirements</w:t>
        </w:r>
      </w:hyperlink>
      <w:r w:rsidR="006319DF">
        <w:rPr>
          <w:rStyle w:val="Hyperlink"/>
        </w:rPr>
        <w:t>.</w:t>
      </w:r>
    </w:p>
    <w:p w:rsidR="1BEA7AB5" w:rsidRPr="00286B25" w:rsidP="1C17ACDB" w14:paraId="7DA427A9" w14:textId="29E597D0">
      <w:pPr>
        <w:numPr>
          <w:ilvl w:val="0"/>
          <w:numId w:val="21"/>
        </w:numPr>
        <w:spacing w:after="120"/>
        <w:rPr>
          <w:i/>
          <w:iCs/>
          <w:szCs w:val="22"/>
        </w:rPr>
      </w:pPr>
      <w:r w:rsidRPr="00286B25">
        <w:rPr>
          <w:szCs w:val="22"/>
        </w:rPr>
        <w:t xml:space="preserve">Renewal applications that are late-filed (up to, and including thirty days after expiration) will be granted </w:t>
      </w:r>
      <w:r w:rsidRPr="00286B25">
        <w:rPr>
          <w:i/>
          <w:iCs/>
          <w:szCs w:val="22"/>
        </w:rPr>
        <w:t>nunc pro tunc</w:t>
      </w:r>
      <w:r>
        <w:rPr>
          <w:rStyle w:val="FootnoteReference"/>
          <w:i/>
          <w:iCs/>
          <w:szCs w:val="22"/>
        </w:rPr>
        <w:footnoteReference w:id="15"/>
      </w:r>
      <w:r w:rsidRPr="00286B25">
        <w:rPr>
          <w:i/>
          <w:iCs/>
          <w:szCs w:val="22"/>
        </w:rPr>
        <w:t xml:space="preserve"> </w:t>
      </w:r>
      <w:r w:rsidRPr="00286B25">
        <w:rPr>
          <w:szCs w:val="22"/>
        </w:rPr>
        <w:t>if the application is otherwise sufficient under the rules and is accompanied by a request for waiver, but the licensee may be subject to an enforcement action for unauthorized operation during this time frame.</w:t>
      </w:r>
      <w:r>
        <w:rPr>
          <w:rStyle w:val="FootnoteReference"/>
          <w:szCs w:val="22"/>
        </w:rPr>
        <w:footnoteReference w:id="16"/>
      </w:r>
    </w:p>
    <w:p w:rsidR="00A3476C" w:rsidRPr="00286B25" w:rsidP="1C17ACDB" w14:paraId="5EB76D13" w14:textId="56F9E7C5">
      <w:pPr>
        <w:numPr>
          <w:ilvl w:val="0"/>
          <w:numId w:val="21"/>
        </w:numPr>
        <w:spacing w:after="120"/>
        <w:rPr>
          <w:szCs w:val="22"/>
        </w:rPr>
      </w:pPr>
      <w:r w:rsidRPr="00286B25">
        <w:rPr>
          <w:szCs w:val="22"/>
        </w:rPr>
        <w:t>R</w:t>
      </w:r>
      <w:r w:rsidRPr="00286B25" w:rsidR="00914120">
        <w:rPr>
          <w:szCs w:val="22"/>
        </w:rPr>
        <w:t xml:space="preserve">enewal applications </w:t>
      </w:r>
      <w:r w:rsidRPr="00286B25">
        <w:rPr>
          <w:szCs w:val="22"/>
        </w:rPr>
        <w:t xml:space="preserve">filed </w:t>
      </w:r>
      <w:r w:rsidRPr="00286B25" w:rsidR="00914120">
        <w:rPr>
          <w:szCs w:val="22"/>
        </w:rPr>
        <w:t xml:space="preserve">more than thirty days after the license expiration date </w:t>
      </w:r>
      <w:r w:rsidRPr="00286B25" w:rsidR="00914120">
        <w:rPr>
          <w:bCs/>
          <w:szCs w:val="22"/>
        </w:rPr>
        <w:t>will not be routinely granted</w:t>
      </w:r>
      <w:r w:rsidRPr="00286B25" w:rsidR="00914120">
        <w:rPr>
          <w:szCs w:val="22"/>
        </w:rPr>
        <w:t xml:space="preserve">, will be subject to stricter review, and also may be </w:t>
      </w:r>
      <w:r w:rsidRPr="00286B25" w:rsidR="00A50F42">
        <w:rPr>
          <w:szCs w:val="22"/>
        </w:rPr>
        <w:t>subject to</w:t>
      </w:r>
      <w:r w:rsidRPr="00286B25" w:rsidR="00914120">
        <w:rPr>
          <w:szCs w:val="22"/>
        </w:rPr>
        <w:t xml:space="preserve"> enforcement action, including more significant fines or forfeitures.</w:t>
      </w:r>
      <w:r>
        <w:rPr>
          <w:rStyle w:val="FootnoteReference"/>
          <w:szCs w:val="22"/>
        </w:rPr>
        <w:footnoteReference w:id="17"/>
      </w:r>
    </w:p>
    <w:p w:rsidR="00286B25" w:rsidRPr="007A3FEA" w:rsidP="1C17ACDB" w14:paraId="0887D427" w14:textId="6C958038">
      <w:pPr>
        <w:numPr>
          <w:ilvl w:val="0"/>
          <w:numId w:val="21"/>
        </w:numPr>
        <w:spacing w:after="120"/>
        <w:rPr>
          <w:i/>
          <w:iCs/>
          <w:szCs w:val="22"/>
        </w:rPr>
      </w:pPr>
      <w:r>
        <w:rPr>
          <w:szCs w:val="22"/>
        </w:rPr>
        <w:t xml:space="preserve">Licensees </w:t>
      </w:r>
      <w:r>
        <w:t>can find instructions on how to file</w:t>
      </w:r>
      <w:r w:rsidR="00382499">
        <w:t xml:space="preserve"> a waiver request or other pleading at </w:t>
      </w:r>
      <w:hyperlink r:id="rId8" w:history="1">
        <w:r w:rsidRPr="00EE1DF0" w:rsidR="00C91DD9">
          <w:rPr>
            <w:rStyle w:val="Hyperlink"/>
          </w:rPr>
          <w:t>https://www.fcc.gov/wireless/support/universal-licensing-system-uls-resources/filing-pleading-universal-licensing-system</w:t>
        </w:r>
      </w:hyperlink>
      <w:r w:rsidR="00382499">
        <w:t>.</w:t>
      </w:r>
    </w:p>
    <w:p w:rsidR="00C91DD9" w:rsidP="00C91DD9" w14:paraId="45AC1714" w14:textId="77777777">
      <w:pPr>
        <w:numPr>
          <w:ilvl w:val="0"/>
          <w:numId w:val="21"/>
        </w:numPr>
        <w:spacing w:after="120"/>
        <w:rPr>
          <w:szCs w:val="22"/>
        </w:rPr>
      </w:pPr>
      <w:r>
        <w:t xml:space="preserve">PSHSB sends reminder notices for renewal and construction notification applications as a courtesy, and electronic notices sent to email addresses on file with the Commission will be deemed to have been served.  It is the licensee’s responsibility to keep track of construction buildout dates and expiration dates.  Non-receipt of a courtesy reminder notice generally is not an acceptable excuse for failure to </w:t>
      </w:r>
      <w:r w:rsidRPr="6252B472">
        <w:rPr>
          <w:szCs w:val="22"/>
        </w:rPr>
        <w:t xml:space="preserve">timely file </w:t>
      </w:r>
      <w:r>
        <w:rPr>
          <w:szCs w:val="22"/>
        </w:rPr>
        <w:t xml:space="preserve">a </w:t>
      </w:r>
      <w:r w:rsidRPr="6252B472">
        <w:rPr>
          <w:szCs w:val="22"/>
        </w:rPr>
        <w:t xml:space="preserve">renewal application </w:t>
      </w:r>
      <w:r>
        <w:rPr>
          <w:szCs w:val="22"/>
        </w:rPr>
        <w:t xml:space="preserve">or </w:t>
      </w:r>
      <w:r w:rsidRPr="6252B472">
        <w:rPr>
          <w:szCs w:val="22"/>
        </w:rPr>
        <w:t>construction notification</w:t>
      </w:r>
      <w:r>
        <w:rPr>
          <w:szCs w:val="22"/>
        </w:rPr>
        <w:t>.</w:t>
      </w:r>
    </w:p>
    <w:bookmarkEnd w:id="2"/>
    <w:p w:rsidR="002C6DB9" w:rsidRPr="00894359" w:rsidP="66C1FDAE" w14:paraId="528DC6A3" w14:textId="11A190FD">
      <w:pPr>
        <w:widowControl/>
        <w:autoSpaceDE w:val="0"/>
        <w:autoSpaceDN w:val="0"/>
        <w:adjustRightInd w:val="0"/>
        <w:spacing w:after="120"/>
        <w:ind w:firstLine="720"/>
        <w:rPr>
          <w:rFonts w:ascii="TimesNewRomanPSMT" w:eastAsia="TimesNewRomanPSMT" w:hAnsi="TimesNewRomanPSMT" w:cs="TimesNewRomanPSMT"/>
          <w:snapToGrid/>
          <w:color w:val="000000"/>
          <w:kern w:val="0"/>
        </w:rPr>
      </w:pPr>
      <w:r w:rsidRPr="00894359">
        <w:rPr>
          <w:rFonts w:ascii="TimesNewRomanPSMT" w:eastAsia="TimesNewRomanPSMT" w:hAnsi="TimesNewRomanPSMT" w:cs="TimesNewRomanPSMT"/>
          <w:b/>
          <w:bCs/>
          <w:snapToGrid/>
          <w:color w:val="000000"/>
          <w:kern w:val="0"/>
        </w:rPr>
        <w:t>For assistance filing your application(s) electronically, please submit a help request at</w:t>
      </w:r>
      <w:r w:rsidRPr="00894359" w:rsidR="00E8751C">
        <w:rPr>
          <w:rFonts w:ascii="TimesNewRomanPSMT" w:eastAsia="TimesNewRomanPSMT" w:hAnsi="TimesNewRomanPSMT" w:cs="TimesNewRomanPSMT"/>
          <w:b/>
          <w:bCs/>
          <w:snapToGrid/>
          <w:color w:val="000000"/>
          <w:kern w:val="0"/>
        </w:rPr>
        <w:t xml:space="preserve"> </w:t>
      </w:r>
      <w:hyperlink r:id="rId9" w:history="1">
        <w:r w:rsidRPr="00894359" w:rsidR="00556871">
          <w:rPr>
            <w:rStyle w:val="Hyperlink"/>
            <w:rFonts w:ascii="TimesNewRomanPSMT" w:eastAsia="TimesNewRomanPSMT" w:hAnsi="TimesNewRomanPSMT" w:cs="TimesNewRomanPSMT"/>
            <w:b/>
            <w:bCs/>
            <w:snapToGrid/>
            <w:kern w:val="0"/>
          </w:rPr>
          <w:t>https://www.fcc.gov/wireless/available-support-services</w:t>
        </w:r>
      </w:hyperlink>
      <w:r w:rsidRPr="00894359" w:rsidR="00556871">
        <w:rPr>
          <w:rFonts w:ascii="TimesNewRomanPSMT" w:eastAsia="TimesNewRomanPSMT" w:hAnsi="TimesNewRomanPSMT" w:cs="TimesNewRomanPSMT"/>
          <w:b/>
          <w:bCs/>
          <w:snapToGrid/>
          <w:color w:val="0000FF"/>
          <w:kern w:val="0"/>
        </w:rPr>
        <w:t xml:space="preserve"> </w:t>
      </w:r>
      <w:r w:rsidRPr="00894359">
        <w:rPr>
          <w:rFonts w:ascii="TimesNewRomanPSMT" w:eastAsia="TimesNewRomanPSMT" w:hAnsi="TimesNewRomanPSMT" w:cs="TimesNewRomanPSMT"/>
          <w:b/>
          <w:bCs/>
          <w:snapToGrid/>
          <w:color w:val="000000"/>
          <w:kern w:val="0"/>
        </w:rPr>
        <w:t>or call the FCC Licensing Support Center</w:t>
      </w:r>
      <w:r w:rsidRPr="00894359" w:rsidR="00E8751C">
        <w:rPr>
          <w:rFonts w:ascii="TimesNewRomanPSMT" w:eastAsia="TimesNewRomanPSMT" w:hAnsi="TimesNewRomanPSMT" w:cs="TimesNewRomanPSMT"/>
          <w:b/>
          <w:bCs/>
          <w:snapToGrid/>
          <w:color w:val="000000"/>
          <w:kern w:val="0"/>
        </w:rPr>
        <w:t xml:space="preserve"> </w:t>
      </w:r>
      <w:r w:rsidRPr="00894359">
        <w:rPr>
          <w:rFonts w:ascii="TimesNewRomanPSMT" w:eastAsia="TimesNewRomanPSMT" w:hAnsi="TimesNewRomanPSMT" w:cs="TimesNewRomanPSMT"/>
          <w:b/>
          <w:bCs/>
          <w:snapToGrid/>
          <w:color w:val="000000"/>
          <w:kern w:val="0"/>
        </w:rPr>
        <w:t>at (877) 480-3201, the hours of operation are 8:00 AM- 6:00</w:t>
      </w:r>
      <w:r w:rsidRPr="00894359" w:rsidR="00315C6A">
        <w:rPr>
          <w:rFonts w:ascii="TimesNewRomanPSMT" w:eastAsia="TimesNewRomanPSMT" w:hAnsi="TimesNewRomanPSMT" w:cs="TimesNewRomanPSMT"/>
          <w:b/>
          <w:bCs/>
          <w:snapToGrid/>
          <w:color w:val="000000"/>
          <w:kern w:val="0"/>
        </w:rPr>
        <w:t xml:space="preserve"> </w:t>
      </w:r>
      <w:r w:rsidRPr="00894359">
        <w:rPr>
          <w:rFonts w:ascii="TimesNewRomanPSMT" w:eastAsia="TimesNewRomanPSMT" w:hAnsi="TimesNewRomanPSMT" w:cs="TimesNewRomanPSMT"/>
          <w:b/>
          <w:bCs/>
          <w:snapToGrid/>
          <w:color w:val="000000"/>
          <w:kern w:val="0"/>
        </w:rPr>
        <w:t>PM ET, Monday to Friday</w:t>
      </w:r>
      <w:r w:rsidRPr="002449D7">
        <w:rPr>
          <w:rFonts w:ascii="TimesNewRomanPSMT" w:eastAsia="TimesNewRomanPSMT" w:hAnsi="TimesNewRomanPSMT" w:cs="TimesNewRomanPSMT"/>
          <w:snapToGrid/>
          <w:color w:val="000000"/>
          <w:kern w:val="0"/>
        </w:rPr>
        <w:t>.</w:t>
      </w:r>
      <w:r w:rsidRPr="00894359" w:rsidR="00E8751C">
        <w:rPr>
          <w:rFonts w:ascii="TimesNewRomanPSMT" w:eastAsia="TimesNewRomanPSMT" w:hAnsi="TimesNewRomanPSMT" w:cs="TimesNewRomanPSMT"/>
          <w:b/>
          <w:bCs/>
          <w:snapToGrid/>
          <w:color w:val="000000"/>
          <w:kern w:val="0"/>
        </w:rPr>
        <w:t xml:space="preserve">  </w:t>
      </w:r>
      <w:r w:rsidRPr="00894359">
        <w:rPr>
          <w:rFonts w:ascii="TimesNewRomanPSMT" w:eastAsia="TimesNewRomanPSMT" w:hAnsi="TimesNewRomanPSMT" w:cs="TimesNewRomanPSMT"/>
          <w:snapToGrid/>
          <w:color w:val="000000"/>
          <w:kern w:val="0"/>
        </w:rPr>
        <w:t>Interested</w:t>
      </w:r>
      <w:r w:rsidRPr="00894359" w:rsidR="00E8751C">
        <w:rPr>
          <w:rFonts w:ascii="TimesNewRomanPSMT" w:eastAsia="TimesNewRomanPSMT" w:hAnsi="TimesNewRomanPSMT" w:cs="TimesNewRomanPSMT"/>
          <w:snapToGrid/>
          <w:color w:val="000000"/>
          <w:kern w:val="0"/>
        </w:rPr>
        <w:t xml:space="preserve"> </w:t>
      </w:r>
      <w:r w:rsidRPr="00894359">
        <w:rPr>
          <w:rFonts w:ascii="TimesNewRomanPSMT" w:eastAsia="TimesNewRomanPSMT" w:hAnsi="TimesNewRomanPSMT" w:cs="TimesNewRomanPSMT"/>
          <w:snapToGrid/>
          <w:color w:val="000000"/>
          <w:kern w:val="0"/>
        </w:rPr>
        <w:t xml:space="preserve">Parties who have questions concerning this </w:t>
      </w:r>
      <w:r w:rsidRPr="00894359">
        <w:rPr>
          <w:rFonts w:ascii="TimesNewRomanPSMT" w:eastAsia="TimesNewRomanPSMT" w:hAnsi="TimesNewRomanPSMT" w:cs="TimesNewRomanPSMT"/>
          <w:i/>
          <w:iCs/>
          <w:snapToGrid/>
          <w:color w:val="000000"/>
          <w:kern w:val="0"/>
        </w:rPr>
        <w:t>Public Notice</w:t>
      </w:r>
      <w:r w:rsidRPr="00894359">
        <w:rPr>
          <w:rFonts w:ascii="TimesNewRomanPSMT" w:eastAsia="TimesNewRomanPSMT" w:hAnsi="TimesNewRomanPSMT" w:cs="TimesNewRomanPSMT"/>
          <w:snapToGrid/>
          <w:color w:val="000000"/>
          <w:kern w:val="0"/>
        </w:rPr>
        <w:t xml:space="preserve"> may contact Tracy Simmons of the Public Safety and Homeland Security Bureau, Policy and Licensing Division, (717) 338-2657, </w:t>
      </w:r>
      <w:hyperlink r:id="rId10" w:history="1">
        <w:r w:rsidRPr="00894359">
          <w:rPr>
            <w:rStyle w:val="Hyperlink"/>
            <w:rFonts w:ascii="TimesNewRomanPSMT" w:eastAsia="TimesNewRomanPSMT" w:hAnsi="TimesNewRomanPSMT" w:cs="TimesNewRomanPSMT"/>
            <w:snapToGrid/>
            <w:kern w:val="0"/>
          </w:rPr>
          <w:t>Tracy.Simmons@fcc.gov</w:t>
        </w:r>
      </w:hyperlink>
      <w:r w:rsidRPr="00894359">
        <w:rPr>
          <w:rFonts w:ascii="TimesNewRomanPSMT" w:eastAsia="TimesNewRomanPSMT" w:hAnsi="TimesNewRomanPSMT" w:cs="TimesNewRomanPSMT"/>
          <w:snapToGrid/>
          <w:color w:val="000000"/>
          <w:kern w:val="0"/>
        </w:rPr>
        <w:t>.</w:t>
      </w:r>
    </w:p>
    <w:p w:rsidR="005430A7" w:rsidRPr="00894359" w:rsidP="66C1FDAE" w14:paraId="147EFCCB" w14:textId="5DB05B0D">
      <w:pPr>
        <w:widowControl/>
        <w:autoSpaceDE w:val="0"/>
        <w:autoSpaceDN w:val="0"/>
        <w:adjustRightInd w:val="0"/>
        <w:spacing w:after="120"/>
        <w:ind w:firstLine="720"/>
        <w:rPr>
          <w:rFonts w:ascii="TimesNewRomanPSMT" w:eastAsia="TimesNewRomanPSMT" w:hAnsi="TimesNewRomanPSMT" w:cs="TimesNewRomanPSMT"/>
          <w:snapToGrid/>
          <w:color w:val="000000"/>
          <w:kern w:val="0"/>
        </w:rPr>
      </w:pPr>
      <w:r w:rsidRPr="00894359">
        <w:rPr>
          <w:rFonts w:ascii="TimesNewRomanPSMT" w:eastAsia="TimesNewRomanPSMT" w:hAnsi="TimesNewRomanPSMT" w:cs="TimesNewRomanPSMT"/>
          <w:snapToGrid/>
          <w:color w:val="000000"/>
          <w:kern w:val="0"/>
        </w:rPr>
        <w:t>Action by the Chief, Public Safety and Homeland Security Bureau</w:t>
      </w:r>
      <w:r w:rsidRPr="00894359" w:rsidR="00535303">
        <w:rPr>
          <w:rFonts w:ascii="TimesNewRomanPSMT" w:eastAsia="TimesNewRomanPSMT" w:hAnsi="TimesNewRomanPSMT" w:cs="TimesNewRomanPSMT"/>
          <w:snapToGrid/>
          <w:color w:val="000000"/>
          <w:kern w:val="0"/>
        </w:rPr>
        <w:t>.</w:t>
      </w:r>
    </w:p>
    <w:p w:rsidR="00E16098" w:rsidRPr="00E16098" w:rsidP="00E16098" w14:paraId="51A1EE25" w14:textId="0CA21FE5">
      <w:pPr>
        <w:widowControl/>
        <w:autoSpaceDE w:val="0"/>
        <w:autoSpaceDN w:val="0"/>
        <w:adjustRightInd w:val="0"/>
        <w:spacing w:after="120"/>
        <w:jc w:val="center"/>
        <w:rPr>
          <w:b/>
          <w:bCs/>
        </w:rPr>
      </w:pPr>
      <w:r w:rsidRPr="00E16098">
        <w:rPr>
          <w:rFonts w:ascii="TimesNewRomanPSMT" w:hAnsi="TimesNewRomanPSMT" w:cs="TimesNewRomanPSMT"/>
          <w:b/>
          <w:bCs/>
          <w:snapToGrid/>
          <w:color w:val="000000"/>
          <w:kern w:val="0"/>
          <w:szCs w:val="22"/>
        </w:rPr>
        <w:t>-FCC-</w:t>
      </w: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DD8" w14:paraId="331BF805" w14:textId="77777777">
    <w:pPr>
      <w:pStyle w:val="Footer"/>
      <w:framePr w:wrap="around" w:vAnchor="text" w:hAnchor="margin" w:xAlign="center" w:y="1"/>
    </w:pPr>
    <w:r>
      <w:fldChar w:fldCharType="begin"/>
    </w:r>
    <w:r>
      <w:instrText xml:space="preserve">PAGE  </w:instrText>
    </w:r>
    <w:r>
      <w:fldChar w:fldCharType="separate"/>
    </w:r>
    <w:r>
      <w:fldChar w:fldCharType="end"/>
    </w:r>
  </w:p>
  <w:p w:rsidR="00877DD8" w14:paraId="5306AF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DD8" w14:paraId="4F564F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DD8" w14:paraId="5F62A6F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3D91" w14:paraId="51FB9367" w14:textId="77777777">
      <w:r>
        <w:separator/>
      </w:r>
    </w:p>
  </w:footnote>
  <w:footnote w:type="continuationSeparator" w:id="1">
    <w:p w:rsidR="004C3D91" w14:paraId="6CE1F56C" w14:textId="77777777">
      <w:pPr>
        <w:rPr>
          <w:sz w:val="20"/>
        </w:rPr>
      </w:pPr>
      <w:r>
        <w:rPr>
          <w:sz w:val="20"/>
        </w:rPr>
        <w:t xml:space="preserve">(Continued from previous page)  </w:t>
      </w:r>
      <w:r>
        <w:rPr>
          <w:sz w:val="20"/>
        </w:rPr>
        <w:separator/>
      </w:r>
    </w:p>
  </w:footnote>
  <w:footnote w:type="continuationNotice" w:id="2">
    <w:p w:rsidR="004C3D91" w14:paraId="6486043A" w14:textId="77777777">
      <w:pPr>
        <w:jc w:val="right"/>
        <w:rPr>
          <w:sz w:val="20"/>
        </w:rPr>
      </w:pPr>
      <w:r>
        <w:rPr>
          <w:sz w:val="20"/>
        </w:rPr>
        <w:t>(continued….)</w:t>
      </w:r>
    </w:p>
  </w:footnote>
  <w:footnote w:id="3">
    <w:p w:rsidR="00984E1D" w:rsidRPr="00535303" w:rsidP="00984E1D" w14:paraId="546C38CF" w14:textId="4FBF5E4F">
      <w:pPr>
        <w:pStyle w:val="FootnoteText"/>
        <w:rPr>
          <w:rFonts w:ascii="Open Sans" w:eastAsia="Open Sans" w:hAnsi="Open Sans" w:cs="Open Sans"/>
          <w:color w:val="1D2B3E"/>
        </w:rPr>
      </w:pPr>
      <w:r w:rsidRPr="00535303">
        <w:rPr>
          <w:rStyle w:val="FootnoteReference"/>
          <w:sz w:val="20"/>
        </w:rPr>
        <w:footnoteRef/>
      </w:r>
      <w:r w:rsidRPr="00535303">
        <w:t xml:space="preserve"> </w:t>
      </w:r>
      <w:r w:rsidRPr="00535303">
        <w:rPr>
          <w:rFonts w:ascii="TimesNewRomanPSMT" w:eastAsia="TimesNewRomanPSMT" w:hAnsi="TimesNewRomanPSMT" w:cs="TimesNewRomanPSMT"/>
          <w:i/>
          <w:iCs/>
          <w:color w:val="1D2B3E"/>
        </w:rPr>
        <w:t>Completing the Transition to Electronic Filing, Licenses and Authorizations, and Correspondence in the Wireless Radio Service</w:t>
      </w:r>
      <w:r w:rsidRPr="00535303">
        <w:rPr>
          <w:rFonts w:ascii="TimesNewRomanPSMT" w:eastAsia="TimesNewRomanPSMT" w:hAnsi="TimesNewRomanPSMT" w:cs="TimesNewRomanPSMT"/>
          <w:color w:val="1D2B3E"/>
        </w:rPr>
        <w:t xml:space="preserve">s, </w:t>
      </w:r>
      <w:r w:rsidRPr="00535303">
        <w:t>WT Docket No. 19-212</w:t>
      </w:r>
      <w:r>
        <w:t xml:space="preserve">, </w:t>
      </w:r>
      <w:r w:rsidRPr="00535303">
        <w:rPr>
          <w:rFonts w:ascii="TimesNewRomanPSMT" w:eastAsia="TimesNewRomanPSMT" w:hAnsi="TimesNewRomanPSMT" w:cs="TimesNewRomanPSMT"/>
          <w:color w:val="1D2B3E"/>
        </w:rPr>
        <w:t xml:space="preserve">Report and Order, 35 FCC </w:t>
      </w:r>
      <w:r w:rsidR="00D646E5">
        <w:rPr>
          <w:rFonts w:ascii="TimesNewRomanPSMT" w:eastAsia="TimesNewRomanPSMT" w:hAnsi="TimesNewRomanPSMT" w:cs="TimesNewRomanPSMT"/>
          <w:color w:val="1D2B3E"/>
        </w:rPr>
        <w:t xml:space="preserve">Rcd </w:t>
      </w:r>
      <w:r w:rsidRPr="00535303">
        <w:rPr>
          <w:rFonts w:ascii="TimesNewRomanPSMT" w:eastAsia="TimesNewRomanPSMT" w:hAnsi="TimesNewRomanPSMT" w:cs="TimesNewRomanPSMT"/>
          <w:color w:val="1D2B3E"/>
        </w:rPr>
        <w:t>10781 (2020)</w:t>
      </w:r>
      <w:r w:rsidR="002D5517">
        <w:rPr>
          <w:rFonts w:ascii="TimesNewRomanPSMT" w:eastAsia="TimesNewRomanPSMT" w:hAnsi="TimesNewRomanPSMT" w:cs="TimesNewRomanPSMT"/>
          <w:color w:val="1D2B3E"/>
        </w:rPr>
        <w:t xml:space="preserve"> (</w:t>
      </w:r>
      <w:r w:rsidRPr="00894359" w:rsidR="00970C62">
        <w:rPr>
          <w:rFonts w:ascii="TimesNewRomanPSMT" w:eastAsia="TimesNewRomanPSMT" w:hAnsi="TimesNewRomanPSMT" w:cs="TimesNewRomanPSMT"/>
          <w:i/>
          <w:iCs/>
          <w:color w:val="1D2B3E"/>
        </w:rPr>
        <w:t>Electronic Filing Report and Order</w:t>
      </w:r>
      <w:r w:rsidR="002D5517">
        <w:rPr>
          <w:rFonts w:ascii="TimesNewRomanPSMT" w:eastAsia="TimesNewRomanPSMT" w:hAnsi="TimesNewRomanPSMT" w:cs="TimesNewRomanPSMT"/>
          <w:color w:val="1D2B3E"/>
        </w:rPr>
        <w:t>)</w:t>
      </w:r>
      <w:r w:rsidRPr="00535303">
        <w:rPr>
          <w:rFonts w:ascii="TimesNewRomanPSMT" w:eastAsia="TimesNewRomanPSMT" w:hAnsi="TimesNewRomanPSMT" w:cs="TimesNewRomanPSMT"/>
          <w:color w:val="1D2B3E"/>
        </w:rPr>
        <w:t>.</w:t>
      </w:r>
    </w:p>
  </w:footnote>
  <w:footnote w:id="4">
    <w:p w:rsidR="009F3AA8" w:rsidRPr="00574A90" w14:paraId="4D36F45B" w14:textId="6A873021">
      <w:pPr>
        <w:pStyle w:val="FootnoteText"/>
      </w:pPr>
      <w:r>
        <w:rPr>
          <w:rStyle w:val="FootnoteReference"/>
        </w:rPr>
        <w:footnoteRef/>
      </w:r>
      <w:r>
        <w:t xml:space="preserve"> </w:t>
      </w:r>
      <w:r w:rsidR="00D646E5">
        <w:rPr>
          <w:i/>
          <w:iCs/>
        </w:rPr>
        <w:t>Id</w:t>
      </w:r>
      <w:r w:rsidR="00D646E5">
        <w:t>. at 1079</w:t>
      </w:r>
      <w:r w:rsidR="00BD6507">
        <w:t>3</w:t>
      </w:r>
      <w:r w:rsidR="00081B0E">
        <w:t>,</w:t>
      </w:r>
      <w:r w:rsidR="00BD6507">
        <w:t xml:space="preserve"> para. 43</w:t>
      </w:r>
      <w:r w:rsidR="00574A90">
        <w:t xml:space="preserve">; </w:t>
      </w:r>
      <w:r w:rsidR="00574A90">
        <w:rPr>
          <w:i/>
          <w:iCs/>
        </w:rPr>
        <w:t>see</w:t>
      </w:r>
      <w:r w:rsidR="00081B0E">
        <w:rPr>
          <w:i/>
          <w:iCs/>
        </w:rPr>
        <w:t xml:space="preserve"> also</w:t>
      </w:r>
      <w:r w:rsidR="00574A90">
        <w:t xml:space="preserve"> 47 CFR </w:t>
      </w:r>
      <w:r w:rsidR="00CE2379">
        <w:t xml:space="preserve">§ </w:t>
      </w:r>
      <w:r w:rsidR="0019537E">
        <w:t>1.47</w:t>
      </w:r>
      <w:r w:rsidR="00574A90">
        <w:t>.</w:t>
      </w:r>
      <w:r w:rsidR="0020407F">
        <w:t xml:space="preserve">  Notices sent to email addresses on file with the Commission will be deemed to have been served.  47 CFR §</w:t>
      </w:r>
      <w:r w:rsidR="004E1C94">
        <w:t>§ 1.5</w:t>
      </w:r>
      <w:r w:rsidR="004C1FCE">
        <w:t>(a)</w:t>
      </w:r>
      <w:r w:rsidR="004E1C94">
        <w:t>,</w:t>
      </w:r>
      <w:r w:rsidR="0020407F">
        <w:t xml:space="preserve"> 1.923(i).</w:t>
      </w:r>
    </w:p>
  </w:footnote>
  <w:footnote w:id="5">
    <w:p w:rsidR="00672F9A" w:rsidRPr="00535303" w:rsidP="00672F9A" w14:paraId="4115C746" w14:textId="3458245A">
      <w:pPr>
        <w:pStyle w:val="FootnoteText"/>
      </w:pPr>
      <w:r w:rsidRPr="00535303">
        <w:rPr>
          <w:rStyle w:val="FootnoteReference"/>
          <w:sz w:val="20"/>
        </w:rPr>
        <w:footnoteRef/>
      </w:r>
      <w:r w:rsidRPr="00535303">
        <w:t xml:space="preserve"> </w:t>
      </w:r>
      <w:r w:rsidRPr="00535303">
        <w:rPr>
          <w:i/>
          <w:iCs/>
        </w:rPr>
        <w:t>Reminder: Electronic Filing Required For All Wireless Radio Service Applications Beginning June 29, 2021</w:t>
      </w:r>
      <w:r w:rsidRPr="00535303">
        <w:t xml:space="preserve">, WT Docket No. 19-212, Public Notice, </w:t>
      </w:r>
      <w:r w:rsidRPr="00894359" w:rsidR="003516AD">
        <w:rPr>
          <w:color w:val="1D2B3E"/>
        </w:rPr>
        <w:t>36 FCC Rcd 9472</w:t>
      </w:r>
      <w:r w:rsidR="00C91DD9">
        <w:rPr>
          <w:color w:val="1D2B3E"/>
        </w:rPr>
        <w:t xml:space="preserve"> </w:t>
      </w:r>
      <w:r w:rsidRPr="00535303">
        <w:t>(WTB/PSHSB 2021)</w:t>
      </w:r>
      <w:r w:rsidR="0020366C">
        <w:t xml:space="preserve"> (</w:t>
      </w:r>
      <w:r w:rsidR="0020366C">
        <w:rPr>
          <w:i/>
          <w:iCs/>
        </w:rPr>
        <w:t>2021 Reminder Notice</w:t>
      </w:r>
      <w:r w:rsidR="0020366C">
        <w:t>)</w:t>
      </w:r>
      <w:r w:rsidRPr="00535303">
        <w:t>.</w:t>
      </w:r>
    </w:p>
  </w:footnote>
  <w:footnote w:id="6">
    <w:p w:rsidR="003E6FA8" w:rsidRPr="0020366C" w14:paraId="5E4D3C28" w14:textId="17DD48FE">
      <w:pPr>
        <w:pStyle w:val="FootnoteText"/>
      </w:pPr>
      <w:r>
        <w:rPr>
          <w:rStyle w:val="FootnoteReference"/>
        </w:rPr>
        <w:footnoteRef/>
      </w:r>
      <w:r>
        <w:t xml:space="preserve"> </w:t>
      </w:r>
      <w:r w:rsidRPr="00894359" w:rsidR="00894359">
        <w:rPr>
          <w:rFonts w:ascii="TimesNewRomanPSMT" w:eastAsia="TimesNewRomanPSMT" w:hAnsi="TimesNewRomanPSMT" w:cs="TimesNewRomanPSMT"/>
          <w:i/>
          <w:iCs/>
          <w:color w:val="1D2B3E"/>
        </w:rPr>
        <w:t>Electronic Filing Report and Order</w:t>
      </w:r>
      <w:r w:rsidR="00894359">
        <w:rPr>
          <w:rFonts w:ascii="TimesNewRomanPSMT" w:eastAsia="TimesNewRomanPSMT" w:hAnsi="TimesNewRomanPSMT" w:cs="TimesNewRomanPSMT"/>
          <w:color w:val="1D2B3E"/>
        </w:rPr>
        <w:t xml:space="preserve"> at </w:t>
      </w:r>
      <w:r w:rsidR="002707CA">
        <w:rPr>
          <w:rFonts w:ascii="TimesNewRomanPSMT" w:eastAsia="TimesNewRomanPSMT" w:hAnsi="TimesNewRomanPSMT" w:cs="TimesNewRomanPSMT"/>
          <w:color w:val="1D2B3E"/>
        </w:rPr>
        <w:t>10793,</w:t>
      </w:r>
      <w:r w:rsidR="00894359">
        <w:rPr>
          <w:rFonts w:ascii="TimesNewRomanPSMT" w:eastAsia="TimesNewRomanPSMT" w:hAnsi="TimesNewRomanPSMT" w:cs="TimesNewRomanPSMT"/>
          <w:color w:val="1D2B3E"/>
        </w:rPr>
        <w:t xml:space="preserve"> para. 42;</w:t>
      </w:r>
      <w:r>
        <w:t xml:space="preserve"> </w:t>
      </w:r>
      <w:r w:rsidR="0020366C">
        <w:rPr>
          <w:i/>
          <w:iCs/>
        </w:rPr>
        <w:t>2021 Reminder Notice</w:t>
      </w:r>
      <w:r w:rsidR="0020366C">
        <w:t xml:space="preserve"> at </w:t>
      </w:r>
      <w:r w:rsidR="002707CA">
        <w:t>9473.</w:t>
      </w:r>
    </w:p>
  </w:footnote>
  <w:footnote w:id="7">
    <w:p w:rsidR="003E6FA8" w14:paraId="1FCDE80D" w14:textId="3A984FFC">
      <w:pPr>
        <w:pStyle w:val="FootnoteText"/>
      </w:pPr>
      <w:r>
        <w:rPr>
          <w:rStyle w:val="FootnoteReference"/>
        </w:rPr>
        <w:footnoteRef/>
      </w:r>
      <w:r>
        <w:t xml:space="preserve"> </w:t>
      </w:r>
      <w:r w:rsidRPr="00894359" w:rsidR="00894359">
        <w:rPr>
          <w:rFonts w:ascii="TimesNewRomanPSMT" w:eastAsia="TimesNewRomanPSMT" w:hAnsi="TimesNewRomanPSMT" w:cs="TimesNewRomanPSMT"/>
          <w:i/>
          <w:iCs/>
          <w:color w:val="1D2B3E"/>
        </w:rPr>
        <w:t>Electronic Filing Report and Order</w:t>
      </w:r>
      <w:r w:rsidR="00894359">
        <w:rPr>
          <w:rFonts w:ascii="TimesNewRomanPSMT" w:eastAsia="TimesNewRomanPSMT" w:hAnsi="TimesNewRomanPSMT" w:cs="TimesNewRomanPSMT"/>
          <w:color w:val="1D2B3E"/>
        </w:rPr>
        <w:t xml:space="preserve"> at </w:t>
      </w:r>
      <w:r w:rsidR="002707CA">
        <w:rPr>
          <w:rFonts w:ascii="TimesNewRomanPSMT" w:eastAsia="TimesNewRomanPSMT" w:hAnsi="TimesNewRomanPSMT" w:cs="TimesNewRomanPSMT"/>
          <w:color w:val="1D2B3E"/>
        </w:rPr>
        <w:t xml:space="preserve">10793, para. 42; </w:t>
      </w:r>
      <w:r w:rsidR="004227E6">
        <w:rPr>
          <w:rFonts w:ascii="TimesNewRomanPSMT" w:eastAsia="TimesNewRomanPSMT" w:hAnsi="TimesNewRomanPSMT" w:cs="TimesNewRomanPSMT"/>
          <w:color w:val="1D2B3E"/>
        </w:rPr>
        <w:t>47 CFR 1.955(a)(1)-(2).</w:t>
      </w:r>
    </w:p>
  </w:footnote>
  <w:footnote w:id="8">
    <w:p w:rsidR="00DC248D" w:rsidP="00DC248D" w14:paraId="49F0C5D6" w14:textId="77777777">
      <w:pPr>
        <w:pStyle w:val="FootnoteText"/>
      </w:pPr>
      <w:r>
        <w:rPr>
          <w:rStyle w:val="FootnoteReference"/>
        </w:rPr>
        <w:footnoteRef/>
      </w:r>
      <w:r>
        <w:t xml:space="preserve"> 47 CFR §§ 1.5, 1.923(i). </w:t>
      </w:r>
    </w:p>
  </w:footnote>
  <w:footnote w:id="9">
    <w:p w:rsidR="00A974F1" w14:paraId="34138D5F" w14:textId="2B790772">
      <w:pPr>
        <w:pStyle w:val="FootnoteText"/>
      </w:pPr>
      <w:r>
        <w:rPr>
          <w:rStyle w:val="FootnoteReference"/>
        </w:rPr>
        <w:footnoteRef/>
      </w:r>
      <w:r>
        <w:t xml:space="preserve"> 47 CFR </w:t>
      </w:r>
      <w:r w:rsidR="00393F43">
        <w:t>§ 1.947.</w:t>
      </w:r>
    </w:p>
  </w:footnote>
  <w:footnote w:id="10">
    <w:p w:rsidR="009037F4" w:rsidP="009037F4" w14:paraId="34A86BD3" w14:textId="63485FAE">
      <w:pPr>
        <w:pStyle w:val="FootnoteText"/>
      </w:pPr>
      <w:r>
        <w:rPr>
          <w:rStyle w:val="FootnoteReference"/>
        </w:rPr>
        <w:footnoteRef/>
      </w:r>
      <w:r>
        <w:t xml:space="preserve"> </w:t>
      </w:r>
      <w:r w:rsidRPr="005A5211">
        <w:rPr>
          <w:rFonts w:ascii="TimesNewRomanPSMT" w:eastAsia="TimesNewRomanPSMT" w:hAnsi="TimesNewRomanPSMT" w:cs="TimesNewRomanPSMT"/>
          <w:i/>
          <w:iCs/>
          <w:color w:val="1D2B3E"/>
        </w:rPr>
        <w:t>Electronic Filing Report and Order</w:t>
      </w:r>
      <w:r>
        <w:rPr>
          <w:rFonts w:ascii="TimesNewRomanPSMT" w:eastAsia="TimesNewRomanPSMT" w:hAnsi="TimesNewRomanPSMT" w:cs="TimesNewRomanPSMT"/>
          <w:color w:val="1D2B3E"/>
        </w:rPr>
        <w:t xml:space="preserve"> at 10790</w:t>
      </w:r>
      <w:r w:rsidR="003A47CE">
        <w:rPr>
          <w:rFonts w:ascii="TimesNewRomanPSMT" w:eastAsia="TimesNewRomanPSMT" w:hAnsi="TimesNewRomanPSMT" w:cs="TimesNewRomanPSMT"/>
          <w:color w:val="1D2B3E"/>
        </w:rPr>
        <w:t>,</w:t>
      </w:r>
      <w:r>
        <w:rPr>
          <w:rFonts w:ascii="TimesNewRomanPSMT" w:eastAsia="TimesNewRomanPSMT" w:hAnsi="TimesNewRomanPSMT" w:cs="TimesNewRomanPSMT"/>
          <w:color w:val="1D2B3E"/>
        </w:rPr>
        <w:t xml:space="preserve"> para. 31.</w:t>
      </w:r>
    </w:p>
  </w:footnote>
  <w:footnote w:id="11">
    <w:p w:rsidR="00D31A34" w14:paraId="55BC6C1A" w14:textId="26C5EFC2">
      <w:pPr>
        <w:pStyle w:val="FootnoteText"/>
      </w:pPr>
      <w:r>
        <w:rPr>
          <w:rStyle w:val="FootnoteReference"/>
        </w:rPr>
        <w:footnoteRef/>
      </w:r>
      <w:r>
        <w:t xml:space="preserve"> </w:t>
      </w:r>
      <w:r w:rsidR="00137A9B">
        <w:rPr>
          <w:rFonts w:ascii="TimesNewRomanPSMT" w:eastAsia="TimesNewRomanPSMT" w:hAnsi="TimesNewRomanPSMT" w:cs="TimesNewRomanPSMT"/>
          <w:i/>
          <w:iCs/>
          <w:color w:val="1D2B3E"/>
        </w:rPr>
        <w:t>Id</w:t>
      </w:r>
      <w:r w:rsidR="00137A9B">
        <w:rPr>
          <w:rFonts w:ascii="TimesNewRomanPSMT" w:eastAsia="TimesNewRomanPSMT" w:hAnsi="TimesNewRomanPSMT" w:cs="TimesNewRomanPSMT"/>
          <w:color w:val="1D2B3E"/>
        </w:rPr>
        <w:t>.</w:t>
      </w:r>
      <w:r>
        <w:rPr>
          <w:rFonts w:ascii="TimesNewRomanPSMT" w:eastAsia="TimesNewRomanPSMT" w:hAnsi="TimesNewRomanPSMT" w:cs="TimesNewRomanPSMT"/>
          <w:color w:val="1D2B3E"/>
        </w:rPr>
        <w:t xml:space="preserve"> at </w:t>
      </w:r>
      <w:r w:rsidRPr="00535303">
        <w:t>10793, para. 4</w:t>
      </w:r>
      <w:r>
        <w:t>2.</w:t>
      </w:r>
    </w:p>
  </w:footnote>
  <w:footnote w:id="12">
    <w:p w:rsidR="00105C63" w14:paraId="6825EDC9" w14:textId="55C2FA52">
      <w:pPr>
        <w:pStyle w:val="FootnoteText"/>
      </w:pPr>
      <w:r>
        <w:rPr>
          <w:rStyle w:val="FootnoteReference"/>
        </w:rPr>
        <w:footnoteRef/>
      </w:r>
      <w:r>
        <w:t xml:space="preserve"> </w:t>
      </w:r>
      <w:r w:rsidR="00210D39">
        <w:t>47 CFR § 1.949.</w:t>
      </w:r>
    </w:p>
  </w:footnote>
  <w:footnote w:id="13">
    <w:p w:rsidR="00105C63" w14:paraId="00B0FED2" w14:textId="748206AC">
      <w:pPr>
        <w:pStyle w:val="FootnoteText"/>
      </w:pPr>
      <w:r>
        <w:rPr>
          <w:rStyle w:val="FootnoteReference"/>
        </w:rPr>
        <w:footnoteRef/>
      </w:r>
      <w:r>
        <w:t xml:space="preserve"> </w:t>
      </w:r>
      <w:r w:rsidR="004E67E1">
        <w:t>47 CFR § 90.155</w:t>
      </w:r>
      <w:r w:rsidR="00DF2102">
        <w:t>.</w:t>
      </w:r>
    </w:p>
  </w:footnote>
  <w:footnote w:id="14">
    <w:p w:rsidR="00C91DD9" w:rsidP="00C91DD9" w14:paraId="3868D1E8" w14:textId="77777777">
      <w:pPr>
        <w:pStyle w:val="FootnoteText"/>
      </w:pPr>
      <w:r>
        <w:rPr>
          <w:rStyle w:val="FootnoteReference"/>
        </w:rPr>
        <w:footnoteRef/>
      </w:r>
      <w:r>
        <w:t xml:space="preserve"> 47 CFR § 1.955(a)(1)-(2).</w:t>
      </w:r>
    </w:p>
  </w:footnote>
  <w:footnote w:id="15">
    <w:p w:rsidR="00E77505" w14:paraId="5ABA624D" w14:textId="18925F0E">
      <w:pPr>
        <w:pStyle w:val="FootnoteText"/>
      </w:pPr>
      <w:r>
        <w:rPr>
          <w:rStyle w:val="FootnoteReference"/>
        </w:rPr>
        <w:footnoteRef/>
      </w:r>
      <w:r>
        <w:t xml:space="preserve"> </w:t>
      </w:r>
      <w:r w:rsidR="00FD211D">
        <w:t>That is, the application will be treated as if it had been timely filed.</w:t>
      </w:r>
    </w:p>
  </w:footnote>
  <w:footnote w:id="16">
    <w:p w:rsidR="00E77505" w:rsidRPr="00E63070" w14:paraId="67FDD430" w14:textId="03A8EDF6">
      <w:pPr>
        <w:pStyle w:val="FootnoteText"/>
      </w:pPr>
      <w:r>
        <w:rPr>
          <w:rStyle w:val="FootnoteReference"/>
        </w:rPr>
        <w:footnoteRef/>
      </w:r>
      <w:r>
        <w:t xml:space="preserve"> </w:t>
      </w:r>
      <w:r w:rsidR="00FD211D">
        <w:rPr>
          <w:i/>
          <w:iCs/>
        </w:rPr>
        <w:t>See</w:t>
      </w:r>
      <w:r w:rsidR="002B1799">
        <w:rPr>
          <w:i/>
          <w:iCs/>
        </w:rPr>
        <w:t xml:space="preserve"> Wireless Telecommunications Bureau </w:t>
      </w:r>
      <w:r w:rsidR="00A62D48">
        <w:rPr>
          <w:i/>
          <w:iCs/>
        </w:rPr>
        <w:t xml:space="preserve">Clarifies </w:t>
      </w:r>
      <w:r w:rsidR="00616041">
        <w:rPr>
          <w:i/>
          <w:iCs/>
        </w:rPr>
        <w:t xml:space="preserve">Private Land Mobile </w:t>
      </w:r>
      <w:r w:rsidR="001F5125">
        <w:rPr>
          <w:i/>
          <w:iCs/>
        </w:rPr>
        <w:t>Radio License</w:t>
      </w:r>
      <w:r w:rsidR="00E63070">
        <w:rPr>
          <w:i/>
          <w:iCs/>
        </w:rPr>
        <w:t xml:space="preserve"> Renewal Only Process</w:t>
      </w:r>
      <w:r w:rsidR="00E63070">
        <w:t xml:space="preserve">, Public Notice, </w:t>
      </w:r>
      <w:r w:rsidRPr="007A3FEA" w:rsidR="007A3FEA">
        <w:t>18 FCC Rcd 11849</w:t>
      </w:r>
      <w:r w:rsidR="007A3FEA">
        <w:t>, 11851-2</w:t>
      </w:r>
      <w:r w:rsidR="00C241A4">
        <w:t xml:space="preserve"> (</w:t>
      </w:r>
      <w:r w:rsidR="007E6376">
        <w:t xml:space="preserve">WTB </w:t>
      </w:r>
      <w:r w:rsidR="002E1C6C">
        <w:t>2003).</w:t>
      </w:r>
    </w:p>
  </w:footnote>
  <w:footnote w:id="17">
    <w:p w:rsidR="00A50F42" w:rsidRPr="00A50F42" w14:paraId="7B0C2D2B" w14:textId="0059BECF">
      <w:pPr>
        <w:pStyle w:val="FootnoteText"/>
      </w:pPr>
      <w:r>
        <w:rPr>
          <w:rStyle w:val="FootnoteReference"/>
        </w:rPr>
        <w:footnoteRef/>
      </w:r>
      <w:r>
        <w:t xml:space="preserve"> </w:t>
      </w:r>
      <w:r>
        <w:rPr>
          <w:i/>
          <w:iCs/>
        </w:rPr>
        <w:t>Id</w:t>
      </w:r>
      <w:r>
        <w:t>. 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DD8" w14:paraId="310F5D6F" w14:textId="1374CAB1">
    <w:pPr>
      <w:tabs>
        <w:tab w:val="center" w:pos="4680"/>
        <w:tab w:val="right" w:pos="9360"/>
      </w:tabs>
    </w:pPr>
    <w:r>
      <w:rPr>
        <w:b/>
      </w:rPr>
      <w:tab/>
    </w:r>
    <w:r>
      <w:rPr>
        <w:b/>
      </w:rPr>
      <w:t>Federal Communications Commission</w:t>
    </w:r>
    <w:r>
      <w:rPr>
        <w:b/>
      </w:rPr>
      <w:tab/>
    </w:r>
    <w:r w:rsidR="00E2297E">
      <w:rPr>
        <w:b/>
      </w:rPr>
      <w:t>DA 22-</w:t>
    </w:r>
    <w:r w:rsidR="0073183E">
      <w:rPr>
        <w:b/>
      </w:rPr>
      <w:t>65</w:t>
    </w:r>
  </w:p>
  <w:p w:rsidR="00877DD8" w14:paraId="35803A4D" w14:textId="75DE4D3B">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p>
  <w:p w:rsidR="00877DD8" w14:paraId="134960A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DD8" w14:paraId="1472D73A" w14:textId="6718D61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A0438"/>
    <w:multiLevelType w:val="hybridMultilevel"/>
    <w:tmpl w:val="1C52C3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3052C"/>
    <w:multiLevelType w:val="hybridMultilevel"/>
    <w:tmpl w:val="2D00E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ED7F5A"/>
    <w:multiLevelType w:val="hybridMultilevel"/>
    <w:tmpl w:val="1C4845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B9711E"/>
    <w:multiLevelType w:val="hybridMultilevel"/>
    <w:tmpl w:val="9ABA372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9D5DE5"/>
    <w:multiLevelType w:val="hybridMultilevel"/>
    <w:tmpl w:val="F292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01866C5"/>
    <w:multiLevelType w:val="hybridMultilevel"/>
    <w:tmpl w:val="A9E8B7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472CE0"/>
    <w:multiLevelType w:val="hybridMultilevel"/>
    <w:tmpl w:val="718CA6F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E4D6AAE"/>
    <w:multiLevelType w:val="hybridMultilevel"/>
    <w:tmpl w:val="C23C0DD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8093E40"/>
    <w:multiLevelType w:val="hybridMultilevel"/>
    <w:tmpl w:val="E114628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B745D4D"/>
    <w:multiLevelType w:val="hybridMultilevel"/>
    <w:tmpl w:val="5874DF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2845390"/>
    <w:multiLevelType w:val="hybridMultilevel"/>
    <w:tmpl w:val="ED684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BFB00B7"/>
    <w:multiLevelType w:val="hybridMultilevel"/>
    <w:tmpl w:val="56FA227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09A3D5C"/>
    <w:multiLevelType w:val="hybridMultilevel"/>
    <w:tmpl w:val="886CF8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15B2A35"/>
    <w:multiLevelType w:val="hybridMultilevel"/>
    <w:tmpl w:val="CFB276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5EB2328"/>
    <w:multiLevelType w:val="hybridMultilevel"/>
    <w:tmpl w:val="917263D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9A64C1F"/>
    <w:multiLevelType w:val="hybridMultilevel"/>
    <w:tmpl w:val="22E0383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7198279B"/>
    <w:multiLevelType w:val="hybridMultilevel"/>
    <w:tmpl w:val="5EFAFE1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7BBC2809"/>
    <w:multiLevelType w:val="hybridMultilevel"/>
    <w:tmpl w:val="496AFE5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9"/>
  </w:num>
  <w:num w:numId="4">
    <w:abstractNumId w:val="14"/>
  </w:num>
  <w:num w:numId="5">
    <w:abstractNumId w:val="8"/>
  </w:num>
  <w:num w:numId="6">
    <w:abstractNumId w:val="1"/>
  </w:num>
  <w:num w:numId="7">
    <w:abstractNumId w:val="5"/>
  </w:num>
  <w:num w:numId="8">
    <w:abstractNumId w:val="4"/>
  </w:num>
  <w:num w:numId="9">
    <w:abstractNumId w:val="6"/>
  </w:num>
  <w:num w:numId="10">
    <w:abstractNumId w:val="2"/>
  </w:num>
  <w:num w:numId="11">
    <w:abstractNumId w:val="3"/>
  </w:num>
  <w:num w:numId="12">
    <w:abstractNumId w:val="16"/>
  </w:num>
  <w:num w:numId="13">
    <w:abstractNumId w:val="13"/>
  </w:num>
  <w:num w:numId="14">
    <w:abstractNumId w:val="20"/>
  </w:num>
  <w:num w:numId="15">
    <w:abstractNumId w:val="23"/>
  </w:num>
  <w:num w:numId="16">
    <w:abstractNumId w:val="17"/>
  </w:num>
  <w:num w:numId="17">
    <w:abstractNumId w:val="21"/>
  </w:num>
  <w:num w:numId="18">
    <w:abstractNumId w:val="10"/>
  </w:num>
  <w:num w:numId="19">
    <w:abstractNumId w:val="22"/>
  </w:num>
  <w:num w:numId="20">
    <w:abstractNumId w:val="11"/>
  </w:num>
  <w:num w:numId="21">
    <w:abstractNumId w:val="0"/>
  </w:num>
  <w:num w:numId="22">
    <w:abstractNumId w:val="19"/>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A7"/>
    <w:rsid w:val="00002717"/>
    <w:rsid w:val="00026D3B"/>
    <w:rsid w:val="00035646"/>
    <w:rsid w:val="000542D2"/>
    <w:rsid w:val="00072DD1"/>
    <w:rsid w:val="00075A28"/>
    <w:rsid w:val="000769AC"/>
    <w:rsid w:val="000802EC"/>
    <w:rsid w:val="000808D3"/>
    <w:rsid w:val="000819E4"/>
    <w:rsid w:val="00081B0E"/>
    <w:rsid w:val="00084073"/>
    <w:rsid w:val="000936BE"/>
    <w:rsid w:val="00095649"/>
    <w:rsid w:val="000A33F5"/>
    <w:rsid w:val="000B03BB"/>
    <w:rsid w:val="000C01A5"/>
    <w:rsid w:val="000C4F30"/>
    <w:rsid w:val="000F0328"/>
    <w:rsid w:val="000F72C8"/>
    <w:rsid w:val="000F78A9"/>
    <w:rsid w:val="00105016"/>
    <w:rsid w:val="00105C63"/>
    <w:rsid w:val="00137A9B"/>
    <w:rsid w:val="00150934"/>
    <w:rsid w:val="00166F5B"/>
    <w:rsid w:val="00175989"/>
    <w:rsid w:val="00186C05"/>
    <w:rsid w:val="001876A6"/>
    <w:rsid w:val="0019317C"/>
    <w:rsid w:val="0019537E"/>
    <w:rsid w:val="001A079B"/>
    <w:rsid w:val="001A1C7D"/>
    <w:rsid w:val="001A37BD"/>
    <w:rsid w:val="001B0AA3"/>
    <w:rsid w:val="001C353B"/>
    <w:rsid w:val="001E033B"/>
    <w:rsid w:val="001E1E5F"/>
    <w:rsid w:val="001E5685"/>
    <w:rsid w:val="001E7909"/>
    <w:rsid w:val="001F5125"/>
    <w:rsid w:val="0020366C"/>
    <w:rsid w:val="0020407F"/>
    <w:rsid w:val="00205344"/>
    <w:rsid w:val="002059CC"/>
    <w:rsid w:val="00207105"/>
    <w:rsid w:val="00210D39"/>
    <w:rsid w:val="00213B89"/>
    <w:rsid w:val="00216041"/>
    <w:rsid w:val="00220EAB"/>
    <w:rsid w:val="00226E10"/>
    <w:rsid w:val="00231337"/>
    <w:rsid w:val="0023303A"/>
    <w:rsid w:val="002449D7"/>
    <w:rsid w:val="00250A9C"/>
    <w:rsid w:val="002564F8"/>
    <w:rsid w:val="0026113B"/>
    <w:rsid w:val="00261D41"/>
    <w:rsid w:val="002707CA"/>
    <w:rsid w:val="00270B92"/>
    <w:rsid w:val="00273031"/>
    <w:rsid w:val="00273A5F"/>
    <w:rsid w:val="00285EE5"/>
    <w:rsid w:val="00286B25"/>
    <w:rsid w:val="00287900"/>
    <w:rsid w:val="002908A0"/>
    <w:rsid w:val="002932EE"/>
    <w:rsid w:val="002A32B3"/>
    <w:rsid w:val="002B1799"/>
    <w:rsid w:val="002B7A30"/>
    <w:rsid w:val="002C4118"/>
    <w:rsid w:val="002C6DB9"/>
    <w:rsid w:val="002D176D"/>
    <w:rsid w:val="002D5517"/>
    <w:rsid w:val="002E1C6C"/>
    <w:rsid w:val="002E74C3"/>
    <w:rsid w:val="002F1AAF"/>
    <w:rsid w:val="002F27E3"/>
    <w:rsid w:val="002F67E2"/>
    <w:rsid w:val="0030261C"/>
    <w:rsid w:val="003038AA"/>
    <w:rsid w:val="00305F3C"/>
    <w:rsid w:val="003137CD"/>
    <w:rsid w:val="00315C6A"/>
    <w:rsid w:val="0032141C"/>
    <w:rsid w:val="00321D82"/>
    <w:rsid w:val="0032776D"/>
    <w:rsid w:val="00341730"/>
    <w:rsid w:val="00346B53"/>
    <w:rsid w:val="003516AD"/>
    <w:rsid w:val="00351F1D"/>
    <w:rsid w:val="00352DA3"/>
    <w:rsid w:val="003533F4"/>
    <w:rsid w:val="00360573"/>
    <w:rsid w:val="00381FE9"/>
    <w:rsid w:val="00382499"/>
    <w:rsid w:val="00391A44"/>
    <w:rsid w:val="00393F43"/>
    <w:rsid w:val="003A47CE"/>
    <w:rsid w:val="003B20AE"/>
    <w:rsid w:val="003B6743"/>
    <w:rsid w:val="003C6728"/>
    <w:rsid w:val="003C6E18"/>
    <w:rsid w:val="003D1E96"/>
    <w:rsid w:val="003E6CEA"/>
    <w:rsid w:val="003E6FA8"/>
    <w:rsid w:val="003F3E9E"/>
    <w:rsid w:val="003F4619"/>
    <w:rsid w:val="003F6D38"/>
    <w:rsid w:val="00405146"/>
    <w:rsid w:val="0040767F"/>
    <w:rsid w:val="0041020F"/>
    <w:rsid w:val="0041596A"/>
    <w:rsid w:val="00416FC8"/>
    <w:rsid w:val="004171A0"/>
    <w:rsid w:val="004227E6"/>
    <w:rsid w:val="00430449"/>
    <w:rsid w:val="0044382B"/>
    <w:rsid w:val="004458BB"/>
    <w:rsid w:val="0046012A"/>
    <w:rsid w:val="00463EC3"/>
    <w:rsid w:val="00475AE1"/>
    <w:rsid w:val="00483BBC"/>
    <w:rsid w:val="00495295"/>
    <w:rsid w:val="004A6CDF"/>
    <w:rsid w:val="004C1FCE"/>
    <w:rsid w:val="004C3D91"/>
    <w:rsid w:val="004C3FED"/>
    <w:rsid w:val="004C537D"/>
    <w:rsid w:val="004E17C5"/>
    <w:rsid w:val="004E1C94"/>
    <w:rsid w:val="004E67E1"/>
    <w:rsid w:val="004F70BC"/>
    <w:rsid w:val="00500FBB"/>
    <w:rsid w:val="0050708A"/>
    <w:rsid w:val="005206CA"/>
    <w:rsid w:val="0052513D"/>
    <w:rsid w:val="005252CE"/>
    <w:rsid w:val="00526262"/>
    <w:rsid w:val="00535303"/>
    <w:rsid w:val="005430A7"/>
    <w:rsid w:val="00544856"/>
    <w:rsid w:val="00556871"/>
    <w:rsid w:val="00574733"/>
    <w:rsid w:val="00574A90"/>
    <w:rsid w:val="0057731B"/>
    <w:rsid w:val="005903F1"/>
    <w:rsid w:val="00594E5F"/>
    <w:rsid w:val="005952F6"/>
    <w:rsid w:val="005A3FC7"/>
    <w:rsid w:val="005A5211"/>
    <w:rsid w:val="005A7313"/>
    <w:rsid w:val="005B2118"/>
    <w:rsid w:val="005D3319"/>
    <w:rsid w:val="005F004B"/>
    <w:rsid w:val="005F40CE"/>
    <w:rsid w:val="0060235F"/>
    <w:rsid w:val="00602C04"/>
    <w:rsid w:val="00616041"/>
    <w:rsid w:val="00617A15"/>
    <w:rsid w:val="006270B2"/>
    <w:rsid w:val="006270E9"/>
    <w:rsid w:val="006319DF"/>
    <w:rsid w:val="00646B4B"/>
    <w:rsid w:val="006522C6"/>
    <w:rsid w:val="0065506E"/>
    <w:rsid w:val="00672F9A"/>
    <w:rsid w:val="0068160D"/>
    <w:rsid w:val="00682F52"/>
    <w:rsid w:val="00683253"/>
    <w:rsid w:val="0068693F"/>
    <w:rsid w:val="006871C7"/>
    <w:rsid w:val="00691542"/>
    <w:rsid w:val="00697F4C"/>
    <w:rsid w:val="006B31C7"/>
    <w:rsid w:val="006B592B"/>
    <w:rsid w:val="006D4FD0"/>
    <w:rsid w:val="006E6211"/>
    <w:rsid w:val="006E7B5A"/>
    <w:rsid w:val="00716EF3"/>
    <w:rsid w:val="00717F18"/>
    <w:rsid w:val="0073183E"/>
    <w:rsid w:val="0074057C"/>
    <w:rsid w:val="00750AF4"/>
    <w:rsid w:val="00762EEF"/>
    <w:rsid w:val="00763B46"/>
    <w:rsid w:val="00764E4B"/>
    <w:rsid w:val="00773283"/>
    <w:rsid w:val="00773FBC"/>
    <w:rsid w:val="00776AC1"/>
    <w:rsid w:val="0078331E"/>
    <w:rsid w:val="00784CC2"/>
    <w:rsid w:val="00786C9E"/>
    <w:rsid w:val="00796CE5"/>
    <w:rsid w:val="007A3FEA"/>
    <w:rsid w:val="007E4541"/>
    <w:rsid w:val="007E6376"/>
    <w:rsid w:val="007E7E0F"/>
    <w:rsid w:val="007F0B7E"/>
    <w:rsid w:val="007F158A"/>
    <w:rsid w:val="007F1E03"/>
    <w:rsid w:val="00803075"/>
    <w:rsid w:val="00803445"/>
    <w:rsid w:val="00804163"/>
    <w:rsid w:val="00814202"/>
    <w:rsid w:val="00816A7A"/>
    <w:rsid w:val="00817F7E"/>
    <w:rsid w:val="00841614"/>
    <w:rsid w:val="00876893"/>
    <w:rsid w:val="00877DD8"/>
    <w:rsid w:val="00886264"/>
    <w:rsid w:val="00894359"/>
    <w:rsid w:val="008A2C39"/>
    <w:rsid w:val="008B5667"/>
    <w:rsid w:val="008B712D"/>
    <w:rsid w:val="008C38BF"/>
    <w:rsid w:val="008D4C1B"/>
    <w:rsid w:val="00900D21"/>
    <w:rsid w:val="009037F4"/>
    <w:rsid w:val="00914120"/>
    <w:rsid w:val="009217AC"/>
    <w:rsid w:val="00937828"/>
    <w:rsid w:val="009535AE"/>
    <w:rsid w:val="00960F67"/>
    <w:rsid w:val="00965DFA"/>
    <w:rsid w:val="00970C62"/>
    <w:rsid w:val="00973732"/>
    <w:rsid w:val="00984E1D"/>
    <w:rsid w:val="00985CA1"/>
    <w:rsid w:val="009A14F9"/>
    <w:rsid w:val="009B512E"/>
    <w:rsid w:val="009B646C"/>
    <w:rsid w:val="009E4357"/>
    <w:rsid w:val="009F05B6"/>
    <w:rsid w:val="009F3AA8"/>
    <w:rsid w:val="00A059EF"/>
    <w:rsid w:val="00A11073"/>
    <w:rsid w:val="00A11747"/>
    <w:rsid w:val="00A11D93"/>
    <w:rsid w:val="00A16BCB"/>
    <w:rsid w:val="00A20F2B"/>
    <w:rsid w:val="00A2296D"/>
    <w:rsid w:val="00A30006"/>
    <w:rsid w:val="00A3476C"/>
    <w:rsid w:val="00A42E80"/>
    <w:rsid w:val="00A505EC"/>
    <w:rsid w:val="00A50F42"/>
    <w:rsid w:val="00A543C1"/>
    <w:rsid w:val="00A60038"/>
    <w:rsid w:val="00A60BCE"/>
    <w:rsid w:val="00A62D48"/>
    <w:rsid w:val="00A761A6"/>
    <w:rsid w:val="00A82B24"/>
    <w:rsid w:val="00A86424"/>
    <w:rsid w:val="00A974F1"/>
    <w:rsid w:val="00AA12D2"/>
    <w:rsid w:val="00AA21BD"/>
    <w:rsid w:val="00AA2D19"/>
    <w:rsid w:val="00AA6CA0"/>
    <w:rsid w:val="00AA6FF3"/>
    <w:rsid w:val="00AB38B9"/>
    <w:rsid w:val="00AD7FDE"/>
    <w:rsid w:val="00B1439D"/>
    <w:rsid w:val="00B334AE"/>
    <w:rsid w:val="00B67F6C"/>
    <w:rsid w:val="00B701CD"/>
    <w:rsid w:val="00B76F3F"/>
    <w:rsid w:val="00B8301B"/>
    <w:rsid w:val="00B9123A"/>
    <w:rsid w:val="00BA1FC9"/>
    <w:rsid w:val="00BA5C8B"/>
    <w:rsid w:val="00BB1C62"/>
    <w:rsid w:val="00BB62FA"/>
    <w:rsid w:val="00BC1B20"/>
    <w:rsid w:val="00BD461A"/>
    <w:rsid w:val="00BD6507"/>
    <w:rsid w:val="00BE0EBB"/>
    <w:rsid w:val="00C04287"/>
    <w:rsid w:val="00C1355D"/>
    <w:rsid w:val="00C17E0E"/>
    <w:rsid w:val="00C241A4"/>
    <w:rsid w:val="00C4009F"/>
    <w:rsid w:val="00C41DF6"/>
    <w:rsid w:val="00C447FD"/>
    <w:rsid w:val="00C504C9"/>
    <w:rsid w:val="00C572F9"/>
    <w:rsid w:val="00C764C1"/>
    <w:rsid w:val="00C844D8"/>
    <w:rsid w:val="00C91DD9"/>
    <w:rsid w:val="00CB4956"/>
    <w:rsid w:val="00CC77A6"/>
    <w:rsid w:val="00CD08BE"/>
    <w:rsid w:val="00CD1B9A"/>
    <w:rsid w:val="00CD4677"/>
    <w:rsid w:val="00CE2379"/>
    <w:rsid w:val="00CE2418"/>
    <w:rsid w:val="00CF158C"/>
    <w:rsid w:val="00CF5BF6"/>
    <w:rsid w:val="00CF6DE4"/>
    <w:rsid w:val="00D073F8"/>
    <w:rsid w:val="00D133B7"/>
    <w:rsid w:val="00D14FD0"/>
    <w:rsid w:val="00D3080F"/>
    <w:rsid w:val="00D31A34"/>
    <w:rsid w:val="00D31A3E"/>
    <w:rsid w:val="00D45702"/>
    <w:rsid w:val="00D57EF5"/>
    <w:rsid w:val="00D62142"/>
    <w:rsid w:val="00D646E5"/>
    <w:rsid w:val="00D76E1A"/>
    <w:rsid w:val="00DA4A4D"/>
    <w:rsid w:val="00DC248D"/>
    <w:rsid w:val="00DC2EAC"/>
    <w:rsid w:val="00DE3D5C"/>
    <w:rsid w:val="00DE49ED"/>
    <w:rsid w:val="00DE4C88"/>
    <w:rsid w:val="00DF2102"/>
    <w:rsid w:val="00E03B52"/>
    <w:rsid w:val="00E113FD"/>
    <w:rsid w:val="00E16098"/>
    <w:rsid w:val="00E2297E"/>
    <w:rsid w:val="00E2364B"/>
    <w:rsid w:val="00E3465D"/>
    <w:rsid w:val="00E36C6F"/>
    <w:rsid w:val="00E63070"/>
    <w:rsid w:val="00E77505"/>
    <w:rsid w:val="00E80F52"/>
    <w:rsid w:val="00E84E00"/>
    <w:rsid w:val="00E869D6"/>
    <w:rsid w:val="00E8751C"/>
    <w:rsid w:val="00EB2978"/>
    <w:rsid w:val="00EB6059"/>
    <w:rsid w:val="00ED2E5D"/>
    <w:rsid w:val="00EE07BE"/>
    <w:rsid w:val="00EE1DF0"/>
    <w:rsid w:val="00EE46A3"/>
    <w:rsid w:val="00EF588E"/>
    <w:rsid w:val="00F064CA"/>
    <w:rsid w:val="00F10670"/>
    <w:rsid w:val="00F15806"/>
    <w:rsid w:val="00F210E5"/>
    <w:rsid w:val="00F24C23"/>
    <w:rsid w:val="00F37902"/>
    <w:rsid w:val="00F4372A"/>
    <w:rsid w:val="00F44D20"/>
    <w:rsid w:val="00F4544E"/>
    <w:rsid w:val="00F45D07"/>
    <w:rsid w:val="00F466B8"/>
    <w:rsid w:val="00F52097"/>
    <w:rsid w:val="00F63420"/>
    <w:rsid w:val="00F65F52"/>
    <w:rsid w:val="00F70E32"/>
    <w:rsid w:val="00F76967"/>
    <w:rsid w:val="00F81D71"/>
    <w:rsid w:val="00F91F06"/>
    <w:rsid w:val="00FB1D4B"/>
    <w:rsid w:val="00FB3330"/>
    <w:rsid w:val="00FB699B"/>
    <w:rsid w:val="00FC503A"/>
    <w:rsid w:val="00FD001E"/>
    <w:rsid w:val="00FD211D"/>
    <w:rsid w:val="00FD72DF"/>
    <w:rsid w:val="00FE1F42"/>
    <w:rsid w:val="00FE7237"/>
    <w:rsid w:val="00FF7051"/>
    <w:rsid w:val="024107C1"/>
    <w:rsid w:val="024DF5F5"/>
    <w:rsid w:val="02E5A9EE"/>
    <w:rsid w:val="035FA872"/>
    <w:rsid w:val="038DBEF9"/>
    <w:rsid w:val="0649EE23"/>
    <w:rsid w:val="0662BD46"/>
    <w:rsid w:val="069035F7"/>
    <w:rsid w:val="06B15FB7"/>
    <w:rsid w:val="093BE3C1"/>
    <w:rsid w:val="093E93B0"/>
    <w:rsid w:val="0A15CCC3"/>
    <w:rsid w:val="0B56F77A"/>
    <w:rsid w:val="0B668872"/>
    <w:rsid w:val="0CC01903"/>
    <w:rsid w:val="0D51E20B"/>
    <w:rsid w:val="0F04FAFC"/>
    <w:rsid w:val="130751AB"/>
    <w:rsid w:val="130EA97E"/>
    <w:rsid w:val="13AD7136"/>
    <w:rsid w:val="140E7A84"/>
    <w:rsid w:val="1456C479"/>
    <w:rsid w:val="163252B0"/>
    <w:rsid w:val="172B9E91"/>
    <w:rsid w:val="1850F41E"/>
    <w:rsid w:val="19CDC114"/>
    <w:rsid w:val="1A45A9D2"/>
    <w:rsid w:val="1BCC5BAD"/>
    <w:rsid w:val="1BEA7AB5"/>
    <w:rsid w:val="1C17ACDB"/>
    <w:rsid w:val="1C9EEC8E"/>
    <w:rsid w:val="1CEE5952"/>
    <w:rsid w:val="1D739661"/>
    <w:rsid w:val="1E204B4F"/>
    <w:rsid w:val="1E8809DA"/>
    <w:rsid w:val="1F9F0EE2"/>
    <w:rsid w:val="1FECB561"/>
    <w:rsid w:val="2023DA3B"/>
    <w:rsid w:val="21655841"/>
    <w:rsid w:val="21B9A6AD"/>
    <w:rsid w:val="24B22D31"/>
    <w:rsid w:val="27B70AFF"/>
    <w:rsid w:val="2A6D6942"/>
    <w:rsid w:val="2A8C0702"/>
    <w:rsid w:val="2B4B908E"/>
    <w:rsid w:val="2F31D719"/>
    <w:rsid w:val="2F91F097"/>
    <w:rsid w:val="31A5A9B6"/>
    <w:rsid w:val="33F1750B"/>
    <w:rsid w:val="36397123"/>
    <w:rsid w:val="364E7569"/>
    <w:rsid w:val="376BB207"/>
    <w:rsid w:val="3838D5DB"/>
    <w:rsid w:val="385D107F"/>
    <w:rsid w:val="39EE5E87"/>
    <w:rsid w:val="39F05D52"/>
    <w:rsid w:val="3A265A64"/>
    <w:rsid w:val="3A5C4A4C"/>
    <w:rsid w:val="3CDDB14B"/>
    <w:rsid w:val="3E62ABC3"/>
    <w:rsid w:val="3F5280F6"/>
    <w:rsid w:val="41E9F9F2"/>
    <w:rsid w:val="41EEFB63"/>
    <w:rsid w:val="4227C89A"/>
    <w:rsid w:val="426ABF4D"/>
    <w:rsid w:val="459362B9"/>
    <w:rsid w:val="46095BC1"/>
    <w:rsid w:val="46294159"/>
    <w:rsid w:val="468C5FA5"/>
    <w:rsid w:val="476BFABE"/>
    <w:rsid w:val="47A1EB6F"/>
    <w:rsid w:val="487A5AF6"/>
    <w:rsid w:val="4A204C3A"/>
    <w:rsid w:val="4A39439E"/>
    <w:rsid w:val="4A825E4C"/>
    <w:rsid w:val="4D26AF1C"/>
    <w:rsid w:val="4DAEFAD4"/>
    <w:rsid w:val="4F8E3103"/>
    <w:rsid w:val="4FB33C00"/>
    <w:rsid w:val="504072E3"/>
    <w:rsid w:val="509717EC"/>
    <w:rsid w:val="52047E72"/>
    <w:rsid w:val="5309DE69"/>
    <w:rsid w:val="54EFD6E1"/>
    <w:rsid w:val="566D747A"/>
    <w:rsid w:val="568DB959"/>
    <w:rsid w:val="59AF66D4"/>
    <w:rsid w:val="5A043E2F"/>
    <w:rsid w:val="5B72FD18"/>
    <w:rsid w:val="5BC410E4"/>
    <w:rsid w:val="5C2D39D2"/>
    <w:rsid w:val="5D004056"/>
    <w:rsid w:val="5D55BBDF"/>
    <w:rsid w:val="5E700064"/>
    <w:rsid w:val="5F1B13B0"/>
    <w:rsid w:val="6252B472"/>
    <w:rsid w:val="653F6BAC"/>
    <w:rsid w:val="656F4D49"/>
    <w:rsid w:val="66C1FDAE"/>
    <w:rsid w:val="6784E5F6"/>
    <w:rsid w:val="69F150E7"/>
    <w:rsid w:val="6A69F9AB"/>
    <w:rsid w:val="6AC17E9E"/>
    <w:rsid w:val="6B9C25BE"/>
    <w:rsid w:val="6BC97208"/>
    <w:rsid w:val="6D862745"/>
    <w:rsid w:val="6E9D7D49"/>
    <w:rsid w:val="6FDFBCEB"/>
    <w:rsid w:val="75381042"/>
    <w:rsid w:val="758AD885"/>
    <w:rsid w:val="7812C0A8"/>
    <w:rsid w:val="78EF43B4"/>
    <w:rsid w:val="7B3DB753"/>
    <w:rsid w:val="7C19780D"/>
    <w:rsid w:val="7C21C826"/>
    <w:rsid w:val="7C6027D0"/>
    <w:rsid w:val="7D587C0F"/>
    <w:rsid w:val="7D8127AF"/>
    <w:rsid w:val="7FDE861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9646CD1"/>
  <w15:chartTrackingRefBased/>
  <w15:docId w15:val="{30B03339-CEDF-42A6-B7F2-994C4D6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normaltextrun">
    <w:name w:val="normaltextrun"/>
    <w:basedOn w:val="DefaultParagraphFont"/>
    <w:rsid w:val="00A505EC"/>
  </w:style>
  <w:style w:type="paragraph" w:styleId="ListParagraph">
    <w:name w:val="List Paragraph"/>
    <w:basedOn w:val="Normal"/>
    <w:uiPriority w:val="34"/>
    <w:qFormat/>
    <w:rsid w:val="00BB62FA"/>
    <w:pPr>
      <w:ind w:left="720"/>
      <w:contextualSpacing/>
    </w:pPr>
  </w:style>
  <w:style w:type="character" w:styleId="FollowedHyperlink">
    <w:name w:val="FollowedHyperlink"/>
    <w:basedOn w:val="DefaultParagraphFont"/>
    <w:uiPriority w:val="99"/>
    <w:semiHidden/>
    <w:unhideWhenUsed/>
    <w:rsid w:val="00556871"/>
    <w:rPr>
      <w:color w:val="954F72" w:themeColor="followedHyperlink"/>
      <w:u w:val="single"/>
    </w:rPr>
  </w:style>
  <w:style w:type="paragraph" w:styleId="Revision">
    <w:name w:val="Revision"/>
    <w:hidden/>
    <w:uiPriority w:val="99"/>
    <w:semiHidden/>
    <w:rsid w:val="00965DFA"/>
    <w:rPr>
      <w:snapToGrid w:val="0"/>
      <w:kern w:val="28"/>
      <w:sz w:val="22"/>
    </w:rPr>
  </w:style>
  <w:style w:type="character" w:styleId="CommentReference">
    <w:name w:val="annotation reference"/>
    <w:basedOn w:val="DefaultParagraphFont"/>
    <w:uiPriority w:val="99"/>
    <w:semiHidden/>
    <w:unhideWhenUsed/>
    <w:rsid w:val="00B334AE"/>
    <w:rPr>
      <w:sz w:val="16"/>
      <w:szCs w:val="16"/>
    </w:rPr>
  </w:style>
  <w:style w:type="paragraph" w:styleId="CommentText">
    <w:name w:val="annotation text"/>
    <w:basedOn w:val="Normal"/>
    <w:link w:val="CommentTextChar"/>
    <w:uiPriority w:val="99"/>
    <w:semiHidden/>
    <w:unhideWhenUsed/>
    <w:rsid w:val="00B334AE"/>
    <w:rPr>
      <w:sz w:val="20"/>
    </w:rPr>
  </w:style>
  <w:style w:type="character" w:customStyle="1" w:styleId="CommentTextChar">
    <w:name w:val="Comment Text Char"/>
    <w:basedOn w:val="DefaultParagraphFont"/>
    <w:link w:val="CommentText"/>
    <w:uiPriority w:val="99"/>
    <w:semiHidden/>
    <w:rsid w:val="00B334AE"/>
    <w:rPr>
      <w:snapToGrid w:val="0"/>
      <w:kern w:val="28"/>
    </w:rPr>
  </w:style>
  <w:style w:type="paragraph" w:styleId="CommentSubject">
    <w:name w:val="annotation subject"/>
    <w:basedOn w:val="CommentText"/>
    <w:next w:val="CommentText"/>
    <w:link w:val="CommentSubjectChar"/>
    <w:uiPriority w:val="99"/>
    <w:semiHidden/>
    <w:unhideWhenUsed/>
    <w:rsid w:val="00B334AE"/>
    <w:rPr>
      <w:b/>
      <w:bCs/>
    </w:rPr>
  </w:style>
  <w:style w:type="character" w:customStyle="1" w:styleId="CommentSubjectChar">
    <w:name w:val="Comment Subject Char"/>
    <w:basedOn w:val="CommentTextChar"/>
    <w:link w:val="CommentSubject"/>
    <w:uiPriority w:val="99"/>
    <w:semiHidden/>
    <w:rsid w:val="00B334A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racy.Simmon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upport/universal-licensing-system-uls-resources/updating-administrative-information" TargetMode="External" /><Relationship Id="rId6" Type="http://schemas.openxmlformats.org/officeDocument/2006/relationships/hyperlink" Target="https://www.fcc.gov/wireless/support/universal-licensing-system-uls-resources/renewing-license-universal-licensing" TargetMode="External" /><Relationship Id="rId7" Type="http://schemas.openxmlformats.org/officeDocument/2006/relationships/hyperlink" Target="https://www.fcc.gov/constructioncoverage-requirements" TargetMode="External" /><Relationship Id="rId8" Type="http://schemas.openxmlformats.org/officeDocument/2006/relationships/hyperlink" Target="https://www.fcc.gov/wireless/support/universal-licensing-system-uls-resources/filing-pleading-universal-licensing-system" TargetMode="External" /><Relationship Id="rId9" Type="http://schemas.openxmlformats.org/officeDocument/2006/relationships/hyperlink" Target="https://www.fcc.gov/wireless/available-support-servi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