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0D50" w:rsidRPr="009A5554" w:rsidP="00D62AD4" w14:paraId="4629450F" w14:textId="79A62C5D">
      <w:pPr>
        <w:jc w:val="right"/>
        <w:rPr>
          <w:b/>
          <w:bCs/>
          <w:szCs w:val="22"/>
        </w:rPr>
      </w:pPr>
      <w:bookmarkStart w:id="0" w:name="TOChere"/>
      <w:bookmarkStart w:id="1" w:name="_Hlk102120924"/>
      <w:bookmarkStart w:id="2" w:name="_Hlk102120983"/>
      <w:bookmarkStart w:id="3" w:name="_Hlk102120777"/>
      <w:bookmarkEnd w:id="0"/>
      <w:r>
        <w:rPr>
          <w:b/>
          <w:bCs/>
        </w:rPr>
        <w:t xml:space="preserve"> </w:t>
      </w:r>
      <w:r>
        <w:rPr>
          <w:b/>
          <w:bCs/>
        </w:rPr>
        <w:t xml:space="preserve"> </w:t>
      </w:r>
      <w:r w:rsidRPr="009A5554">
        <w:rPr>
          <w:b/>
          <w:bCs/>
          <w:szCs w:val="22"/>
        </w:rPr>
        <w:t>DA 22-</w:t>
      </w:r>
      <w:r w:rsidR="002E4A8F">
        <w:rPr>
          <w:b/>
          <w:bCs/>
          <w:szCs w:val="22"/>
        </w:rPr>
        <w:t>661</w:t>
      </w:r>
    </w:p>
    <w:p w:rsidR="002C0D50" w:rsidRPr="009A5554" w:rsidP="00D62AD4" w14:paraId="384B17B5" w14:textId="705C5ED8">
      <w:pPr>
        <w:spacing w:before="60"/>
        <w:jc w:val="right"/>
        <w:rPr>
          <w:b/>
          <w:szCs w:val="22"/>
        </w:rPr>
      </w:pPr>
      <w:r w:rsidRPr="009A5554">
        <w:rPr>
          <w:b/>
          <w:szCs w:val="22"/>
        </w:rPr>
        <w:t xml:space="preserve">Released: </w:t>
      </w:r>
      <w:r w:rsidR="002E4A8F">
        <w:rPr>
          <w:b/>
          <w:szCs w:val="22"/>
        </w:rPr>
        <w:t>June 22, 2022</w:t>
      </w:r>
    </w:p>
    <w:p w:rsidR="002C0D50" w:rsidRPr="006B683E" w:rsidP="00D62AD4" w14:paraId="33D94AA1" w14:textId="77777777">
      <w:pPr>
        <w:jc w:val="right"/>
        <w:rPr>
          <w:sz w:val="24"/>
        </w:rPr>
      </w:pPr>
    </w:p>
    <w:p w:rsidR="002C0D50" w:rsidRPr="006B683E" w:rsidP="00D62AD4" w14:paraId="3210CE18" w14:textId="77777777">
      <w:pPr>
        <w:spacing w:after="360"/>
        <w:contextualSpacing/>
        <w:jc w:val="center"/>
        <w:rPr>
          <w:b/>
          <w:szCs w:val="22"/>
        </w:rPr>
      </w:pPr>
      <w:r w:rsidRPr="006B683E">
        <w:rPr>
          <w:b/>
          <w:szCs w:val="22"/>
        </w:rPr>
        <w:t>CONSUMER AND GOVERNMENTAL AFFAIRS BUREAU SEEKS COMMENT ON TENTATIVE FINDINGS FOR THE 202</w:t>
      </w:r>
      <w:r>
        <w:rPr>
          <w:b/>
          <w:szCs w:val="22"/>
        </w:rPr>
        <w:t>2</w:t>
      </w:r>
      <w:r w:rsidRPr="006B683E">
        <w:rPr>
          <w:b/>
          <w:szCs w:val="22"/>
        </w:rPr>
        <w:t xml:space="preserve"> TWENTY-FIRST CENTURY</w:t>
      </w:r>
    </w:p>
    <w:p w:rsidR="002C0D50" w:rsidRPr="006336DE" w:rsidP="00D62AD4" w14:paraId="49BF2CC2" w14:textId="77777777">
      <w:pPr>
        <w:spacing w:after="240"/>
        <w:jc w:val="center"/>
        <w:rPr>
          <w:rFonts w:ascii="Times New Roman Bold" w:hAnsi="Times New Roman Bold"/>
          <w:b/>
          <w:caps/>
          <w:sz w:val="24"/>
        </w:rPr>
      </w:pPr>
      <w:r w:rsidRPr="006B683E">
        <w:rPr>
          <w:b/>
          <w:szCs w:val="22"/>
        </w:rPr>
        <w:t>COMMUNICATIONS AND VIDEO ACCESSIBILITY ACT BIENNIAL REPORT</w:t>
      </w:r>
    </w:p>
    <w:p w:rsidR="002C0D50" w:rsidRPr="006336DE" w:rsidP="00D62AD4" w14:paraId="4624F79A" w14:textId="77777777">
      <w:pPr>
        <w:spacing w:after="240"/>
        <w:jc w:val="center"/>
        <w:rPr>
          <w:b/>
          <w:sz w:val="24"/>
        </w:rPr>
      </w:pPr>
      <w:r w:rsidRPr="006336DE">
        <w:rPr>
          <w:b/>
          <w:szCs w:val="22"/>
        </w:rPr>
        <w:t>Pleading Cycle Established</w:t>
      </w:r>
    </w:p>
    <w:p w:rsidR="002C0D50" w:rsidRPr="006336DE" w:rsidP="00D62AD4" w14:paraId="133BA2B8" w14:textId="77777777">
      <w:pPr>
        <w:jc w:val="center"/>
        <w:rPr>
          <w:b/>
          <w:sz w:val="24"/>
        </w:rPr>
      </w:pPr>
      <w:r w:rsidRPr="006336DE">
        <w:rPr>
          <w:b/>
          <w:szCs w:val="22"/>
        </w:rPr>
        <w:t>CG Docket No. 10-213</w:t>
      </w:r>
    </w:p>
    <w:p w:rsidR="002C0D50" w:rsidRPr="00A9453F" w:rsidP="00D62AD4" w14:paraId="71DE232A" w14:textId="77777777">
      <w:pPr>
        <w:rPr>
          <w:szCs w:val="22"/>
        </w:rPr>
      </w:pPr>
    </w:p>
    <w:p w:rsidR="002C0D50" w:rsidRPr="006336DE" w:rsidP="00D62AD4" w14:paraId="71F7F68B" w14:textId="0200225B">
      <w:pPr>
        <w:rPr>
          <w:sz w:val="24"/>
        </w:rPr>
      </w:pPr>
      <w:r w:rsidRPr="006336DE">
        <w:rPr>
          <w:b/>
          <w:szCs w:val="22"/>
        </w:rPr>
        <w:t xml:space="preserve">Comments </w:t>
      </w:r>
      <w:r w:rsidRPr="00213740">
        <w:rPr>
          <w:b/>
          <w:szCs w:val="22"/>
        </w:rPr>
        <w:t xml:space="preserve">Due: </w:t>
      </w:r>
      <w:r w:rsidRPr="007108AC" w:rsidR="007108AC">
        <w:rPr>
          <w:b/>
          <w:szCs w:val="22"/>
        </w:rPr>
        <w:t>August 8, 2022</w:t>
      </w:r>
    </w:p>
    <w:bookmarkEnd w:id="1"/>
    <w:p w:rsidR="002C0D50" w:rsidRPr="00A9453F" w:rsidP="00D62AD4" w14:paraId="50BA2F1A" w14:textId="77777777">
      <w:pPr>
        <w:rPr>
          <w:szCs w:val="22"/>
        </w:rPr>
      </w:pPr>
    </w:p>
    <w:p w:rsidR="002C0D50" w:rsidRPr="006336DE" w:rsidP="005408E2" w14:paraId="11ADD4FC" w14:textId="77777777">
      <w:pPr>
        <w:pStyle w:val="Heading1"/>
      </w:pPr>
      <w:r w:rsidRPr="006336DE">
        <w:t>Introduction and Background</w:t>
      </w:r>
    </w:p>
    <w:p w:rsidR="002C0D50" w:rsidRPr="006336DE" w:rsidP="00D62AD4" w14:paraId="54D08789" w14:textId="2588BFEC">
      <w:pPr>
        <w:numPr>
          <w:ilvl w:val="0"/>
          <w:numId w:val="2"/>
        </w:numPr>
        <w:tabs>
          <w:tab w:val="clear" w:pos="1080"/>
          <w:tab w:val="num" w:pos="1440"/>
        </w:tabs>
        <w:spacing w:after="120"/>
      </w:pPr>
      <w:r>
        <w:t xml:space="preserve">The Consumer and Governmental Affairs Bureau (CGB or Bureau) of the Federal Communications Commission (FCC or Commission) </w:t>
      </w:r>
      <w:r w:rsidRPr="006336DE">
        <w:t xml:space="preserve">seeks comment on </w:t>
      </w:r>
      <w:r>
        <w:t xml:space="preserve">its </w:t>
      </w:r>
      <w:r w:rsidRPr="006336DE">
        <w:t>tentative findings</w:t>
      </w:r>
      <w:r>
        <w:t xml:space="preserve"> on the accessibility and usability of telecommunications and advanced communications services (ACS) and equipment in connection with </w:t>
      </w:r>
      <w:r w:rsidRPr="006336DE">
        <w:t xml:space="preserve">the biennial report to Congress </w:t>
      </w:r>
      <w:r>
        <w:t xml:space="preserve">(Biennial Report) </w:t>
      </w:r>
      <w:r w:rsidRPr="006336DE">
        <w:t xml:space="preserve">required by </w:t>
      </w:r>
      <w:r>
        <w:t xml:space="preserve">section 717(b)(1) of </w:t>
      </w:r>
      <w:r w:rsidRPr="006336DE">
        <w:t>the Twenty-First Century Communications and Video Accessibility Act of 2010 (CVAA).</w:t>
      </w:r>
      <w:r>
        <w:rPr>
          <w:vertAlign w:val="superscript"/>
        </w:rPr>
        <w:footnoteReference w:id="3"/>
      </w:r>
      <w:r>
        <w:t xml:space="preserve">  </w:t>
      </w:r>
      <w:r w:rsidR="00CB1749">
        <w:t>The</w:t>
      </w:r>
      <w:r>
        <w:t xml:space="preserve"> FCC must submit final findings to Congress </w:t>
      </w:r>
      <w:r w:rsidR="006E4CB7">
        <w:t>in its Biennial Report</w:t>
      </w:r>
      <w:r w:rsidR="00AF704E">
        <w:t xml:space="preserve"> </w:t>
      </w:r>
      <w:r>
        <w:t>by</w:t>
      </w:r>
      <w:r w:rsidRPr="05AD71E1">
        <w:t xml:space="preserve"> October 8, 20</w:t>
      </w:r>
      <w:r>
        <w:t>22.</w:t>
      </w:r>
      <w:r>
        <w:rPr>
          <w:rStyle w:val="FootnoteReference"/>
        </w:rPr>
        <w:footnoteReference w:id="4"/>
      </w:r>
    </w:p>
    <w:bookmarkEnd w:id="2"/>
    <w:p w:rsidR="002C0D50" w:rsidRPr="006336DE" w:rsidP="00D62AD4" w14:paraId="5EEC7141" w14:textId="2CF383D2">
      <w:pPr>
        <w:numPr>
          <w:ilvl w:val="0"/>
          <w:numId w:val="2"/>
        </w:numPr>
        <w:tabs>
          <w:tab w:val="clear" w:pos="1080"/>
          <w:tab w:val="num" w:pos="1440"/>
        </w:tabs>
        <w:spacing w:after="120"/>
      </w:pPr>
      <w:r w:rsidRPr="2D3677C8">
        <w:t>The 202</w:t>
      </w:r>
      <w:r>
        <w:t>2</w:t>
      </w:r>
      <w:r w:rsidRPr="2D3677C8">
        <w:t xml:space="preserve"> CVAA Biennial Report will provide an assessment of industry compliance with sections 255, 716, and 718 of the Communications Act of 1934, as amended (the Act), which </w:t>
      </w:r>
      <w:r w:rsidRPr="006336DE">
        <w:t xml:space="preserve">require </w:t>
      </w:r>
      <w:r w:rsidR="00DA12C2">
        <w:t xml:space="preserve">that </w:t>
      </w:r>
      <w:r w:rsidRPr="006336DE">
        <w:t xml:space="preserve">telecommunications and advanced communications services and equipment be accessible and usable by </w:t>
      </w:r>
      <w:r>
        <w:t>people</w:t>
      </w:r>
      <w:r w:rsidRPr="006336DE">
        <w:t xml:space="preserve"> with disabilities</w:t>
      </w:r>
      <w:r w:rsidR="00197E0F">
        <w:t>,</w:t>
      </w:r>
      <w:r>
        <w:t xml:space="preserve"> and that mobile phone browsers be accessible and usable by people who are blind or visually impaired</w:t>
      </w:r>
      <w:r w:rsidRPr="006336DE">
        <w:rPr>
          <w:szCs w:val="22"/>
        </w:rPr>
        <w:t>.</w:t>
      </w:r>
      <w:r>
        <w:rPr>
          <w:vertAlign w:val="superscript"/>
        </w:rPr>
        <w:footnoteReference w:id="5"/>
      </w:r>
      <w:r w:rsidRPr="2D3677C8">
        <w:t xml:space="preserve">  The Biennial Report will also address the extent to which accessibility barriers still exist with respect to new communications technologies,</w:t>
      </w:r>
      <w:r>
        <w:rPr>
          <w:vertAlign w:val="superscript"/>
        </w:rPr>
        <w:footnoteReference w:id="6"/>
      </w:r>
      <w:r w:rsidRPr="2D3677C8">
        <w:t xml:space="preserve"> and the effect of the accessibility-related recordkeeping and enforcement provisions of section 717 on the development and deployment of such </w:t>
      </w:r>
      <w:r w:rsidRPr="2D3677C8">
        <w:t>new technologies.</w:t>
      </w:r>
      <w:r>
        <w:rPr>
          <w:vertAlign w:val="superscript"/>
        </w:rPr>
        <w:footnoteReference w:id="7"/>
      </w:r>
      <w:r w:rsidRPr="006336DE">
        <w:rPr>
          <w:szCs w:val="22"/>
        </w:rPr>
        <w:t xml:space="preserve">  </w:t>
      </w:r>
      <w:r w:rsidRPr="2D3677C8">
        <w:t>The Biennial Report will provide information about the number</w:t>
      </w:r>
      <w:r w:rsidR="00767BEF">
        <w:t xml:space="preserve"> of</w:t>
      </w:r>
      <w:r>
        <w:t>,</w:t>
      </w:r>
      <w:r w:rsidRPr="2D3677C8">
        <w:t xml:space="preserve"> nature of</w:t>
      </w:r>
      <w:r>
        <w:rPr>
          <w:szCs w:val="22"/>
        </w:rPr>
        <w:t>,</w:t>
      </w:r>
      <w:r w:rsidRPr="2D3677C8">
        <w:t xml:space="preserve"> </w:t>
      </w:r>
      <w:r>
        <w:t xml:space="preserve">and </w:t>
      </w:r>
      <w:r w:rsidRPr="2D3677C8">
        <w:t>actions taken to resolve complaints alleging violations of sections 255, 716, or 718 for the period</w:t>
      </w:r>
      <w:r w:rsidR="00767BEF">
        <w:t xml:space="preserve"> </w:t>
      </w:r>
      <w:r w:rsidRPr="2D3677C8">
        <w:t>January 1, 20</w:t>
      </w:r>
      <w:r>
        <w:t>20</w:t>
      </w:r>
      <w:r w:rsidRPr="2D3677C8">
        <w:t>, through December 31, 20</w:t>
      </w:r>
      <w:r>
        <w:t>21</w:t>
      </w:r>
      <w:r>
        <w:rPr>
          <w:szCs w:val="22"/>
        </w:rPr>
        <w:t xml:space="preserve"> —</w:t>
      </w:r>
      <w:r w:rsidRPr="2D3677C8">
        <w:t xml:space="preserve"> including the length of time that the Commission took to resolve such complaints, and the number, status, nature, and outcome of any actions for mandamus filed</w:t>
      </w:r>
      <w:r w:rsidR="00767BEF">
        <w:t>,</w:t>
      </w:r>
      <w:r w:rsidRPr="2D3677C8">
        <w:t xml:space="preserve"> and of any appeals filed pertaining to such complaints.</w:t>
      </w:r>
      <w:r>
        <w:rPr>
          <w:vertAlign w:val="superscript"/>
        </w:rPr>
        <w:footnoteReference w:id="8"/>
      </w:r>
      <w:r>
        <w:rPr>
          <w:szCs w:val="22"/>
        </w:rPr>
        <w:t xml:space="preserve">  </w:t>
      </w:r>
    </w:p>
    <w:p w:rsidR="002C0D50" w:rsidRPr="006336DE" w:rsidP="00D62AD4" w14:paraId="2FC1A654" w14:textId="26A91DD4">
      <w:pPr>
        <w:numPr>
          <w:ilvl w:val="0"/>
          <w:numId w:val="2"/>
        </w:numPr>
        <w:tabs>
          <w:tab w:val="clear" w:pos="1080"/>
          <w:tab w:val="num" w:pos="1440"/>
        </w:tabs>
        <w:spacing w:after="120"/>
      </w:pPr>
      <w:r>
        <w:t>T</w:t>
      </w:r>
      <w:r w:rsidRPr="54095403">
        <w:t xml:space="preserve">he </w:t>
      </w:r>
      <w:r w:rsidRPr="006336DE">
        <w:t xml:space="preserve">Bureau </w:t>
      </w:r>
      <w:r w:rsidRPr="54095403">
        <w:t xml:space="preserve">issued a public notice on </w:t>
      </w:r>
      <w:r>
        <w:t>February 16, 2022</w:t>
      </w:r>
      <w:r w:rsidRPr="54095403">
        <w:t xml:space="preserve">, inviting comment on </w:t>
      </w:r>
      <w:r>
        <w:t>these matters</w:t>
      </w:r>
      <w:r w:rsidRPr="006336DE">
        <w:rPr>
          <w:szCs w:val="22"/>
        </w:rPr>
        <w:t>.</w:t>
      </w:r>
      <w:r>
        <w:rPr>
          <w:vertAlign w:val="superscript"/>
        </w:rPr>
        <w:footnoteReference w:id="9"/>
      </w:r>
      <w:r w:rsidRPr="006336DE">
        <w:rPr>
          <w:szCs w:val="22"/>
        </w:rPr>
        <w:t xml:space="preserve">  </w:t>
      </w:r>
      <w:r w:rsidRPr="006336DE">
        <w:t xml:space="preserve">Comments were received from </w:t>
      </w:r>
      <w:r>
        <w:t xml:space="preserve">American Council of the Blind (ACB); American Foundation for the Blind (AFB); Center for Advanced Communications Policy (CACP); </w:t>
      </w:r>
      <w:r w:rsidRPr="00D31078">
        <w:t>Consumer Technology Association (CTA)</w:t>
      </w:r>
      <w:r>
        <w:t xml:space="preserve">; </w:t>
      </w:r>
      <w:r w:rsidRPr="0069748A">
        <w:t>CTIA – The Wireless Association</w:t>
      </w:r>
      <w:r>
        <w:t xml:space="preserve"> (</w:t>
      </w:r>
      <w:r w:rsidRPr="006336DE">
        <w:t>CTIA</w:t>
      </w:r>
      <w:r>
        <w:t>)</w:t>
      </w:r>
      <w:r>
        <w:t>; Hawaii Broadband &amp; Digital Equity Office et al. (HBDE)</w:t>
      </w:r>
      <w:r w:rsidRPr="006336DE">
        <w:t xml:space="preserve">; </w:t>
      </w:r>
      <w:r>
        <w:t xml:space="preserve">and </w:t>
      </w:r>
      <w:r w:rsidR="00405C7D">
        <w:t>Deaf and Hard of Hearing Consumer Advocacy Organizations (</w:t>
      </w:r>
      <w:r w:rsidR="00340A8C">
        <w:t>DHH CAO</w:t>
      </w:r>
      <w:r w:rsidR="00405C7D">
        <w:t>)</w:t>
      </w:r>
      <w:r>
        <w:t>.</w:t>
      </w:r>
      <w:r>
        <w:rPr>
          <w:vertAlign w:val="superscript"/>
        </w:rPr>
        <w:footnoteReference w:id="10"/>
      </w:r>
      <w:r>
        <w:t xml:space="preserve"> </w:t>
      </w:r>
      <w:r w:rsidR="00543D90">
        <w:t xml:space="preserve"> </w:t>
      </w:r>
    </w:p>
    <w:p w:rsidR="002C0D50" w:rsidRPr="006336DE" w:rsidP="00D62AD4" w14:paraId="3316A495" w14:textId="505F6FAD">
      <w:pPr>
        <w:numPr>
          <w:ilvl w:val="0"/>
          <w:numId w:val="2"/>
        </w:numPr>
        <w:tabs>
          <w:tab w:val="clear" w:pos="1080"/>
          <w:tab w:val="num" w:pos="1440"/>
        </w:tabs>
        <w:spacing w:after="120"/>
        <w:rPr>
          <w:szCs w:val="22"/>
        </w:rPr>
      </w:pPr>
      <w:r>
        <w:rPr>
          <w:szCs w:val="22"/>
        </w:rPr>
        <w:t xml:space="preserve">We have attached our tentative findings to </w:t>
      </w:r>
      <w:r>
        <w:rPr>
          <w:szCs w:val="22"/>
        </w:rPr>
        <w:t>this Public Notice</w:t>
      </w:r>
      <w:r w:rsidR="00316099">
        <w:rPr>
          <w:szCs w:val="22"/>
        </w:rPr>
        <w:t xml:space="preserve"> and</w:t>
      </w:r>
      <w:r>
        <w:rPr>
          <w:szCs w:val="22"/>
        </w:rPr>
        <w:t xml:space="preserve"> </w:t>
      </w:r>
      <w:r w:rsidRPr="006336DE">
        <w:rPr>
          <w:szCs w:val="22"/>
        </w:rPr>
        <w:t xml:space="preserve">seek </w:t>
      </w:r>
      <w:r w:rsidRPr="00011EF3">
        <w:t>comment</w:t>
      </w:r>
      <w:r w:rsidRPr="006336DE">
        <w:rPr>
          <w:szCs w:val="22"/>
        </w:rPr>
        <w:t xml:space="preserve"> on whether the</w:t>
      </w:r>
      <w:r>
        <w:rPr>
          <w:szCs w:val="22"/>
        </w:rPr>
        <w:t>se</w:t>
      </w:r>
      <w:r w:rsidRPr="006336DE">
        <w:rPr>
          <w:szCs w:val="22"/>
        </w:rPr>
        <w:t xml:space="preserve"> tentative findings accurately represent the current state of accessibility</w:t>
      </w:r>
      <w:r>
        <w:rPr>
          <w:szCs w:val="22"/>
        </w:rPr>
        <w:t xml:space="preserve"> and usability of telecommunications </w:t>
      </w:r>
      <w:r w:rsidR="00F6397A">
        <w:rPr>
          <w:szCs w:val="22"/>
        </w:rPr>
        <w:t xml:space="preserve">and advanced communications </w:t>
      </w:r>
      <w:r>
        <w:rPr>
          <w:szCs w:val="22"/>
        </w:rPr>
        <w:t>services</w:t>
      </w:r>
      <w:r w:rsidR="00F6397A">
        <w:rPr>
          <w:szCs w:val="22"/>
        </w:rPr>
        <w:t xml:space="preserve"> and equipment, and the accessibility and usability of </w:t>
      </w:r>
      <w:r w:rsidR="007F62FD">
        <w:rPr>
          <w:szCs w:val="22"/>
        </w:rPr>
        <w:t xml:space="preserve">Internet browsers on </w:t>
      </w:r>
      <w:r w:rsidR="00F6397A">
        <w:rPr>
          <w:szCs w:val="22"/>
        </w:rPr>
        <w:t>mobile phone</w:t>
      </w:r>
      <w:r w:rsidR="007F62FD">
        <w:rPr>
          <w:szCs w:val="22"/>
        </w:rPr>
        <w:t>s</w:t>
      </w:r>
      <w:r w:rsidR="00F6397A">
        <w:rPr>
          <w:szCs w:val="22"/>
        </w:rPr>
        <w:t xml:space="preserve"> </w:t>
      </w:r>
      <w:r w:rsidR="007F62FD">
        <w:rPr>
          <w:szCs w:val="22"/>
        </w:rPr>
        <w:t xml:space="preserve">for </w:t>
      </w:r>
      <w:r w:rsidR="00F6397A">
        <w:rPr>
          <w:szCs w:val="22"/>
        </w:rPr>
        <w:t>people who are blind</w:t>
      </w:r>
      <w:r w:rsidR="005007BE">
        <w:rPr>
          <w:szCs w:val="22"/>
        </w:rPr>
        <w:t xml:space="preserve"> or visually impaired</w:t>
      </w:r>
      <w:r w:rsidR="00A238F6">
        <w:rPr>
          <w:szCs w:val="22"/>
        </w:rPr>
        <w:t>.</w:t>
      </w:r>
      <w:r w:rsidRPr="006336DE">
        <w:rPr>
          <w:szCs w:val="22"/>
        </w:rPr>
        <w:t xml:space="preserve">  </w:t>
      </w:r>
      <w:r>
        <w:rPr>
          <w:szCs w:val="22"/>
        </w:rPr>
        <w:t xml:space="preserve"> </w:t>
      </w:r>
    </w:p>
    <w:p w:rsidR="002C0D50" w:rsidRPr="006336DE" w:rsidP="00D62AD4" w14:paraId="06B4A739" w14:textId="77777777">
      <w:pPr>
        <w:keepNext/>
        <w:numPr>
          <w:ilvl w:val="0"/>
          <w:numId w:val="3"/>
        </w:numPr>
        <w:tabs>
          <w:tab w:val="left" w:pos="720"/>
        </w:tabs>
        <w:suppressAutoHyphens/>
        <w:spacing w:after="120"/>
        <w:outlineLvl w:val="0"/>
        <w:rPr>
          <w:rFonts w:ascii="Times New Roman Bold" w:hAnsi="Times New Roman Bold"/>
          <w:b/>
          <w:caps/>
        </w:rPr>
      </w:pPr>
      <w:r w:rsidRPr="006336DE">
        <w:rPr>
          <w:rFonts w:ascii="Times New Roman Bold" w:hAnsi="Times New Roman Bold"/>
          <w:b/>
          <w:caps/>
        </w:rPr>
        <w:t xml:space="preserve">Applicable Statutory Provisions </w:t>
      </w:r>
    </w:p>
    <w:p w:rsidR="002C0D50" w:rsidRPr="006336DE" w:rsidP="00D62AD4" w14:paraId="5B7FE6EF" w14:textId="03287008">
      <w:pPr>
        <w:numPr>
          <w:ilvl w:val="0"/>
          <w:numId w:val="2"/>
        </w:numPr>
        <w:tabs>
          <w:tab w:val="clear" w:pos="1080"/>
          <w:tab w:val="num" w:pos="1440"/>
        </w:tabs>
        <w:spacing w:after="120"/>
        <w:rPr>
          <w:szCs w:val="22"/>
        </w:rPr>
      </w:pPr>
      <w:r w:rsidRPr="006336DE">
        <w:rPr>
          <w:szCs w:val="22"/>
        </w:rPr>
        <w:t xml:space="preserve">The </w:t>
      </w:r>
      <w:r w:rsidRPr="00011EF3">
        <w:t>purpose</w:t>
      </w:r>
      <w:r w:rsidRPr="006336DE">
        <w:rPr>
          <w:szCs w:val="22"/>
        </w:rPr>
        <w:t xml:space="preserve"> of the CVAA</w:t>
      </w:r>
      <w:r>
        <w:rPr>
          <w:szCs w:val="22"/>
        </w:rPr>
        <w:t xml:space="preserve"> </w:t>
      </w:r>
      <w:r w:rsidRPr="006336DE">
        <w:rPr>
          <w:szCs w:val="22"/>
        </w:rPr>
        <w:t>is “to help ensure that individuals with disabilities are able to fully utilize communications services and equipment and better access video programming.”</w:t>
      </w:r>
      <w:r>
        <w:rPr>
          <w:szCs w:val="22"/>
          <w:vertAlign w:val="superscript"/>
        </w:rPr>
        <w:footnoteReference w:id="11"/>
      </w:r>
      <w:r w:rsidRPr="006336DE">
        <w:rPr>
          <w:szCs w:val="22"/>
        </w:rPr>
        <w:t xml:space="preserve">  To </w:t>
      </w:r>
      <w:r w:rsidR="006B605E">
        <w:rPr>
          <w:szCs w:val="22"/>
        </w:rPr>
        <w:t xml:space="preserve">further </w:t>
      </w:r>
      <w:r w:rsidRPr="006336DE">
        <w:rPr>
          <w:szCs w:val="22"/>
        </w:rPr>
        <w:t xml:space="preserve">this objective, the CVAA added </w:t>
      </w:r>
      <w:r>
        <w:rPr>
          <w:szCs w:val="22"/>
        </w:rPr>
        <w:t>and</w:t>
      </w:r>
      <w:r w:rsidRPr="006336DE">
        <w:rPr>
          <w:szCs w:val="22"/>
        </w:rPr>
        <w:t xml:space="preserve"> amended the enforcement of the following accessibility-related provisions of the Act, compliance with which is discussed in the Attachment to this Public Notice. </w:t>
      </w:r>
    </w:p>
    <w:p w:rsidR="002C0D50" w:rsidRPr="006336DE" w:rsidP="00D62AD4" w14:paraId="54CB45A0" w14:textId="77777777">
      <w:pPr>
        <w:widowControl/>
        <w:numPr>
          <w:ilvl w:val="0"/>
          <w:numId w:val="2"/>
        </w:numPr>
        <w:tabs>
          <w:tab w:val="clear" w:pos="1080"/>
          <w:tab w:val="num" w:pos="1440"/>
        </w:tabs>
        <w:spacing w:after="120"/>
      </w:pPr>
      <w:r w:rsidRPr="54095403">
        <w:rPr>
          <w:i/>
          <w:iCs/>
        </w:rPr>
        <w:t>Section 255</w:t>
      </w:r>
      <w:r w:rsidRPr="54095403">
        <w:t xml:space="preserve">.  Section 255 </w:t>
      </w:r>
      <w:r w:rsidRPr="00011EF3">
        <w:t>requires</w:t>
      </w:r>
      <w:r w:rsidRPr="54095403">
        <w:t xml:space="preserve"> providers of telecommunications services and manufacturers of telecommunications equipment or customer premises equipment (CPE</w:t>
      </w:r>
      <w:r>
        <w:rPr>
          <w:szCs w:val="22"/>
        </w:rPr>
        <w:t>)</w:t>
      </w:r>
      <w:r w:rsidRPr="54095403">
        <w:t xml:space="preserve"> to ensure that their services and equipment are accessible to and usable by individuals with disabilities, if readily </w:t>
      </w:r>
      <w:r w:rsidRPr="54095403">
        <w:t>achievable.</w:t>
      </w:r>
      <w:r>
        <w:rPr>
          <w:vertAlign w:val="superscript"/>
        </w:rPr>
        <w:footnoteReference w:id="12"/>
      </w:r>
      <w:r w:rsidRPr="54095403">
        <w:t xml:space="preserve">  When these requirements are not readily achievable, covered entities must ensure that their services and equipment are compatible with existing peripheral devices or specialized CPE commonly used by individuals with disabilities to achieve access, if readily achievable.</w:t>
      </w:r>
      <w:r>
        <w:rPr>
          <w:vertAlign w:val="superscript"/>
        </w:rPr>
        <w:footnoteReference w:id="13"/>
      </w:r>
      <w:r w:rsidRPr="54095403">
        <w:t xml:space="preserve">  Pursuant to the Commission’s rules, section 255’s accessibility obligations extend as well to interconnected Voice over Internet Protocol (VoIP) service providers and equipment manufacturers.</w:t>
      </w:r>
      <w:r>
        <w:rPr>
          <w:vertAlign w:val="superscript"/>
        </w:rPr>
        <w:footnoteReference w:id="14"/>
      </w:r>
    </w:p>
    <w:p w:rsidR="002C0D50" w:rsidRPr="006336DE" w:rsidP="00D62AD4" w14:paraId="153AED0F" w14:textId="6A79A827">
      <w:pPr>
        <w:numPr>
          <w:ilvl w:val="0"/>
          <w:numId w:val="2"/>
        </w:numPr>
        <w:tabs>
          <w:tab w:val="clear" w:pos="1080"/>
          <w:tab w:val="num" w:pos="1440"/>
        </w:tabs>
        <w:spacing w:after="120"/>
        <w:rPr>
          <w:szCs w:val="22"/>
        </w:rPr>
      </w:pPr>
      <w:r w:rsidRPr="006336DE">
        <w:rPr>
          <w:i/>
          <w:szCs w:val="22"/>
        </w:rPr>
        <w:t>Section 716</w:t>
      </w:r>
      <w:r w:rsidRPr="006336DE">
        <w:rPr>
          <w:szCs w:val="22"/>
        </w:rPr>
        <w:t xml:space="preserve">.  </w:t>
      </w:r>
      <w:r w:rsidRPr="00011EF3">
        <w:t>Section</w:t>
      </w:r>
      <w:r w:rsidRPr="006336DE">
        <w:rPr>
          <w:szCs w:val="22"/>
        </w:rPr>
        <w:t xml:space="preserve"> 716 requires providers of ACS and manufacturers of equipment used for ACS to ensure that their services and equipment are accessible to and usable by individuals with disabilities, unless doing so is not achievable (defined as “with reasonable effort or expense”).</w:t>
      </w:r>
      <w:r>
        <w:rPr>
          <w:szCs w:val="22"/>
          <w:vertAlign w:val="superscript"/>
        </w:rPr>
        <w:footnoteReference w:id="15"/>
      </w:r>
      <w:r w:rsidRPr="006336DE">
        <w:rPr>
          <w:szCs w:val="22"/>
        </w:rPr>
        <w:t xml:space="preserve">  “Advanced communications services” include: (1) interconnected VoIP service; (2) non-interconnected VoIP service; (3) electronic messaging service; and (4) interoperable video conferencing service.</w:t>
      </w:r>
      <w:r>
        <w:rPr>
          <w:szCs w:val="22"/>
          <w:vertAlign w:val="superscript"/>
        </w:rPr>
        <w:footnoteReference w:id="16"/>
      </w:r>
      <w:r w:rsidRPr="006336DE">
        <w:rPr>
          <w:szCs w:val="22"/>
        </w:rPr>
        <w:t xml:space="preserve">  In contrast to interconnected VoIP services, which enable people to make and receive calls to and from the public switched telephone network (PSTN), non-interconnected VoIP include</w:t>
      </w:r>
      <w:r w:rsidR="00C21BA8">
        <w:rPr>
          <w:szCs w:val="22"/>
        </w:rPr>
        <w:t>s</w:t>
      </w:r>
      <w:r w:rsidRPr="006336DE">
        <w:rPr>
          <w:szCs w:val="22"/>
        </w:rPr>
        <w:t xml:space="preserve"> services that enable real-time voice communications either to or from the PSTN (but not both) or which neither begin nor end on the PSTN.</w:t>
      </w:r>
      <w:r>
        <w:rPr>
          <w:szCs w:val="22"/>
          <w:vertAlign w:val="superscript"/>
        </w:rPr>
        <w:footnoteReference w:id="17"/>
      </w:r>
      <w:r w:rsidRPr="006336DE">
        <w:rPr>
          <w:szCs w:val="22"/>
        </w:rPr>
        <w:t xml:space="preserve">  Electronic messaging services include services such as e-mail, short message service (SMS) text messaging, and instant messaging, which enable real-time or near real-time text messages between individuals over communications networks.</w:t>
      </w:r>
      <w:r>
        <w:rPr>
          <w:szCs w:val="22"/>
          <w:vertAlign w:val="superscript"/>
        </w:rPr>
        <w:footnoteReference w:id="18"/>
      </w:r>
      <w:r w:rsidRPr="006336DE">
        <w:rPr>
          <w:szCs w:val="22"/>
        </w:rPr>
        <w:t xml:space="preserve">  Interoperable video conferencing services provide real-time video communications, including audio, to enable users to share information.</w:t>
      </w:r>
      <w:r>
        <w:rPr>
          <w:szCs w:val="22"/>
          <w:vertAlign w:val="superscript"/>
        </w:rPr>
        <w:footnoteReference w:id="19"/>
      </w:r>
      <w:r w:rsidRPr="006336DE">
        <w:rPr>
          <w:szCs w:val="22"/>
        </w:rPr>
        <w:t xml:space="preserve">  </w:t>
      </w:r>
    </w:p>
    <w:p w:rsidR="002C0D50" w:rsidRPr="006336DE" w:rsidP="00D62AD4" w14:paraId="10A51B70" w14:textId="319FFD5F">
      <w:pPr>
        <w:keepNext/>
        <w:widowControl/>
        <w:numPr>
          <w:ilvl w:val="0"/>
          <w:numId w:val="2"/>
        </w:numPr>
        <w:tabs>
          <w:tab w:val="clear" w:pos="1080"/>
          <w:tab w:val="num" w:pos="1440"/>
        </w:tabs>
        <w:spacing w:after="120"/>
        <w:rPr>
          <w:szCs w:val="22"/>
        </w:rPr>
      </w:pPr>
      <w:r w:rsidRPr="006336DE">
        <w:rPr>
          <w:szCs w:val="22"/>
        </w:rPr>
        <w:t xml:space="preserve">The accessibility </w:t>
      </w:r>
      <w:r w:rsidRPr="00011EF3">
        <w:t>requirements</w:t>
      </w:r>
      <w:r w:rsidRPr="006336DE">
        <w:rPr>
          <w:szCs w:val="22"/>
        </w:rPr>
        <w:t xml:space="preserve"> for section 716 may be satisfied by: (1) building accessibility into the service or equipment</w:t>
      </w:r>
      <w:r>
        <w:rPr>
          <w:szCs w:val="22"/>
          <w:vertAlign w:val="superscript"/>
        </w:rPr>
        <w:footnoteReference w:id="20"/>
      </w:r>
      <w:r w:rsidRPr="006336DE">
        <w:rPr>
          <w:szCs w:val="22"/>
        </w:rPr>
        <w:t xml:space="preserve"> or (2) using third-party applications, peripheral devices, software, hardware, or CPE that is available to consumers at nominal cost and that individuals with </w:t>
      </w:r>
      <w:r w:rsidRPr="006336DE">
        <w:rPr>
          <w:szCs w:val="22"/>
        </w:rPr>
        <w:t>disabilities can access.</w:t>
      </w:r>
      <w:r>
        <w:rPr>
          <w:szCs w:val="22"/>
          <w:vertAlign w:val="superscript"/>
        </w:rPr>
        <w:footnoteReference w:id="21"/>
      </w:r>
      <w:r w:rsidRPr="006336DE">
        <w:rPr>
          <w:szCs w:val="22"/>
        </w:rPr>
        <w:t xml:space="preserve">  When ensuring accessibility through either of those options is not achievable, covered entities must ensure that their services and equipment are compatible with existing peripheral devices or specialized CPE commonly used by individuals with disabilities to achieve access, unless that is not achievable.</w:t>
      </w:r>
      <w:r>
        <w:rPr>
          <w:szCs w:val="22"/>
          <w:vertAlign w:val="superscript"/>
        </w:rPr>
        <w:footnoteReference w:id="22"/>
      </w:r>
      <w:r w:rsidRPr="006336DE">
        <w:rPr>
          <w:szCs w:val="22"/>
          <w:vertAlign w:val="superscript"/>
        </w:rPr>
        <w:t xml:space="preserve"> </w:t>
      </w:r>
      <w:r w:rsidRPr="006336DE">
        <w:rPr>
          <w:szCs w:val="22"/>
        </w:rPr>
        <w:t xml:space="preserve"> </w:t>
      </w:r>
    </w:p>
    <w:p w:rsidR="002C0D50" w:rsidRPr="006336DE" w:rsidP="00D62AD4" w14:paraId="291A5A00" w14:textId="77777777">
      <w:pPr>
        <w:numPr>
          <w:ilvl w:val="0"/>
          <w:numId w:val="2"/>
        </w:numPr>
        <w:tabs>
          <w:tab w:val="clear" w:pos="1080"/>
          <w:tab w:val="num" w:pos="1440"/>
        </w:tabs>
        <w:spacing w:after="120"/>
      </w:pPr>
      <w:r w:rsidRPr="3D9386E4">
        <w:rPr>
          <w:i/>
          <w:iCs/>
        </w:rPr>
        <w:t>Section 718</w:t>
      </w:r>
      <w:r w:rsidRPr="3D9386E4">
        <w:t xml:space="preserve">.  Section 718 </w:t>
      </w:r>
      <w:r w:rsidRPr="00011EF3">
        <w:t>requires</w:t>
      </w:r>
      <w:r w:rsidRPr="3D9386E4">
        <w:t xml:space="preserve"> mobile phone service providers and manufacturers to make Internet browsers built into mobile phones accessible to and usable by people who are blind or have a visual impairment, unless doing so is not achievable.</w:t>
      </w:r>
      <w:r>
        <w:rPr>
          <w:vertAlign w:val="superscript"/>
        </w:rPr>
        <w:footnoteReference w:id="23"/>
      </w:r>
      <w:r w:rsidRPr="3D9386E4">
        <w:t xml:space="preserve">  This requirement may be satisfied with or without the use of third-party applications, peripheral devices, software, hardware, or CPE that is available to consumers at nominal cost and that individuals with disabilities can access.</w:t>
      </w:r>
      <w:r>
        <w:rPr>
          <w:vertAlign w:val="superscript"/>
        </w:rPr>
        <w:footnoteReference w:id="24"/>
      </w:r>
    </w:p>
    <w:p w:rsidR="002C0D50" w:rsidRPr="006336DE" w:rsidP="00D62AD4" w14:paraId="72FB8252" w14:textId="77777777">
      <w:pPr>
        <w:keepNext/>
        <w:numPr>
          <w:ilvl w:val="0"/>
          <w:numId w:val="3"/>
        </w:numPr>
        <w:tabs>
          <w:tab w:val="left" w:pos="720"/>
        </w:tabs>
        <w:suppressAutoHyphens/>
        <w:spacing w:after="120"/>
        <w:outlineLvl w:val="0"/>
        <w:rPr>
          <w:rFonts w:ascii="Times New Roman Bold" w:hAnsi="Times New Roman Bold"/>
          <w:b/>
          <w:caps/>
        </w:rPr>
      </w:pPr>
      <w:r w:rsidRPr="006336DE">
        <w:rPr>
          <w:rFonts w:ascii="Times New Roman Bold" w:hAnsi="Times New Roman Bold"/>
          <w:b/>
          <w:caps/>
        </w:rPr>
        <w:t>Procedural matters</w:t>
      </w:r>
    </w:p>
    <w:p w:rsidR="002C0D50" w:rsidRPr="006336DE" w:rsidP="00D62AD4" w14:paraId="35C37934" w14:textId="77777777">
      <w:pPr>
        <w:numPr>
          <w:ilvl w:val="0"/>
          <w:numId w:val="2"/>
        </w:numPr>
        <w:tabs>
          <w:tab w:val="clear" w:pos="1080"/>
          <w:tab w:val="num" w:pos="1440"/>
        </w:tabs>
        <w:spacing w:after="120"/>
        <w:rPr>
          <w:szCs w:val="22"/>
        </w:rPr>
      </w:pPr>
      <w:r w:rsidRPr="006336DE">
        <w:rPr>
          <w:i/>
          <w:szCs w:val="22"/>
        </w:rPr>
        <w:t xml:space="preserve">Ex </w:t>
      </w:r>
      <w:r w:rsidRPr="006336DE">
        <w:rPr>
          <w:i/>
          <w:szCs w:val="22"/>
        </w:rPr>
        <w:t>Parte</w:t>
      </w:r>
      <w:r w:rsidRPr="006336DE">
        <w:rPr>
          <w:i/>
          <w:szCs w:val="22"/>
        </w:rPr>
        <w:t xml:space="preserve"> Rules</w:t>
      </w:r>
      <w:r w:rsidRPr="006336DE">
        <w:rPr>
          <w:szCs w:val="22"/>
        </w:rPr>
        <w:t xml:space="preserve">.  The </w:t>
      </w:r>
      <w:r w:rsidRPr="00011EF3">
        <w:t>proceeding</w:t>
      </w:r>
      <w:r w:rsidRPr="006336DE">
        <w:rPr>
          <w:szCs w:val="22"/>
        </w:rPr>
        <w:t xml:space="preserve"> this Notice initiates shall be treated as a “permit-but-disclose” proceeding in accordance with the Commission’s </w:t>
      </w:r>
      <w:r w:rsidRPr="006336DE">
        <w:rPr>
          <w:i/>
          <w:iCs/>
          <w:szCs w:val="22"/>
        </w:rPr>
        <w:t xml:space="preserve">ex </w:t>
      </w:r>
      <w:r w:rsidRPr="006336DE">
        <w:rPr>
          <w:i/>
          <w:iCs/>
          <w:szCs w:val="22"/>
        </w:rPr>
        <w:t>parte</w:t>
      </w:r>
      <w:r w:rsidRPr="006336DE">
        <w:rPr>
          <w:i/>
          <w:iCs/>
          <w:szCs w:val="22"/>
        </w:rPr>
        <w:t xml:space="preserve"> </w:t>
      </w:r>
      <w:r w:rsidRPr="006336DE">
        <w:rPr>
          <w:szCs w:val="22"/>
        </w:rPr>
        <w:t>rules.</w:t>
      </w:r>
      <w:r>
        <w:rPr>
          <w:szCs w:val="22"/>
          <w:vertAlign w:val="superscript"/>
        </w:rPr>
        <w:footnoteReference w:id="25"/>
      </w:r>
      <w:r w:rsidRPr="006336DE">
        <w:rPr>
          <w:szCs w:val="22"/>
        </w:rPr>
        <w:t xml:space="preserve">  Persons making </w:t>
      </w:r>
      <w:r w:rsidRPr="006336DE">
        <w:rPr>
          <w:i/>
          <w:szCs w:val="22"/>
        </w:rPr>
        <w:t xml:space="preserve">ex </w:t>
      </w:r>
      <w:r w:rsidRPr="006336DE">
        <w:rPr>
          <w:i/>
          <w:szCs w:val="22"/>
        </w:rPr>
        <w:t>parte</w:t>
      </w:r>
      <w:r w:rsidRPr="006336DE">
        <w:rPr>
          <w:i/>
          <w:szCs w:val="22"/>
        </w:rPr>
        <w:t xml:space="preserve"> </w:t>
      </w:r>
      <w:r w:rsidRPr="006336D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36DE">
        <w:rPr>
          <w:i/>
          <w:iCs/>
          <w:szCs w:val="22"/>
        </w:rPr>
        <w:t xml:space="preserve">ex </w:t>
      </w:r>
      <w:r w:rsidRPr="006336DE">
        <w:rPr>
          <w:i/>
          <w:iCs/>
          <w:szCs w:val="22"/>
        </w:rPr>
        <w:t>parte</w:t>
      </w:r>
      <w:r w:rsidRPr="006336DE">
        <w:rPr>
          <w:i/>
          <w:iCs/>
          <w:szCs w:val="22"/>
        </w:rPr>
        <w:t xml:space="preserve"> </w:t>
      </w:r>
      <w:r w:rsidRPr="006336DE">
        <w:rPr>
          <w:szCs w:val="22"/>
        </w:rPr>
        <w:t xml:space="preserve">presentations are reminded that memoranda summarizing the presentation must (1) list all persons attending or otherwise participating in the meeting at which the </w:t>
      </w:r>
      <w:r w:rsidRPr="006336DE">
        <w:rPr>
          <w:i/>
          <w:iCs/>
          <w:szCs w:val="22"/>
        </w:rPr>
        <w:t xml:space="preserve">ex </w:t>
      </w:r>
      <w:r w:rsidRPr="006336DE">
        <w:rPr>
          <w:i/>
          <w:iCs/>
          <w:szCs w:val="22"/>
        </w:rPr>
        <w:t>parte</w:t>
      </w:r>
      <w:r w:rsidRPr="006336DE">
        <w:rPr>
          <w:i/>
          <w:iCs/>
          <w:szCs w:val="22"/>
        </w:rPr>
        <w:t xml:space="preserve"> </w:t>
      </w:r>
      <w:r w:rsidRPr="006336D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336DE">
        <w:rPr>
          <w:i/>
          <w:iCs/>
          <w:szCs w:val="22"/>
        </w:rPr>
        <w:t xml:space="preserve">ex </w:t>
      </w:r>
      <w:r w:rsidRPr="006336DE">
        <w:rPr>
          <w:i/>
          <w:iCs/>
          <w:szCs w:val="22"/>
        </w:rPr>
        <w:t>parte</w:t>
      </w:r>
      <w:r w:rsidRPr="006336DE">
        <w:rPr>
          <w:i/>
          <w:iCs/>
          <w:szCs w:val="22"/>
        </w:rPr>
        <w:t xml:space="preserve"> </w:t>
      </w:r>
      <w:r w:rsidRPr="006336DE">
        <w:rPr>
          <w:szCs w:val="22"/>
        </w:rPr>
        <w:t xml:space="preserve">meetings are deemed to be written </w:t>
      </w:r>
      <w:r w:rsidRPr="006336DE">
        <w:rPr>
          <w:i/>
          <w:iCs/>
          <w:szCs w:val="22"/>
        </w:rPr>
        <w:t xml:space="preserve">ex </w:t>
      </w:r>
      <w:r w:rsidRPr="006336DE">
        <w:rPr>
          <w:i/>
          <w:iCs/>
          <w:szCs w:val="22"/>
        </w:rPr>
        <w:t>parte</w:t>
      </w:r>
      <w:r w:rsidRPr="006336DE">
        <w:rPr>
          <w:szCs w:val="22"/>
        </w:rPr>
        <w:t xml:space="preserve"> presentations and must be filed consistent with rule 1.1206(b).  In proceedings governed by rule 1.49(f) or for which the Commission has made available a method of electronic filing, written </w:t>
      </w:r>
      <w:r w:rsidRPr="006336DE">
        <w:rPr>
          <w:i/>
          <w:iCs/>
          <w:szCs w:val="22"/>
        </w:rPr>
        <w:t xml:space="preserve">ex </w:t>
      </w:r>
      <w:r w:rsidRPr="006336DE">
        <w:rPr>
          <w:i/>
          <w:iCs/>
          <w:szCs w:val="22"/>
        </w:rPr>
        <w:t>parte</w:t>
      </w:r>
      <w:r w:rsidRPr="006336DE">
        <w:rPr>
          <w:i/>
          <w:iCs/>
          <w:szCs w:val="22"/>
        </w:rPr>
        <w:t xml:space="preserve"> </w:t>
      </w:r>
      <w:r w:rsidRPr="006336DE">
        <w:rPr>
          <w:szCs w:val="22"/>
        </w:rPr>
        <w:t xml:space="preserve">presentations and memoranda summarizing oral </w:t>
      </w:r>
      <w:r w:rsidRPr="006336DE">
        <w:rPr>
          <w:i/>
          <w:iCs/>
          <w:szCs w:val="22"/>
        </w:rPr>
        <w:t xml:space="preserve">ex </w:t>
      </w:r>
      <w:r w:rsidRPr="006336DE">
        <w:rPr>
          <w:i/>
          <w:iCs/>
          <w:szCs w:val="22"/>
        </w:rPr>
        <w:t>parte</w:t>
      </w:r>
      <w:r w:rsidRPr="006336DE">
        <w:rPr>
          <w:i/>
          <w:iCs/>
          <w:szCs w:val="22"/>
        </w:rPr>
        <w:t xml:space="preserve"> </w:t>
      </w:r>
      <w:r w:rsidRPr="006336DE">
        <w:rPr>
          <w:szCs w:val="22"/>
        </w:rPr>
        <w:t>presentations, and all attachments thereto, must be filed through the electronic comment filing system available for that proceeding, and must be filed in their native format (</w:t>
      </w:r>
      <w:r w:rsidRPr="006336DE">
        <w:rPr>
          <w:i/>
          <w:iCs/>
          <w:szCs w:val="22"/>
        </w:rPr>
        <w:t>e.g.</w:t>
      </w:r>
      <w:r w:rsidRPr="006336DE">
        <w:rPr>
          <w:szCs w:val="22"/>
        </w:rPr>
        <w:t xml:space="preserve">, .doc, .xml, .ppt, searchable .pdf).  Participants in this proceeding should familiarize themselves with the Commission’s </w:t>
      </w:r>
      <w:r w:rsidRPr="006336DE">
        <w:rPr>
          <w:i/>
          <w:iCs/>
          <w:szCs w:val="22"/>
        </w:rPr>
        <w:t xml:space="preserve">ex </w:t>
      </w:r>
      <w:r w:rsidRPr="006336DE">
        <w:rPr>
          <w:i/>
          <w:iCs/>
          <w:szCs w:val="22"/>
        </w:rPr>
        <w:t>parte</w:t>
      </w:r>
      <w:r w:rsidRPr="006336DE">
        <w:rPr>
          <w:i/>
          <w:iCs/>
          <w:szCs w:val="22"/>
        </w:rPr>
        <w:t xml:space="preserve"> </w:t>
      </w:r>
      <w:r w:rsidRPr="006336DE">
        <w:rPr>
          <w:szCs w:val="22"/>
        </w:rPr>
        <w:t>rules.</w:t>
      </w:r>
    </w:p>
    <w:p w:rsidR="002C0D50" w:rsidRPr="006336DE" w:rsidP="00D62AD4" w14:paraId="270D8BA5" w14:textId="44D29966">
      <w:pPr>
        <w:keepNext/>
        <w:keepLines/>
        <w:widowControl/>
        <w:numPr>
          <w:ilvl w:val="0"/>
          <w:numId w:val="2"/>
        </w:numPr>
        <w:tabs>
          <w:tab w:val="clear" w:pos="1080"/>
          <w:tab w:val="num" w:pos="1440"/>
        </w:tabs>
        <w:spacing w:after="120"/>
      </w:pPr>
      <w:r w:rsidRPr="1478E563">
        <w:rPr>
          <w:i/>
          <w:iCs/>
        </w:rPr>
        <w:t xml:space="preserve">Filing Requirements.  </w:t>
      </w:r>
      <w:r w:rsidRPr="1478E563">
        <w:t xml:space="preserve">Interested </w:t>
      </w:r>
      <w:r w:rsidRPr="00011EF3">
        <w:t>parties</w:t>
      </w:r>
      <w:r w:rsidRPr="1478E563">
        <w:t xml:space="preserve"> may file comments on or before the date indicated on the first page of this document.</w:t>
      </w:r>
      <w:r>
        <w:rPr>
          <w:vertAlign w:val="superscript"/>
        </w:rPr>
        <w:footnoteReference w:id="26"/>
      </w:r>
      <w:r w:rsidRPr="1478E563">
        <w:t xml:space="preserve">  Comments may be filed using the Commission’s Electronic Comment Filing System (ECFS).</w:t>
      </w:r>
      <w:r>
        <w:rPr>
          <w:vertAlign w:val="superscript"/>
        </w:rPr>
        <w:footnoteReference w:id="27"/>
      </w:r>
      <w:r w:rsidRPr="006336DE">
        <w:rPr>
          <w:szCs w:val="22"/>
        </w:rPr>
        <w:t xml:space="preserve">  </w:t>
      </w:r>
      <w:r w:rsidRPr="1478E563">
        <w:t xml:space="preserve">All comments should refer to </w:t>
      </w:r>
      <w:r w:rsidRPr="1478E563">
        <w:rPr>
          <w:b/>
          <w:bCs/>
        </w:rPr>
        <w:t>CG Docket No. 10-213</w:t>
      </w:r>
      <w:r w:rsidRPr="1478E563">
        <w:t>.  Please title comments responsive to this Notice as “Public Notice Comments</w:t>
      </w:r>
      <w:r w:rsidRPr="006336DE">
        <w:rPr>
          <w:iCs/>
          <w:szCs w:val="22"/>
        </w:rPr>
        <w:t xml:space="preserve"> – </w:t>
      </w:r>
      <w:r w:rsidRPr="1478E563">
        <w:t xml:space="preserve">2022 CVAA Biennial Report Tentative Findings.”  </w:t>
      </w:r>
    </w:p>
    <w:p w:rsidR="002C0D50" w:rsidRPr="00E858EB" w:rsidP="002C0D50" w14:paraId="4DB304EB" w14:textId="77777777">
      <w:pPr>
        <w:numPr>
          <w:ilvl w:val="0"/>
          <w:numId w:val="8"/>
        </w:numPr>
        <w:spacing w:after="120"/>
        <w:ind w:left="1440"/>
        <w:rPr>
          <w:szCs w:val="22"/>
        </w:rPr>
      </w:pPr>
      <w:r w:rsidRPr="00E858EB">
        <w:rPr>
          <w:szCs w:val="22"/>
        </w:rPr>
        <w:t xml:space="preserve">Electronic Filers:  Comments may be filed electronically using the Internet by accessing ECFS:  </w:t>
      </w:r>
      <w:hyperlink r:id="rId5" w:history="1">
        <w:r w:rsidRPr="00E858EB">
          <w:rPr>
            <w:color w:val="0000FF"/>
            <w:szCs w:val="22"/>
            <w:u w:val="single"/>
          </w:rPr>
          <w:t>https://www.fcc.gov/ecfs/</w:t>
        </w:r>
      </w:hyperlink>
      <w:r w:rsidRPr="00E858EB">
        <w:rPr>
          <w:szCs w:val="22"/>
        </w:rPr>
        <w:t xml:space="preserve">.  </w:t>
      </w:r>
    </w:p>
    <w:p w:rsidR="002C0D50" w:rsidRPr="00E858EB" w:rsidP="002C0D50" w14:paraId="67D08C40" w14:textId="59C6DC1D">
      <w:pPr>
        <w:numPr>
          <w:ilvl w:val="0"/>
          <w:numId w:val="8"/>
        </w:numPr>
        <w:spacing w:after="120"/>
        <w:ind w:left="1440"/>
        <w:rPr>
          <w:szCs w:val="22"/>
        </w:rPr>
      </w:pPr>
      <w:r w:rsidRPr="00E858EB">
        <w:rPr>
          <w:szCs w:val="22"/>
        </w:rPr>
        <w:t xml:space="preserve">Paper Filers:  Parties who choose to file by paper must file an original and one copy </w:t>
      </w:r>
      <w:r w:rsidRPr="00E858EB" w:rsidR="00A238F6">
        <w:rPr>
          <w:szCs w:val="22"/>
        </w:rPr>
        <w:t xml:space="preserve">of </w:t>
      </w:r>
      <w:r w:rsidR="00A238F6">
        <w:rPr>
          <w:szCs w:val="22"/>
        </w:rPr>
        <w:t>each</w:t>
      </w:r>
      <w:r w:rsidRPr="00E858EB">
        <w:rPr>
          <w:szCs w:val="22"/>
        </w:rPr>
        <w:t xml:space="preserve"> filing.</w:t>
      </w:r>
    </w:p>
    <w:p w:rsidR="002C0D50" w:rsidRPr="006D5866" w:rsidP="002C0D50" w14:paraId="46A16E22" w14:textId="77777777">
      <w:pPr>
        <w:widowControl/>
        <w:numPr>
          <w:ilvl w:val="0"/>
          <w:numId w:val="8"/>
        </w:numPr>
        <w:spacing w:after="120"/>
        <w:ind w:left="1440"/>
        <w:rPr>
          <w:szCs w:val="22"/>
        </w:rPr>
      </w:pPr>
      <w:r w:rsidRPr="00E858EB">
        <w:rPr>
          <w:szCs w:val="22"/>
        </w:rPr>
        <w:t>Filings can be sent by commercial overnight courier, or by first-class or overnight U.S. Postal Service mail.  All filings must be addressed to the Commission’s Secretary, Office of the Secretary, Federal Communications Commission.</w:t>
      </w:r>
    </w:p>
    <w:p w:rsidR="002C0D50" w:rsidRPr="00E858EB" w:rsidP="002C0D50" w14:paraId="3A0AE3FF" w14:textId="77777777">
      <w:pPr>
        <w:numPr>
          <w:ilvl w:val="0"/>
          <w:numId w:val="9"/>
        </w:numPr>
        <w:spacing w:after="120"/>
        <w:rPr>
          <w:szCs w:val="22"/>
        </w:rPr>
      </w:pPr>
      <w:r w:rsidRPr="00E858EB">
        <w:rPr>
          <w:szCs w:val="22"/>
        </w:rPr>
        <w:t>Commercial overnight mail (other than U.S. Postal Service Express Mail and Priority Mail) must be sent to 9050 Junction Drive, Annapolis Junction, MD 20701.</w:t>
      </w:r>
    </w:p>
    <w:p w:rsidR="002C0D50" w:rsidP="002C0D50" w14:paraId="4ED978B7" w14:textId="77777777">
      <w:pPr>
        <w:numPr>
          <w:ilvl w:val="0"/>
          <w:numId w:val="9"/>
        </w:numPr>
        <w:spacing w:after="120"/>
        <w:rPr>
          <w:szCs w:val="22"/>
        </w:rPr>
      </w:pPr>
      <w:r w:rsidRPr="00E858EB">
        <w:rPr>
          <w:szCs w:val="22"/>
        </w:rPr>
        <w:t xml:space="preserve">U.S. Postal Service first-class, Express, and Priority mail must be addressed to </w:t>
      </w:r>
      <w:r>
        <w:rPr>
          <w:szCs w:val="22"/>
        </w:rPr>
        <w:t>45 L Street NE</w:t>
      </w:r>
      <w:r w:rsidR="00C7194D">
        <w:rPr>
          <w:szCs w:val="22"/>
        </w:rPr>
        <w:t>,</w:t>
      </w:r>
      <w:r w:rsidRPr="00E858EB">
        <w:rPr>
          <w:szCs w:val="22"/>
        </w:rPr>
        <w:t xml:space="preserve"> Washington DC  20554.</w:t>
      </w:r>
    </w:p>
    <w:p w:rsidR="002C0D50" w:rsidRPr="00B00F96" w:rsidP="002C0D50" w14:paraId="07F8DE79" w14:textId="77777777">
      <w:pPr>
        <w:pStyle w:val="ListParagraph"/>
        <w:numPr>
          <w:ilvl w:val="0"/>
          <w:numId w:val="9"/>
        </w:numPr>
        <w:spacing w:after="160" w:line="259" w:lineRule="auto"/>
        <w:rPr>
          <w:b/>
          <w:bCs/>
          <w:u w:val="single"/>
        </w:rPr>
      </w:pPr>
      <w:r w:rsidRPr="00B00F96">
        <w:rPr>
          <w:b/>
          <w:bCs/>
        </w:rPr>
        <w:t xml:space="preserve">Effective March 19, 2020, and until further notice, the Commission no longer accepts any hand or messenger delivered filings at the Commission’s headquarters.  This is a temporary measure taken to help protect the health and safety of individuals, and to mitigate the transmission of COVID-19.  See </w:t>
      </w:r>
      <w:r w:rsidRPr="00B00F96">
        <w:rPr>
          <w:b/>
          <w:bCs/>
          <w:i/>
          <w:iCs/>
        </w:rPr>
        <w:t>FCC Announces Closure of FCC Headquarters Open Window and Change in Hand-Delivery Policy</w:t>
      </w:r>
      <w:r w:rsidRPr="00B00F96">
        <w:rPr>
          <w:b/>
          <w:bCs/>
        </w:rPr>
        <w:t xml:space="preserve">, Public Notice, DA 20-304 (March 19, 2020), </w:t>
      </w:r>
      <w:hyperlink r:id="rId6" w:history="1">
        <w:r w:rsidRPr="00DD4825">
          <w:rPr>
            <w:rStyle w:val="Hyperlink"/>
          </w:rPr>
          <w:t>https://www.fcc.gov/document/fcc-closes-headquarters-open-window-and-changes-hand-delivery-policy</w:t>
        </w:r>
      </w:hyperlink>
      <w:r w:rsidRPr="00DD4825">
        <w:rPr>
          <w:rStyle w:val="Hyperlink"/>
        </w:rPr>
        <w:t>.</w:t>
      </w:r>
    </w:p>
    <w:p w:rsidR="002C0D50" w:rsidRPr="006336DE" w:rsidP="00D62AD4" w14:paraId="717B8133" w14:textId="77777777">
      <w:pPr>
        <w:numPr>
          <w:ilvl w:val="0"/>
          <w:numId w:val="2"/>
        </w:numPr>
        <w:tabs>
          <w:tab w:val="clear" w:pos="1080"/>
          <w:tab w:val="num" w:pos="1440"/>
        </w:tabs>
        <w:spacing w:after="120"/>
        <w:rPr>
          <w:szCs w:val="22"/>
        </w:rPr>
      </w:pPr>
      <w:r w:rsidRPr="006336DE">
        <w:rPr>
          <w:i/>
          <w:szCs w:val="22"/>
        </w:rPr>
        <w:t xml:space="preserve">People with Disabilities.  </w:t>
      </w:r>
      <w:r w:rsidRPr="006336DE">
        <w:rPr>
          <w:szCs w:val="22"/>
        </w:rPr>
        <w:t xml:space="preserve">To </w:t>
      </w:r>
      <w:r w:rsidRPr="00011EF3">
        <w:t>request</w:t>
      </w:r>
      <w:r w:rsidRPr="006336DE">
        <w:rPr>
          <w:szCs w:val="22"/>
        </w:rPr>
        <w:t xml:space="preserve"> materials in accessible formats for people with disabilities (Braille, large print, electronic files, audio format), send an e-mail to </w:t>
      </w:r>
      <w:hyperlink r:id="rId7" w:history="1">
        <w:r w:rsidRPr="006336DE">
          <w:rPr>
            <w:color w:val="0000FF"/>
            <w:szCs w:val="22"/>
            <w:u w:val="single"/>
          </w:rPr>
          <w:t>fcc504@fcc.gov</w:t>
        </w:r>
      </w:hyperlink>
      <w:r w:rsidRPr="006336DE">
        <w:rPr>
          <w:szCs w:val="22"/>
        </w:rPr>
        <w:t xml:space="preserve"> or call 202-418-0530 (voice), </w:t>
      </w:r>
      <w:r>
        <w:rPr>
          <w:szCs w:val="22"/>
        </w:rPr>
        <w:t xml:space="preserve">or </w:t>
      </w:r>
      <w:r w:rsidRPr="006336DE">
        <w:rPr>
          <w:szCs w:val="22"/>
        </w:rPr>
        <w:t xml:space="preserve">844-432-2275 (videophone).  This Notice can also be downloaded in Word and Portable Document Format (PDF) at </w:t>
      </w:r>
      <w:hyperlink r:id="rId8" w:history="1">
        <w:r w:rsidRPr="006336DE">
          <w:rPr>
            <w:color w:val="0000FF"/>
            <w:szCs w:val="22"/>
            <w:u w:val="single"/>
          </w:rPr>
          <w:t>https://www.fcc.gov/general/disability-rights-office-headlines</w:t>
        </w:r>
      </w:hyperlink>
      <w:r w:rsidRPr="006336DE">
        <w:rPr>
          <w:szCs w:val="22"/>
        </w:rPr>
        <w:t>.</w:t>
      </w:r>
    </w:p>
    <w:p w:rsidR="002C0D50" w:rsidRPr="006336DE" w:rsidP="00D62AD4" w14:paraId="2A18790A" w14:textId="77777777">
      <w:pPr>
        <w:numPr>
          <w:ilvl w:val="0"/>
          <w:numId w:val="2"/>
        </w:numPr>
        <w:tabs>
          <w:tab w:val="clear" w:pos="1080"/>
          <w:tab w:val="num" w:pos="1440"/>
        </w:tabs>
        <w:spacing w:after="120"/>
        <w:rPr>
          <w:szCs w:val="22"/>
        </w:rPr>
      </w:pPr>
      <w:r w:rsidRPr="006336DE">
        <w:rPr>
          <w:i/>
          <w:szCs w:val="22"/>
        </w:rPr>
        <w:t xml:space="preserve">Additional Information.  </w:t>
      </w:r>
      <w:r w:rsidRPr="006336DE">
        <w:rPr>
          <w:szCs w:val="22"/>
        </w:rPr>
        <w:t xml:space="preserve">For </w:t>
      </w:r>
      <w:r w:rsidRPr="00011EF3">
        <w:t>further</w:t>
      </w:r>
      <w:r w:rsidRPr="006336DE">
        <w:rPr>
          <w:szCs w:val="22"/>
        </w:rPr>
        <w:t xml:space="preserve"> information regarding this Notice, contact Darryl Cooper, Disability Rights Office, </w:t>
      </w:r>
      <w:r>
        <w:rPr>
          <w:szCs w:val="22"/>
        </w:rPr>
        <w:t>CGB</w:t>
      </w:r>
      <w:r w:rsidRPr="006336DE">
        <w:rPr>
          <w:szCs w:val="22"/>
        </w:rPr>
        <w:t xml:space="preserve">, at 202-418-7131 or by e-mail to </w:t>
      </w:r>
      <w:hyperlink r:id="rId9" w:history="1">
        <w:r w:rsidRPr="006336DE">
          <w:rPr>
            <w:color w:val="0000FF"/>
            <w:szCs w:val="22"/>
            <w:u w:val="single"/>
          </w:rPr>
          <w:t>Darryl.Cooper@fcc.gov</w:t>
        </w:r>
      </w:hyperlink>
      <w:r>
        <w:rPr>
          <w:szCs w:val="22"/>
        </w:rPr>
        <w:t>.</w:t>
      </w:r>
    </w:p>
    <w:p w:rsidR="002C0D50" w:rsidP="00543D90" w14:paraId="07E843B0" w14:textId="77777777">
      <w:pPr>
        <w:keepNext/>
        <w:widowControl/>
        <w:jc w:val="center"/>
        <w:rPr>
          <w:b/>
          <w:bCs/>
          <w:snapToGrid/>
          <w:kern w:val="0"/>
          <w:szCs w:val="22"/>
        </w:rPr>
        <w:sectPr w:rsidSect="00D62AD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pPr>
      <w:r w:rsidRPr="006336DE">
        <w:rPr>
          <w:b/>
          <w:szCs w:val="22"/>
        </w:rPr>
        <w:t>–</w:t>
      </w:r>
      <w:r>
        <w:rPr>
          <w:b/>
          <w:szCs w:val="22"/>
        </w:rPr>
        <w:t xml:space="preserve"> FCC</w:t>
      </w:r>
      <w:r w:rsidRPr="006336DE">
        <w:rPr>
          <w:b/>
          <w:szCs w:val="22"/>
        </w:rPr>
        <w:t>–</w:t>
      </w:r>
      <w:bookmarkEnd w:id="3"/>
    </w:p>
    <w:p w:rsidR="002C0D50" w:rsidRPr="006336DE" w:rsidP="00D62AD4" w14:paraId="74795C40" w14:textId="77777777">
      <w:pPr>
        <w:widowControl/>
        <w:jc w:val="center"/>
        <w:rPr>
          <w:b/>
          <w:bCs/>
          <w:snapToGrid/>
          <w:kern w:val="0"/>
          <w:szCs w:val="22"/>
        </w:rPr>
      </w:pPr>
      <w:bookmarkStart w:id="4" w:name="start_here"/>
      <w:bookmarkEnd w:id="4"/>
      <w:r w:rsidRPr="006336DE">
        <w:rPr>
          <w:b/>
          <w:bCs/>
          <w:snapToGrid/>
          <w:kern w:val="0"/>
          <w:szCs w:val="22"/>
        </w:rPr>
        <w:t>ATTACHMENT</w:t>
      </w:r>
    </w:p>
    <w:p w:rsidR="002C0D50" w:rsidRPr="006336DE" w:rsidP="00D62AD4" w14:paraId="6ED4EE9F" w14:textId="77777777">
      <w:pPr>
        <w:jc w:val="center"/>
        <w:rPr>
          <w:b/>
          <w:caps/>
          <w:spacing w:val="-2"/>
          <w:szCs w:val="22"/>
        </w:rPr>
      </w:pPr>
    </w:p>
    <w:p w:rsidR="002C0D50" w:rsidP="00D62AD4" w14:paraId="79D32ED6" w14:textId="77777777">
      <w:pPr>
        <w:autoSpaceDE w:val="0"/>
        <w:autoSpaceDN w:val="0"/>
        <w:adjustRightInd w:val="0"/>
        <w:jc w:val="center"/>
        <w:rPr>
          <w:b/>
          <w:bCs/>
        </w:rPr>
      </w:pPr>
      <w:r w:rsidRPr="006336DE">
        <w:rPr>
          <w:b/>
          <w:bCs/>
        </w:rPr>
        <w:t>TENTATIVE FINDINGS FOR THE 20</w:t>
      </w:r>
      <w:r>
        <w:rPr>
          <w:b/>
          <w:bCs/>
        </w:rPr>
        <w:t>22</w:t>
      </w:r>
      <w:r w:rsidRPr="006336DE">
        <w:rPr>
          <w:b/>
          <w:bCs/>
        </w:rPr>
        <w:t xml:space="preserve"> BIENNIAL REPORT</w:t>
      </w:r>
    </w:p>
    <w:p w:rsidR="002C0D50" w:rsidRPr="006336DE" w:rsidP="00D62AD4" w14:paraId="35B8C94B" w14:textId="77777777">
      <w:pPr>
        <w:autoSpaceDE w:val="0"/>
        <w:autoSpaceDN w:val="0"/>
        <w:adjustRightInd w:val="0"/>
        <w:jc w:val="center"/>
        <w:rPr>
          <w:szCs w:val="22"/>
        </w:rPr>
      </w:pPr>
      <w:r w:rsidRPr="006336DE">
        <w:rPr>
          <w:b/>
          <w:bCs/>
        </w:rPr>
        <w:t xml:space="preserve"> TO CONGRESS</w:t>
      </w:r>
      <w:r>
        <w:rPr>
          <w:b/>
          <w:bCs/>
        </w:rPr>
        <w:t xml:space="preserve"> </w:t>
      </w:r>
      <w:r w:rsidRPr="006336DE">
        <w:rPr>
          <w:b/>
          <w:bCs/>
        </w:rPr>
        <w:t xml:space="preserve">AS REQUIRED BY THE </w:t>
      </w:r>
      <w:r w:rsidRPr="006336DE">
        <w:rPr>
          <w:b/>
          <w:bCs/>
          <w:szCs w:val="22"/>
        </w:rPr>
        <w:t>CVAA</w:t>
      </w:r>
    </w:p>
    <w:p w:rsidR="002C0D50" w:rsidRPr="00B455DF" w:rsidP="00D62AD4" w14:paraId="0D0F1E56" w14:textId="77777777">
      <w:pPr>
        <w:jc w:val="center"/>
        <w:rPr>
          <w:szCs w:val="22"/>
        </w:rPr>
      </w:pPr>
    </w:p>
    <w:p w:rsidR="002C0D50" w:rsidRPr="006336DE" w:rsidP="005408E2" w14:paraId="180B85C9" w14:textId="77777777">
      <w:pPr>
        <w:pStyle w:val="Heading1"/>
      </w:pPr>
      <w:r>
        <w:t xml:space="preserve">compliance with sections </w:t>
      </w:r>
      <w:r w:rsidRPr="006336DE">
        <w:t>255, 716, and 718</w:t>
      </w:r>
    </w:p>
    <w:p w:rsidR="002C0D50" w:rsidP="002C0D50" w14:paraId="0D1840DF" w14:textId="77777777">
      <w:pPr>
        <w:widowControl/>
        <w:numPr>
          <w:ilvl w:val="0"/>
          <w:numId w:val="10"/>
        </w:numPr>
        <w:spacing w:after="120"/>
      </w:pPr>
      <w:r>
        <w:t>In this Attachment, we provide the public with our tentative findings on the accessibility of services and equipment under sections 255, 716, and 718 b</w:t>
      </w:r>
      <w:r w:rsidRPr="006336DE">
        <w:t xml:space="preserve">ased on the comments filed in response to </w:t>
      </w:r>
      <w:r>
        <w:t>our</w:t>
      </w:r>
      <w:r w:rsidRPr="006336DE">
        <w:t xml:space="preserve"> </w:t>
      </w:r>
      <w:r w:rsidRPr="006336DE">
        <w:rPr>
          <w:i/>
          <w:iCs/>
        </w:rPr>
        <w:t>20</w:t>
      </w:r>
      <w:r>
        <w:rPr>
          <w:i/>
          <w:iCs/>
        </w:rPr>
        <w:t>22</w:t>
      </w:r>
      <w:r w:rsidRPr="006336DE">
        <w:rPr>
          <w:i/>
          <w:iCs/>
        </w:rPr>
        <w:t xml:space="preserve"> CVAA Assessment Public Notice</w:t>
      </w:r>
      <w:r w:rsidRPr="00414FB7">
        <w:t>.</w:t>
      </w:r>
      <w:r>
        <w:rPr>
          <w:rStyle w:val="FootnoteReference"/>
        </w:rPr>
        <w:footnoteReference w:id="28"/>
      </w:r>
      <w:r>
        <w:t xml:space="preserve">  We invite comment on these findings to assist us in finalizing the 2022 CVAA Biennial Report to Congress, which is due by October 8, 2022.</w:t>
      </w:r>
    </w:p>
    <w:p w:rsidR="002C0D50" w:rsidRPr="006336DE" w:rsidP="002C0D50" w14:paraId="767D5E1C" w14:textId="77777777">
      <w:pPr>
        <w:keepNext/>
        <w:keepLines/>
        <w:widowControl/>
        <w:numPr>
          <w:ilvl w:val="1"/>
          <w:numId w:val="12"/>
        </w:numPr>
        <w:spacing w:after="120"/>
        <w:outlineLvl w:val="1"/>
        <w:rPr>
          <w:b/>
        </w:rPr>
      </w:pPr>
      <w:r>
        <w:rPr>
          <w:b/>
          <w:bCs/>
        </w:rPr>
        <w:t xml:space="preserve">Accessibility  </w:t>
      </w:r>
    </w:p>
    <w:p w:rsidR="002C0D50" w:rsidP="00D62AD4" w14:paraId="429053BB" w14:textId="77777777">
      <w:pPr>
        <w:keepNext/>
        <w:keepLines/>
        <w:widowControl/>
        <w:numPr>
          <w:ilvl w:val="2"/>
          <w:numId w:val="3"/>
        </w:numPr>
        <w:tabs>
          <w:tab w:val="left" w:pos="2160"/>
        </w:tabs>
        <w:spacing w:after="120"/>
        <w:outlineLvl w:val="2"/>
        <w:rPr>
          <w:b/>
        </w:rPr>
      </w:pPr>
      <w:r w:rsidRPr="006336DE">
        <w:rPr>
          <w:b/>
        </w:rPr>
        <w:t>Sections 255</w:t>
      </w:r>
      <w:r>
        <w:rPr>
          <w:b/>
        </w:rPr>
        <w:t>, 716, 718</w:t>
      </w:r>
      <w:r w:rsidRPr="006336DE">
        <w:rPr>
          <w:b/>
        </w:rPr>
        <w:t>:  Telecommunications and Advanced Communications Services and Equipment</w:t>
      </w:r>
      <w:r>
        <w:rPr>
          <w:b/>
        </w:rPr>
        <w:t xml:space="preserve">; </w:t>
      </w:r>
      <w:r w:rsidRPr="1725EA7A">
        <w:rPr>
          <w:b/>
          <w:bCs/>
        </w:rPr>
        <w:t>Internet Browsers Built into Mobile Phones</w:t>
      </w:r>
    </w:p>
    <w:p w:rsidR="002C0D50" w:rsidP="00C431AD" w14:paraId="35E8F4A4" w14:textId="34B3EAFF">
      <w:pPr>
        <w:widowControl/>
        <w:numPr>
          <w:ilvl w:val="0"/>
          <w:numId w:val="10"/>
        </w:numPr>
        <w:spacing w:after="120"/>
      </w:pPr>
      <w:r>
        <w:t>During the two year</w:t>
      </w:r>
      <w:r w:rsidR="008B2CE5">
        <w:t>s</w:t>
      </w:r>
      <w:r>
        <w:t xml:space="preserve"> since the Commission’s last Biennial Report,</w:t>
      </w:r>
      <w:r w:rsidR="007139B2">
        <w:t xml:space="preserve"> </w:t>
      </w:r>
      <w:r w:rsidR="00225C9B">
        <w:t xml:space="preserve">we tentatively find that </w:t>
      </w:r>
      <w:r w:rsidR="00345F5E">
        <w:t>there ha</w:t>
      </w:r>
      <w:r w:rsidR="00745E70">
        <w:t>ve</w:t>
      </w:r>
      <w:r w:rsidR="00345F5E">
        <w:t xml:space="preserve"> been some improvements to enhance the accessibility of </w:t>
      </w:r>
      <w:r w:rsidR="00B938FF">
        <w:t xml:space="preserve">telecommunications and advanced communications </w:t>
      </w:r>
      <w:r w:rsidR="00225C9B">
        <w:t xml:space="preserve">services and </w:t>
      </w:r>
      <w:r w:rsidR="00B938FF">
        <w:t>equipmen</w:t>
      </w:r>
      <w:r w:rsidR="00AD009D">
        <w:t>t</w:t>
      </w:r>
      <w:r w:rsidR="006879F2">
        <w:t>.</w:t>
      </w:r>
      <w:r>
        <w:rPr>
          <w:rStyle w:val="FootnoteReference"/>
        </w:rPr>
        <w:footnoteReference w:id="29"/>
      </w:r>
      <w:r w:rsidR="00F1633C">
        <w:t xml:space="preserve">  </w:t>
      </w:r>
      <w:r w:rsidR="00C431AD">
        <w:t>However, not</w:t>
      </w:r>
      <w:r w:rsidR="009F2E23">
        <w:t xml:space="preserve"> </w:t>
      </w:r>
      <w:r w:rsidR="00C431AD">
        <w:t xml:space="preserve">all people with disabilities can access these improvements, and </w:t>
      </w:r>
      <w:r w:rsidR="007B25B2">
        <w:t>some</w:t>
      </w:r>
      <w:r w:rsidR="00225C9B">
        <w:t xml:space="preserve"> accessibility gaps</w:t>
      </w:r>
      <w:r w:rsidR="005B17EB">
        <w:t xml:space="preserve"> </w:t>
      </w:r>
      <w:r w:rsidR="0012382B">
        <w:t xml:space="preserve">exist </w:t>
      </w:r>
      <w:r w:rsidR="0012382B">
        <w:t>with regard to</w:t>
      </w:r>
      <w:r w:rsidR="0012382B">
        <w:t xml:space="preserve"> these </w:t>
      </w:r>
      <w:r w:rsidR="002010CA">
        <w:t>services</w:t>
      </w:r>
      <w:r w:rsidR="009F2E23">
        <w:t xml:space="preserve"> and</w:t>
      </w:r>
      <w:r w:rsidR="002010CA">
        <w:t xml:space="preserve"> equipment</w:t>
      </w:r>
      <w:r w:rsidR="00225C9B">
        <w:t>.</w:t>
      </w:r>
      <w:r w:rsidRPr="006879F2" w:rsidR="006879F2">
        <w:rPr>
          <w:rStyle w:val="FootnoteReference"/>
        </w:rPr>
        <w:t xml:space="preserve"> </w:t>
      </w:r>
      <w:r>
        <w:rPr>
          <w:rStyle w:val="FootnoteReference"/>
        </w:rPr>
        <w:footnoteReference w:id="30"/>
      </w:r>
      <w:r w:rsidR="004664A3">
        <w:t xml:space="preserve"> </w:t>
      </w:r>
    </w:p>
    <w:p w:rsidR="002C0D50" w:rsidP="00C431AD" w14:paraId="44FE0AE6" w14:textId="2989BFC8">
      <w:pPr>
        <w:widowControl/>
        <w:numPr>
          <w:ilvl w:val="0"/>
          <w:numId w:val="10"/>
        </w:numPr>
        <w:spacing w:after="120"/>
      </w:pPr>
      <w:r>
        <w:t>The comments show that</w:t>
      </w:r>
      <w:r w:rsidR="00A85963">
        <w:t xml:space="preserve"> in the last two years, </w:t>
      </w:r>
      <w:r w:rsidR="000D1A7A">
        <w:t xml:space="preserve">a wide variety of </w:t>
      </w:r>
      <w:r w:rsidR="00281852">
        <w:t xml:space="preserve">new and enhanced features </w:t>
      </w:r>
      <w:r w:rsidR="002B43AB">
        <w:t xml:space="preserve">have been made </w:t>
      </w:r>
      <w:r w:rsidR="00F72EE0">
        <w:t xml:space="preserve">available </w:t>
      </w:r>
      <w:r w:rsidR="00C431AD">
        <w:t>that make more devices and features accessible to a wider community of people with disabilities</w:t>
      </w:r>
      <w:r w:rsidR="00F72EE0">
        <w:t xml:space="preserve">.  </w:t>
      </w:r>
      <w:r w:rsidRPr="008B2CE5" w:rsidR="008B2CE5">
        <w:t xml:space="preserve">To that end, we note continuing accessibility interface improvements for people with mobility disabilities.  However, the comments indicate that people who use braille readers have limited accessibility for </w:t>
      </w:r>
      <w:r w:rsidR="000E2AF4">
        <w:t xml:space="preserve">at least </w:t>
      </w:r>
      <w:r w:rsidRPr="008B2CE5" w:rsidR="008B2CE5">
        <w:t>some types of advanced communications services</w:t>
      </w:r>
      <w:r w:rsidR="008B2CE5">
        <w:t xml:space="preserve">.  </w:t>
      </w:r>
      <w:r w:rsidR="00F72EE0">
        <w:t>For example, c</w:t>
      </w:r>
      <w:r w:rsidR="00635E8C">
        <w:t>ommenters highlight new features that</w:t>
      </w:r>
      <w:r w:rsidR="000665EC">
        <w:t xml:space="preserve"> </w:t>
      </w:r>
      <w:r w:rsidR="00DC1F36">
        <w:t>ena</w:t>
      </w:r>
      <w:r w:rsidR="007B5AE8">
        <w:t>ble</w:t>
      </w:r>
      <w:r w:rsidR="000665EC">
        <w:t xml:space="preserve"> people </w:t>
      </w:r>
      <w:r w:rsidRPr="0AAE952A" w:rsidR="0037011B">
        <w:t xml:space="preserve">with mobility disabilities </w:t>
      </w:r>
      <w:r w:rsidRPr="0AAE952A" w:rsidR="00147E40">
        <w:t xml:space="preserve">to </w:t>
      </w:r>
      <w:r w:rsidRPr="0AAE952A">
        <w:t xml:space="preserve">control wireless devices.  </w:t>
      </w:r>
      <w:r w:rsidR="00C3084F">
        <w:t xml:space="preserve">CTIA </w:t>
      </w:r>
      <w:r w:rsidR="0042690D">
        <w:t xml:space="preserve">reports that </w:t>
      </w:r>
      <w:r w:rsidRPr="0AAE952A">
        <w:t xml:space="preserve">Android and Samsung phones </w:t>
      </w:r>
      <w:r w:rsidRPr="0AAE952A" w:rsidR="00316099">
        <w:t xml:space="preserve">enable </w:t>
      </w:r>
      <w:r w:rsidRPr="0AAE952A">
        <w:t xml:space="preserve">users </w:t>
      </w:r>
      <w:r w:rsidRPr="0AAE952A" w:rsidR="00316099">
        <w:t xml:space="preserve">to make gestures with their faces </w:t>
      </w:r>
      <w:r w:rsidRPr="0AAE952A">
        <w:t>to control their phones.</w:t>
      </w:r>
      <w:r>
        <w:rPr>
          <w:rStyle w:val="FootnoteReference"/>
        </w:rPr>
        <w:footnoteReference w:id="31"/>
      </w:r>
      <w:r w:rsidRPr="0AAE952A">
        <w:t xml:space="preserve">  These gestures include open mouth, smile, raise eyebrow, look left, look right, and look up to initiate specific phone actions.</w:t>
      </w:r>
      <w:r>
        <w:rPr>
          <w:rStyle w:val="FootnoteReference"/>
        </w:rPr>
        <w:footnoteReference w:id="32"/>
      </w:r>
      <w:r w:rsidRPr="0AAE952A">
        <w:t xml:space="preserve">  Samsung devices provide air gestures so that users can control their devices without touching its screen.</w:t>
      </w:r>
      <w:r>
        <w:rPr>
          <w:rStyle w:val="FootnoteReference"/>
        </w:rPr>
        <w:footnoteReference w:id="33"/>
      </w:r>
      <w:r w:rsidRPr="0AAE952A">
        <w:t xml:space="preserve">  One new app enables people to type with their eyes.</w:t>
      </w:r>
      <w:r>
        <w:rPr>
          <w:rStyle w:val="FootnoteReference"/>
        </w:rPr>
        <w:footnoteReference w:id="34"/>
      </w:r>
      <w:r w:rsidRPr="00C431AD">
        <w:rPr>
          <w:szCs w:val="22"/>
        </w:rPr>
        <w:t xml:space="preserve">  </w:t>
      </w:r>
    </w:p>
    <w:p w:rsidR="002C0D50" w:rsidP="002C0D50" w14:paraId="60F4F2CB" w14:textId="24FA19F0">
      <w:pPr>
        <w:widowControl/>
        <w:numPr>
          <w:ilvl w:val="0"/>
          <w:numId w:val="10"/>
        </w:numPr>
        <w:spacing w:after="120"/>
        <w:rPr>
          <w:szCs w:val="22"/>
        </w:rPr>
      </w:pPr>
      <w:r>
        <w:t>Advocates for people who are blind</w:t>
      </w:r>
      <w:r w:rsidR="00E152E5">
        <w:t xml:space="preserve"> or visually impaired </w:t>
      </w:r>
      <w:r w:rsidR="00CD0AF8">
        <w:t xml:space="preserve">also identify </w:t>
      </w:r>
      <w:r w:rsidR="00F53951">
        <w:t xml:space="preserve">certain </w:t>
      </w:r>
      <w:r w:rsidR="00CD0AF8">
        <w:t>improve</w:t>
      </w:r>
      <w:r w:rsidR="00D062DA">
        <w:t>ments in the accessibility of</w:t>
      </w:r>
      <w:r w:rsidR="00F53951">
        <w:t xml:space="preserve"> </w:t>
      </w:r>
      <w:r w:rsidR="00CA61AA">
        <w:t xml:space="preserve">screen readers, braille </w:t>
      </w:r>
      <w:r w:rsidR="00527CE7">
        <w:t>displays, haptic feedback</w:t>
      </w:r>
      <w:r w:rsidR="00544955">
        <w:t>, and audible cues</w:t>
      </w:r>
      <w:r w:rsidR="00527CE7">
        <w:t xml:space="preserve">.  </w:t>
      </w:r>
      <w:r w:rsidRPr="59D05614">
        <w:t xml:space="preserve">AFB states that the Android screen reader </w:t>
      </w:r>
      <w:r w:rsidRPr="59D05614">
        <w:t>TalkBack</w:t>
      </w:r>
      <w:r w:rsidRPr="59D05614">
        <w:t xml:space="preserve"> Version 9.1 introduced gestures and commands that make the interface easier to use for people who are blind and people who have cognitive or mobility disabilities</w:t>
      </w:r>
      <w:r w:rsidR="006953B7">
        <w:t>.</w:t>
      </w:r>
      <w:r>
        <w:rPr>
          <w:rStyle w:val="FootnoteReference"/>
        </w:rPr>
        <w:footnoteReference w:id="35"/>
      </w:r>
      <w:r w:rsidR="006B0F31">
        <w:rPr>
          <w:szCs w:val="22"/>
        </w:rPr>
        <w:t xml:space="preserve">  </w:t>
      </w:r>
      <w:r w:rsidRPr="59D05614">
        <w:t>However</w:t>
      </w:r>
      <w:r w:rsidR="00147E40">
        <w:t>,</w:t>
      </w:r>
      <w:r w:rsidRPr="59D05614">
        <w:t xml:space="preserve"> AFB states </w:t>
      </w:r>
      <w:r w:rsidR="00147E40">
        <w:t>that</w:t>
      </w:r>
      <w:r w:rsidR="00B915BA">
        <w:t xml:space="preserve"> not all</w:t>
      </w:r>
      <w:r w:rsidR="00147E40">
        <w:t xml:space="preserve"> braille users </w:t>
      </w:r>
      <w:r w:rsidR="00B915BA">
        <w:t xml:space="preserve">can </w:t>
      </w:r>
      <w:r w:rsidR="00147E40">
        <w:t xml:space="preserve">benefit from </w:t>
      </w:r>
      <w:r w:rsidR="007E3DAE">
        <w:t xml:space="preserve">all of </w:t>
      </w:r>
      <w:r w:rsidR="00147E40">
        <w:t>these screen reader improvements.</w:t>
      </w:r>
      <w:r>
        <w:rPr>
          <w:rStyle w:val="FootnoteReference"/>
        </w:rPr>
        <w:footnoteReference w:id="36"/>
      </w:r>
      <w:r w:rsidRPr="59D05614">
        <w:t xml:space="preserve">  </w:t>
      </w:r>
      <w:r w:rsidR="006222AD">
        <w:t>While identifying a large number of accessibility features in its research</w:t>
      </w:r>
      <w:r w:rsidR="003B6DDC">
        <w:t>,</w:t>
      </w:r>
      <w:r>
        <w:rPr>
          <w:rStyle w:val="FootnoteReference"/>
        </w:rPr>
        <w:footnoteReference w:id="37"/>
      </w:r>
      <w:r w:rsidR="003B6DDC">
        <w:t xml:space="preserve"> </w:t>
      </w:r>
      <w:r w:rsidR="001D3339">
        <w:t>CACP s</w:t>
      </w:r>
      <w:r w:rsidR="0034795C">
        <w:t>t</w:t>
      </w:r>
      <w:r w:rsidR="001D3339">
        <w:t xml:space="preserve">ates that </w:t>
      </w:r>
      <w:r w:rsidR="00C1423F">
        <w:t xml:space="preserve">phones that include </w:t>
      </w:r>
      <w:r w:rsidR="00BF5312">
        <w:t>braille, haptic feedback features, and audible cues</w:t>
      </w:r>
      <w:r w:rsidR="00F15D7D">
        <w:t xml:space="preserve"> </w:t>
      </w:r>
      <w:r w:rsidR="006222AD">
        <w:t>are more likely to be accessible to</w:t>
      </w:r>
      <w:r w:rsidR="00344CED">
        <w:t xml:space="preserve"> a person who is blind or </w:t>
      </w:r>
      <w:r w:rsidR="006222AD">
        <w:t>visually impaired</w:t>
      </w:r>
      <w:r w:rsidR="005F4ECE">
        <w:t>.</w:t>
      </w:r>
      <w:r>
        <w:rPr>
          <w:rStyle w:val="FootnoteReference"/>
        </w:rPr>
        <w:footnoteReference w:id="38"/>
      </w:r>
      <w:r w:rsidR="005F4ECE">
        <w:t xml:space="preserve">  </w:t>
      </w:r>
      <w:r w:rsidR="005E691E">
        <w:t xml:space="preserve">AFB </w:t>
      </w:r>
      <w:r w:rsidR="004F4EA1">
        <w:t>states</w:t>
      </w:r>
      <w:r w:rsidR="005E691E">
        <w:t xml:space="preserve"> that </w:t>
      </w:r>
      <w:r w:rsidR="00D97AE3">
        <w:t>including</w:t>
      </w:r>
      <w:r w:rsidR="005E691E">
        <w:t xml:space="preserve"> tactile buttons</w:t>
      </w:r>
      <w:r w:rsidR="00B96C90">
        <w:t xml:space="preserve">, which many people who are blind or visually impaired prefer, </w:t>
      </w:r>
      <w:r w:rsidR="005E691E">
        <w:t>and text</w:t>
      </w:r>
      <w:r w:rsidR="004F4EA1">
        <w:t xml:space="preserve"> </w:t>
      </w:r>
      <w:r w:rsidR="005E691E">
        <w:t xml:space="preserve">to speech </w:t>
      </w:r>
      <w:r w:rsidR="004F4EA1">
        <w:t>in</w:t>
      </w:r>
      <w:r w:rsidR="003961D2">
        <w:t xml:space="preserve"> two feature phones</w:t>
      </w:r>
      <w:r w:rsidR="00E920AC">
        <w:t>,</w:t>
      </w:r>
      <w:r>
        <w:rPr>
          <w:rStyle w:val="FootnoteReference"/>
        </w:rPr>
        <w:footnoteReference w:id="39"/>
      </w:r>
      <w:r w:rsidR="003961D2">
        <w:t xml:space="preserve"> </w:t>
      </w:r>
      <w:r w:rsidR="007B0323">
        <w:t xml:space="preserve">make </w:t>
      </w:r>
      <w:r w:rsidR="00D97AE3">
        <w:t xml:space="preserve">these phones </w:t>
      </w:r>
      <w:r w:rsidR="007B0323">
        <w:t xml:space="preserve">good </w:t>
      </w:r>
      <w:r w:rsidR="00C72DDC">
        <w:t>options for</w:t>
      </w:r>
      <w:r w:rsidR="003961D2">
        <w:t xml:space="preserve"> people who are blind or v</w:t>
      </w:r>
      <w:r w:rsidR="00163F92">
        <w:t>isually impaired.</w:t>
      </w:r>
      <w:r>
        <w:rPr>
          <w:rStyle w:val="FootnoteReference"/>
        </w:rPr>
        <w:footnoteReference w:id="40"/>
      </w:r>
      <w:r w:rsidR="001B3747">
        <w:t xml:space="preserve">  </w:t>
      </w:r>
      <w:r w:rsidR="00D77600">
        <w:t xml:space="preserve">Overall, </w:t>
      </w:r>
      <w:r w:rsidRPr="59D05614">
        <w:t>ACB urges the Commission to continue its focus on the accessibility of wireless devices at all feature levels and price points.</w:t>
      </w:r>
      <w:r>
        <w:rPr>
          <w:rStyle w:val="FootnoteReference"/>
        </w:rPr>
        <w:footnoteReference w:id="41"/>
      </w:r>
    </w:p>
    <w:p w:rsidR="002C0D50" w:rsidRPr="000E26DA" w:rsidP="002C0D50" w14:paraId="30133C66" w14:textId="015DBCEF">
      <w:pPr>
        <w:widowControl/>
        <w:numPr>
          <w:ilvl w:val="0"/>
          <w:numId w:val="10"/>
        </w:numPr>
        <w:spacing w:after="120"/>
      </w:pPr>
      <w:r>
        <w:t>Commenters also reported</w:t>
      </w:r>
      <w:r w:rsidR="00534BAC">
        <w:t xml:space="preserve"> on apps designed to assist people with multiple disabilities.  </w:t>
      </w:r>
      <w:r w:rsidRPr="59D05614">
        <w:t>Google deployed a new accessibility app for telecommunications, i</w:t>
      </w:r>
      <w:r w:rsidR="00713C09">
        <w:t>nterconnected Voice over Internet Protocol (VoIP)</w:t>
      </w:r>
      <w:r w:rsidRPr="59D05614">
        <w:t xml:space="preserve">, and </w:t>
      </w:r>
      <w:r w:rsidR="00713C09">
        <w:t xml:space="preserve">non-interconnected </w:t>
      </w:r>
      <w:r w:rsidRPr="59D05614">
        <w:t>VoIP services that allows a person to make a voice call without speech</w:t>
      </w:r>
      <w:r>
        <w:t>, vision, or hearing</w:t>
      </w:r>
      <w:r w:rsidRPr="008D0E2B">
        <w:rPr>
          <w:szCs w:val="22"/>
        </w:rPr>
        <w:t>.</w:t>
      </w:r>
      <w:r>
        <w:rPr>
          <w:rStyle w:val="FootnoteReference"/>
        </w:rPr>
        <w:footnoteReference w:id="42"/>
      </w:r>
      <w:r w:rsidRPr="59D05614">
        <w:t xml:space="preserve">  When this app, called Live Capti</w:t>
      </w:r>
      <w:r w:rsidR="00087F44">
        <w:t>o</w:t>
      </w:r>
      <w:r w:rsidRPr="59D05614">
        <w:t>n</w:t>
      </w:r>
      <w:r w:rsidR="00087F44">
        <w:t>,</w:t>
      </w:r>
      <w:r w:rsidRPr="59D05614">
        <w:t xml:space="preserve"> is turned on, “[y]</w:t>
      </w:r>
      <w:r w:rsidRPr="59D05614">
        <w:t>ou</w:t>
      </w:r>
      <w:r w:rsidRPr="59D05614">
        <w:t xml:space="preserve"> get captions of what the other person </w:t>
      </w:r>
      <w:r w:rsidRPr="59D05614" w:rsidR="00A238F6">
        <w:t>says,</w:t>
      </w:r>
      <w:r w:rsidRPr="59D05614">
        <w:t xml:space="preserve"> and you can type in responses in real time. Your messages are read aloud by the system.”</w:t>
      </w:r>
      <w:r>
        <w:rPr>
          <w:rStyle w:val="FootnoteReference"/>
        </w:rPr>
        <w:footnoteReference w:id="43"/>
      </w:r>
      <w:r w:rsidRPr="59D05614">
        <w:t xml:space="preserve">  The app can also automatically add captions to any video, podcast, or audio message on </w:t>
      </w:r>
      <w:r w:rsidR="00E920AC">
        <w:t xml:space="preserve">an </w:t>
      </w:r>
      <w:r w:rsidR="006222AD">
        <w:t xml:space="preserve">Android </w:t>
      </w:r>
      <w:r w:rsidRPr="59D05614">
        <w:t xml:space="preserve">phone, and can do so without the need for an Internet </w:t>
      </w:r>
      <w:r w:rsidRPr="59D05614" w:rsidR="00A238F6">
        <w:t>connection</w:t>
      </w:r>
      <w:r w:rsidR="00A238F6">
        <w:t>.</w:t>
      </w:r>
      <w:r>
        <w:rPr>
          <w:rStyle w:val="FootnoteReference"/>
        </w:rPr>
        <w:footnoteReference w:id="44"/>
      </w:r>
    </w:p>
    <w:p w:rsidR="002C0D50" w:rsidP="002C0D50" w14:paraId="6D00E90C" w14:textId="18496CFF">
      <w:pPr>
        <w:widowControl/>
        <w:numPr>
          <w:ilvl w:val="0"/>
          <w:numId w:val="10"/>
        </w:numPr>
        <w:spacing w:after="120"/>
      </w:pPr>
      <w:r>
        <w:t xml:space="preserve">Commenters also discussed smart home devices.  </w:t>
      </w:r>
      <w:r w:rsidR="00340A8C">
        <w:t>DHH CAO</w:t>
      </w:r>
      <w:r w:rsidRPr="59D05614" w:rsidR="00340A8C">
        <w:t xml:space="preserve"> </w:t>
      </w:r>
      <w:r w:rsidRPr="59D05614">
        <w:t>and ACB</w:t>
      </w:r>
      <w:r w:rsidR="00DF120D">
        <w:t xml:space="preserve"> </w:t>
      </w:r>
      <w:r w:rsidR="00770B55">
        <w:t xml:space="preserve">contend that accessibility should be natively built into smart </w:t>
      </w:r>
      <w:r w:rsidR="00DF120D">
        <w:t>home devices</w:t>
      </w:r>
      <w:r w:rsidR="00770B55">
        <w:t xml:space="preserve"> </w:t>
      </w:r>
      <w:r w:rsidRPr="59D05614" w:rsidR="00770B55">
        <w:t>or into apps that control home devices.</w:t>
      </w:r>
      <w:r>
        <w:rPr>
          <w:rStyle w:val="FootnoteReference"/>
        </w:rPr>
        <w:footnoteReference w:id="45"/>
      </w:r>
      <w:r w:rsidRPr="59D05614">
        <w:t xml:space="preserve">  </w:t>
      </w:r>
      <w:r w:rsidR="006222AD">
        <w:t>DHH CAO</w:t>
      </w:r>
      <w:r w:rsidRPr="59D05614" w:rsidR="006222AD">
        <w:t xml:space="preserve"> </w:t>
      </w:r>
      <w:r w:rsidRPr="59D05614">
        <w:t xml:space="preserve">states that voice-activated smart home devices are </w:t>
      </w:r>
      <w:r w:rsidR="00D55659">
        <w:t xml:space="preserve">sometimes </w:t>
      </w:r>
      <w:r w:rsidRPr="59D05614">
        <w:t>not  accessible to people who are deafblind.</w:t>
      </w:r>
      <w:r>
        <w:rPr>
          <w:rStyle w:val="FootnoteReference"/>
        </w:rPr>
        <w:footnoteReference w:id="46"/>
      </w:r>
      <w:r w:rsidRPr="59D05614">
        <w:t xml:space="preserve">  CTIA </w:t>
      </w:r>
      <w:r w:rsidR="00172BF8">
        <w:t>highlights</w:t>
      </w:r>
      <w:r w:rsidR="00FF4262">
        <w:t xml:space="preserve"> the communications features of</w:t>
      </w:r>
      <w:r w:rsidR="00172BF8">
        <w:t xml:space="preserve"> </w:t>
      </w:r>
      <w:r w:rsidRPr="59D05614">
        <w:t xml:space="preserve">an Apple </w:t>
      </w:r>
      <w:r w:rsidRPr="59D05614">
        <w:t>HomePod</w:t>
      </w:r>
      <w:r w:rsidRPr="59D05614">
        <w:t xml:space="preserve"> app that lets </w:t>
      </w:r>
      <w:r w:rsidR="00713C09">
        <w:t>customers</w:t>
      </w:r>
      <w:r w:rsidRPr="59D05614">
        <w:t xml:space="preserve"> send and receive messages from one </w:t>
      </w:r>
      <w:r w:rsidRPr="59D05614">
        <w:t>HomePod</w:t>
      </w:r>
      <w:r w:rsidRPr="59D05614">
        <w:t xml:space="preserve"> to another, or to and from an iPhone, iPad, iPod touch, Apple Watch, or CarPlay.</w:t>
      </w:r>
      <w:r>
        <w:rPr>
          <w:rStyle w:val="FootnoteReference"/>
        </w:rPr>
        <w:footnoteReference w:id="47"/>
      </w:r>
      <w:r w:rsidRPr="59D05614">
        <w:t xml:space="preserve">  CTIA states that the Apple </w:t>
      </w:r>
      <w:r w:rsidRPr="59D05614">
        <w:t>HomePod’s</w:t>
      </w:r>
      <w:r w:rsidRPr="59D05614">
        <w:t xml:space="preserve"> intercom can capture voice messages and transfer them to text, which makes them accessible to people who are deaf or hard of hearing.</w:t>
      </w:r>
      <w:r>
        <w:rPr>
          <w:rStyle w:val="FootnoteReference"/>
        </w:rPr>
        <w:footnoteReference w:id="48"/>
      </w:r>
    </w:p>
    <w:p w:rsidR="002C0D50" w:rsidP="002C0D50" w14:paraId="56F962F3" w14:textId="77777777">
      <w:pPr>
        <w:keepNext/>
        <w:numPr>
          <w:ilvl w:val="1"/>
          <w:numId w:val="12"/>
        </w:numPr>
        <w:spacing w:after="120"/>
        <w:outlineLvl w:val="1"/>
        <w:rPr>
          <w:b/>
          <w:bCs/>
        </w:rPr>
      </w:pPr>
      <w:r w:rsidRPr="1725EA7A">
        <w:rPr>
          <w:b/>
          <w:bCs/>
        </w:rPr>
        <w:t>Usabilit</w:t>
      </w:r>
      <w:r>
        <w:rPr>
          <w:b/>
          <w:bCs/>
        </w:rPr>
        <w:t>y</w:t>
      </w:r>
    </w:p>
    <w:p w:rsidR="00C431AD" w:rsidP="00C431AD" w14:paraId="6AE6132B" w14:textId="53E72E34">
      <w:pPr>
        <w:widowControl/>
        <w:numPr>
          <w:ilvl w:val="0"/>
          <w:numId w:val="10"/>
        </w:numPr>
        <w:spacing w:after="120"/>
        <w:rPr>
          <w:szCs w:val="22"/>
        </w:rPr>
      </w:pPr>
      <w:r>
        <w:t>S</w:t>
      </w:r>
      <w:r w:rsidRPr="59D05614" w:rsidR="002C0D50">
        <w:t xml:space="preserve">ections 255, 716 and 718 </w:t>
      </w:r>
      <w:r>
        <w:t xml:space="preserve">also </w:t>
      </w:r>
      <w:r w:rsidRPr="59D05614" w:rsidR="002C0D50">
        <w:t xml:space="preserve">require that </w:t>
      </w:r>
      <w:r>
        <w:t xml:space="preserve">covered </w:t>
      </w:r>
      <w:r w:rsidRPr="59D05614" w:rsidR="002C0D50">
        <w:t>services and equipment</w:t>
      </w:r>
      <w:r>
        <w:t xml:space="preserve"> </w:t>
      </w:r>
      <w:r w:rsidRPr="59D05614" w:rsidR="002C0D50">
        <w:t>are “usable” by people with disabilities.</w:t>
      </w:r>
      <w:r>
        <w:rPr>
          <w:vertAlign w:val="superscript"/>
        </w:rPr>
        <w:footnoteReference w:id="49"/>
      </w:r>
      <w:r w:rsidRPr="59D05614" w:rsidR="002C0D50">
        <w:t xml:space="preserve">  A product or service is “usable” if companies provide people with disabilities with information on how to use services, such as documentation for the product or service, including instructions, product or service information (including accessible feature information), customer support, and technical support.</w:t>
      </w:r>
      <w:r>
        <w:rPr>
          <w:vertAlign w:val="superscript"/>
        </w:rPr>
        <w:footnoteReference w:id="50"/>
      </w:r>
      <w:r w:rsidRPr="00E53ED6" w:rsidR="002C0D50">
        <w:rPr>
          <w:szCs w:val="22"/>
        </w:rPr>
        <w:t xml:space="preserve">  </w:t>
      </w:r>
      <w:r w:rsidRPr="00C431AD">
        <w:rPr>
          <w:szCs w:val="22"/>
        </w:rPr>
        <w:t>We tentatively find that while usability has improved for some covered</w:t>
      </w:r>
      <w:r w:rsidR="00BD4572">
        <w:rPr>
          <w:szCs w:val="22"/>
        </w:rPr>
        <w:t xml:space="preserve"> </w:t>
      </w:r>
      <w:r w:rsidRPr="00C431AD">
        <w:rPr>
          <w:szCs w:val="22"/>
        </w:rPr>
        <w:t>services and equipment, there is still room for improvement.</w:t>
      </w:r>
    </w:p>
    <w:p w:rsidR="002C0D50" w:rsidRPr="00C431AD" w:rsidP="00C431AD" w14:paraId="3855EC34" w14:textId="7625B1D6">
      <w:pPr>
        <w:widowControl/>
        <w:numPr>
          <w:ilvl w:val="0"/>
          <w:numId w:val="10"/>
        </w:numPr>
        <w:spacing w:after="120"/>
        <w:rPr>
          <w:szCs w:val="22"/>
        </w:rPr>
      </w:pPr>
      <w:r>
        <w:t xml:space="preserve">CTA and </w:t>
      </w:r>
      <w:r w:rsidRPr="59D05614">
        <w:t>CTIA state that the past two years</w:t>
      </w:r>
      <w:r w:rsidR="00C47642">
        <w:t xml:space="preserve"> have shown</w:t>
      </w:r>
      <w:r w:rsidRPr="59D05614">
        <w:t xml:space="preserve"> continued improvements in accessibi</w:t>
      </w:r>
      <w:r w:rsidR="003529DF">
        <w:t>li</w:t>
      </w:r>
      <w:r w:rsidRPr="59D05614">
        <w:t xml:space="preserve">ty documentation and customer support for </w:t>
      </w:r>
      <w:r w:rsidR="001F7F39">
        <w:t xml:space="preserve">covered </w:t>
      </w:r>
      <w:r w:rsidRPr="59D05614">
        <w:t>services and equipment</w:t>
      </w:r>
      <w:r w:rsidR="001F7F39">
        <w:t>.</w:t>
      </w:r>
      <w:r w:rsidRPr="00C431AD" w:rsidR="00D87C58">
        <w:rPr>
          <w:szCs w:val="22"/>
        </w:rPr>
        <w:t xml:space="preserve">  On the other hand, </w:t>
      </w:r>
      <w:r w:rsidRPr="59D05614">
        <w:t xml:space="preserve">ACB </w:t>
      </w:r>
      <w:r w:rsidR="00957B96">
        <w:t>notes that so</w:t>
      </w:r>
      <w:r w:rsidRPr="59D05614">
        <w:t xml:space="preserve">me </w:t>
      </w:r>
      <w:r w:rsidR="00957B96">
        <w:t>company resources lack information on ACS accessibility features</w:t>
      </w:r>
      <w:r w:rsidRPr="00C431AD" w:rsidR="00D87C58">
        <w:rPr>
          <w:szCs w:val="22"/>
        </w:rPr>
        <w:t>, and</w:t>
      </w:r>
      <w:r w:rsidRPr="00C431AD" w:rsidR="00D55659">
        <w:rPr>
          <w:szCs w:val="22"/>
        </w:rPr>
        <w:t xml:space="preserve"> </w:t>
      </w:r>
      <w:r w:rsidRPr="00C431AD" w:rsidR="00340A8C">
        <w:rPr>
          <w:szCs w:val="22"/>
        </w:rPr>
        <w:t>DHH CAO</w:t>
      </w:r>
      <w:r w:rsidRPr="00C431AD" w:rsidR="00D55659">
        <w:rPr>
          <w:szCs w:val="22"/>
        </w:rPr>
        <w:t xml:space="preserve"> et al. notes the </w:t>
      </w:r>
      <w:r w:rsidRPr="00C431AD" w:rsidR="00335C27">
        <w:rPr>
          <w:szCs w:val="22"/>
        </w:rPr>
        <w:t>smart home</w:t>
      </w:r>
      <w:r w:rsidRPr="00C431AD" w:rsidR="00D55659">
        <w:rPr>
          <w:szCs w:val="22"/>
        </w:rPr>
        <w:t xml:space="preserve"> appliances instructions are sometimes conveyed through uncaptioned videos.</w:t>
      </w:r>
      <w:r>
        <w:rPr>
          <w:rStyle w:val="FootnoteReference"/>
          <w:szCs w:val="22"/>
        </w:rPr>
        <w:footnoteReference w:id="51"/>
      </w:r>
    </w:p>
    <w:p w:rsidR="002C0D50" w:rsidRPr="00DB626B" w:rsidP="002C0D50" w14:paraId="53535E42" w14:textId="77777777">
      <w:pPr>
        <w:widowControl/>
        <w:numPr>
          <w:ilvl w:val="0"/>
          <w:numId w:val="10"/>
        </w:numPr>
        <w:spacing w:after="120"/>
      </w:pPr>
      <w:r w:rsidRPr="00CE51C0">
        <w:t xml:space="preserve">CTIA notes that wireless </w:t>
      </w:r>
      <w:r w:rsidRPr="59D05614">
        <w:t>service providers and manufacturers continue to maintain online and in-store accessibility customer service and technical support.</w:t>
      </w:r>
      <w:r>
        <w:rPr>
          <w:rStyle w:val="FootnoteReference"/>
        </w:rPr>
        <w:footnoteReference w:id="52"/>
      </w:r>
      <w:r w:rsidRPr="59D05614">
        <w:t xml:space="preserve">  They continue to provide information and documentation on accessibility features, including in user guides, bills, installation guides, and on their websites.</w:t>
      </w:r>
      <w:r>
        <w:rPr>
          <w:rStyle w:val="FootnoteReference"/>
        </w:rPr>
        <w:footnoteReference w:id="53"/>
      </w:r>
      <w:r w:rsidRPr="59D05614">
        <w:t xml:space="preserve">  They also provide education through conferences, events, outreach programs, and accessibility help desks.</w:t>
      </w:r>
      <w:r>
        <w:rPr>
          <w:rStyle w:val="FootnoteReference"/>
        </w:rPr>
        <w:footnoteReference w:id="54"/>
      </w:r>
      <w:r w:rsidRPr="00941C55">
        <w:rPr>
          <w:szCs w:val="22"/>
        </w:rPr>
        <w:t xml:space="preserve">  </w:t>
      </w:r>
    </w:p>
    <w:p w:rsidR="002C0D50" w:rsidRPr="00483B19" w:rsidP="002C0D50" w14:paraId="4053DBE0" w14:textId="53491FF2">
      <w:pPr>
        <w:pStyle w:val="ParaNum"/>
        <w:widowControl/>
        <w:numPr>
          <w:ilvl w:val="0"/>
          <w:numId w:val="10"/>
        </w:numPr>
      </w:pPr>
      <w:r w:rsidRPr="59D05614">
        <w:t xml:space="preserve">CTIA </w:t>
      </w:r>
      <w:r w:rsidR="00F6179F">
        <w:t xml:space="preserve">also </w:t>
      </w:r>
      <w:r w:rsidRPr="59D05614">
        <w:t xml:space="preserve">states that </w:t>
      </w:r>
      <w:r w:rsidR="00957B96">
        <w:t xml:space="preserve">people with disabilities may learn about their wireless options from </w:t>
      </w:r>
      <w:r w:rsidRPr="59D05614">
        <w:t xml:space="preserve">the Mobile Wireless Forum Global Accessibility Reporting Initiative (GARI) database that </w:t>
      </w:r>
      <w:r w:rsidR="00957B96">
        <w:t>CTIA</w:t>
      </w:r>
      <w:r w:rsidRPr="59D05614">
        <w:t xml:space="preserve"> </w:t>
      </w:r>
      <w:r w:rsidRPr="59D05614">
        <w:t>maintains on its website – AccessWireless.org.</w:t>
      </w:r>
      <w:r>
        <w:rPr>
          <w:rStyle w:val="FootnoteReference"/>
        </w:rPr>
        <w:footnoteReference w:id="55"/>
      </w:r>
      <w:r w:rsidRPr="59D05614">
        <w:t xml:space="preserve">  </w:t>
      </w:r>
      <w:r w:rsidR="00B95F39">
        <w:t xml:space="preserve">GARI’s </w:t>
      </w:r>
      <w:r w:rsidRPr="59D05614">
        <w:t>database is organized by category, providing a resource for people with hearing, vision, mobility and manipulation, speech, and cognitive disabilities, as well as for seniors and veterans.</w:t>
      </w:r>
      <w:r>
        <w:rPr>
          <w:rStyle w:val="FootnoteReference"/>
        </w:rPr>
        <w:footnoteReference w:id="56"/>
      </w:r>
      <w:r w:rsidRPr="59D05614">
        <w:t xml:space="preserve">  ACB</w:t>
      </w:r>
      <w:r w:rsidR="00DD2FAC">
        <w:t xml:space="preserve"> </w:t>
      </w:r>
      <w:r w:rsidR="00A75800">
        <w:t>contends</w:t>
      </w:r>
      <w:r>
        <w:t>, however,</w:t>
      </w:r>
      <w:r w:rsidRPr="59D05614">
        <w:t xml:space="preserve"> that the GARI tool does not identify which phones provide ACS</w:t>
      </w:r>
      <w:r w:rsidR="00957B96">
        <w:t xml:space="preserve"> in an accessible manner</w:t>
      </w:r>
      <w:r w:rsidR="00D55659">
        <w:t>, and that some information is not updated comprehensively, like the list of smartwatches</w:t>
      </w:r>
      <w:r w:rsidRPr="59D05614">
        <w:t>.</w:t>
      </w:r>
      <w:r>
        <w:rPr>
          <w:rStyle w:val="FootnoteReference"/>
        </w:rPr>
        <w:footnoteReference w:id="57"/>
      </w:r>
      <w:r w:rsidRPr="59D05614">
        <w:t xml:space="preserve">  ACB also states that some companies </w:t>
      </w:r>
      <w:r>
        <w:t xml:space="preserve">may not be reachable because they </w:t>
      </w:r>
      <w:r w:rsidRPr="59D05614">
        <w:t>have not registered their contact information in the FCC’s</w:t>
      </w:r>
      <w:r w:rsidRPr="0020261A">
        <w:rPr>
          <w:szCs w:val="22"/>
        </w:rPr>
        <w:t xml:space="preserve"> </w:t>
      </w:r>
      <w:r w:rsidRPr="59D05614">
        <w:t>Recordkeeping Compliance Certification and Contact Information Registry</w:t>
      </w:r>
      <w:r>
        <w:t xml:space="preserve"> (RCCCI)</w:t>
      </w:r>
      <w:r w:rsidRPr="00D57990">
        <w:rPr>
          <w:szCs w:val="22"/>
        </w:rPr>
        <w:t>.</w:t>
      </w:r>
      <w:r>
        <w:rPr>
          <w:rStyle w:val="FootnoteReference"/>
        </w:rPr>
        <w:footnoteReference w:id="58"/>
      </w:r>
    </w:p>
    <w:p w:rsidR="002C0D50" w:rsidP="002C0D50" w14:paraId="6C26E84E" w14:textId="77777777">
      <w:pPr>
        <w:keepNext/>
        <w:numPr>
          <w:ilvl w:val="1"/>
          <w:numId w:val="12"/>
        </w:numPr>
        <w:spacing w:after="120"/>
        <w:outlineLvl w:val="1"/>
        <w:rPr>
          <w:b/>
          <w:bCs/>
        </w:rPr>
      </w:pPr>
      <w:bookmarkStart w:id="5" w:name="_Hlk515860026"/>
      <w:r w:rsidRPr="1725EA7A">
        <w:rPr>
          <w:b/>
          <w:bCs/>
        </w:rPr>
        <w:t>Inclusion of People with Disabilities in Product and Service Design and Development</w:t>
      </w:r>
    </w:p>
    <w:p w:rsidR="002C0D50" w:rsidP="002C0D50" w14:paraId="2BAAE090" w14:textId="18BC9CAA">
      <w:pPr>
        <w:pStyle w:val="ParaNum"/>
        <w:widowControl/>
        <w:numPr>
          <w:ilvl w:val="0"/>
          <w:numId w:val="10"/>
        </w:numPr>
      </w:pPr>
      <w:r>
        <w:t xml:space="preserve">We tentatively find that </w:t>
      </w:r>
      <w:r w:rsidRPr="59D05614">
        <w:t xml:space="preserve">covered entities </w:t>
      </w:r>
      <w:r w:rsidR="00624966">
        <w:t xml:space="preserve">have </w:t>
      </w:r>
      <w:r w:rsidRPr="59D05614">
        <w:t>continue</w:t>
      </w:r>
      <w:r w:rsidR="00624966">
        <w:t>d</w:t>
      </w:r>
      <w:r w:rsidRPr="59D05614">
        <w:t xml:space="preserve"> to include people with disabilities in product and service design and development.  </w:t>
      </w:r>
      <w:r>
        <w:t xml:space="preserve">CTA and CTIA </w:t>
      </w:r>
      <w:r w:rsidRPr="59D05614">
        <w:t>explain that industry has engaged consumers in product development and testing,</w:t>
      </w:r>
      <w:r>
        <w:rPr>
          <w:rStyle w:val="FootnoteReference"/>
        </w:rPr>
        <w:footnoteReference w:id="59"/>
      </w:r>
      <w:r w:rsidRPr="59D05614">
        <w:t xml:space="preserve"> advisory groups,</w:t>
      </w:r>
      <w:r>
        <w:rPr>
          <w:rStyle w:val="FootnoteReference"/>
        </w:rPr>
        <w:footnoteReference w:id="60"/>
      </w:r>
      <w:r w:rsidRPr="59D05614">
        <w:t xml:space="preserve"> conferences</w:t>
      </w:r>
      <w:r w:rsidRPr="00CE51C0">
        <w:rPr>
          <w:szCs w:val="22"/>
        </w:rPr>
        <w:t>,</w:t>
      </w:r>
      <w:r>
        <w:rPr>
          <w:rStyle w:val="FootnoteReference"/>
        </w:rPr>
        <w:footnoteReference w:id="61"/>
      </w:r>
      <w:r w:rsidRPr="00CE51C0">
        <w:t xml:space="preserve"> and product demonstrations.</w:t>
      </w:r>
      <w:r>
        <w:rPr>
          <w:rStyle w:val="FootnoteReference"/>
        </w:rPr>
        <w:footnoteReference w:id="62"/>
      </w:r>
      <w:r w:rsidRPr="00CE51C0">
        <w:t xml:space="preserve"> </w:t>
      </w:r>
    </w:p>
    <w:p w:rsidR="002C0D50" w:rsidRPr="00930E10" w:rsidP="002C0D50" w14:paraId="5575C143" w14:textId="77777777">
      <w:pPr>
        <w:pStyle w:val="Heading1"/>
      </w:pPr>
      <w:r w:rsidRPr="000B589F">
        <w:t>accessibility</w:t>
      </w:r>
      <w:r w:rsidRPr="006336DE">
        <w:t xml:space="preserve"> barriers TO new communications technologies</w:t>
      </w:r>
    </w:p>
    <w:p w:rsidR="002C0D50" w:rsidP="002C0D50" w14:paraId="21841616" w14:textId="35AAB791">
      <w:pPr>
        <w:pStyle w:val="ParaNum"/>
        <w:widowControl/>
        <w:numPr>
          <w:ilvl w:val="0"/>
          <w:numId w:val="10"/>
        </w:numPr>
      </w:pPr>
      <w:r w:rsidRPr="59D05614">
        <w:t xml:space="preserve">The </w:t>
      </w:r>
      <w:r>
        <w:t xml:space="preserve">COVID-19 pandemic has highlighted the importance of </w:t>
      </w:r>
      <w:r w:rsidRPr="59D05614">
        <w:t xml:space="preserve">accessible </w:t>
      </w:r>
      <w:r w:rsidR="00506828">
        <w:t xml:space="preserve">video conferencing services </w:t>
      </w:r>
      <w:r>
        <w:t xml:space="preserve">for people with disabilities.  </w:t>
      </w:r>
      <w:r w:rsidR="004611A6">
        <w:t>P</w:t>
      </w:r>
      <w:r w:rsidRPr="00087F44">
        <w:t xml:space="preserve">ublic interest and industry comments focus primarily on </w:t>
      </w:r>
      <w:r w:rsidR="00585E1F">
        <w:t xml:space="preserve">these </w:t>
      </w:r>
      <w:r w:rsidR="00206962">
        <w:t>issues</w:t>
      </w:r>
      <w:r w:rsidR="004611A6">
        <w:t xml:space="preserve">, which </w:t>
      </w:r>
      <w:r w:rsidR="000C1BF2">
        <w:t>have b</w:t>
      </w:r>
      <w:r w:rsidR="00343F84">
        <w:t xml:space="preserve">ecome </w:t>
      </w:r>
      <w:r w:rsidR="00BE3E44">
        <w:t xml:space="preserve">increasingly </w:t>
      </w:r>
      <w:r w:rsidR="00343F84">
        <w:t>important</w:t>
      </w:r>
      <w:r w:rsidR="000A2D54">
        <w:t xml:space="preserve"> since the Commission issued its last CVAA </w:t>
      </w:r>
      <w:r w:rsidR="000A2D54">
        <w:t>Report</w:t>
      </w:r>
      <w:r w:rsidRPr="00087F44">
        <w:t>.</w:t>
      </w:r>
      <w:r>
        <w:rPr>
          <w:rStyle w:val="FootnoteReference"/>
        </w:rPr>
        <w:footnoteReference w:id="63"/>
      </w:r>
      <w:r w:rsidRPr="00087F44">
        <w:t xml:space="preserve">   </w:t>
      </w:r>
      <w:r w:rsidR="0072654D">
        <w:t xml:space="preserve">While </w:t>
      </w:r>
      <w:r w:rsidR="00FF4262">
        <w:t xml:space="preserve">the Commission </w:t>
      </w:r>
      <w:r w:rsidR="0072654D">
        <w:t xml:space="preserve">is considering the legal status of types of </w:t>
      </w:r>
      <w:r w:rsidRPr="00087F44">
        <w:t>video conferencing</w:t>
      </w:r>
      <w:r w:rsidR="00D331F4">
        <w:t xml:space="preserve"> </w:t>
      </w:r>
      <w:r w:rsidR="0072654D">
        <w:t>services</w:t>
      </w:r>
      <w:r w:rsidR="00FF4262">
        <w:t xml:space="preserve"> in a </w:t>
      </w:r>
      <w:r w:rsidR="00206962">
        <w:t>pending proceeding</w:t>
      </w:r>
      <w:r w:rsidR="0072654D">
        <w:t>,</w:t>
      </w:r>
      <w:r>
        <w:rPr>
          <w:rStyle w:val="FootnoteReference"/>
        </w:rPr>
        <w:footnoteReference w:id="64"/>
      </w:r>
      <w:r w:rsidR="00CE60A6">
        <w:t xml:space="preserve"> </w:t>
      </w:r>
      <w:r w:rsidRPr="00087F44">
        <w:t xml:space="preserve">we </w:t>
      </w:r>
      <w:r w:rsidR="00D860AD">
        <w:t xml:space="preserve">provide an overview of </w:t>
      </w:r>
      <w:r w:rsidR="00D3616F">
        <w:t>consumer</w:t>
      </w:r>
      <w:r w:rsidR="00D43A01">
        <w:t xml:space="preserve"> </w:t>
      </w:r>
      <w:r w:rsidR="00D860AD">
        <w:t>and industry</w:t>
      </w:r>
      <w:r w:rsidR="00206962">
        <w:t xml:space="preserve"> comments describing</w:t>
      </w:r>
      <w:r w:rsidR="002D63CA">
        <w:t xml:space="preserve"> </w:t>
      </w:r>
      <w:r w:rsidR="00915031">
        <w:t>experiences with</w:t>
      </w:r>
      <w:r w:rsidR="00D55659">
        <w:t xml:space="preserve"> </w:t>
      </w:r>
      <w:r w:rsidR="00D860AD">
        <w:t xml:space="preserve">video </w:t>
      </w:r>
      <w:r w:rsidR="00726B52">
        <w:t>conferencing</w:t>
      </w:r>
      <w:r w:rsidR="00D860AD">
        <w:t xml:space="preserve"> services </w:t>
      </w:r>
      <w:r w:rsidR="00206962">
        <w:t xml:space="preserve">during </w:t>
      </w:r>
      <w:r w:rsidRPr="00087F44">
        <w:t>the pandemic.</w:t>
      </w:r>
      <w:r>
        <w:rPr>
          <w:rStyle w:val="FootnoteReference"/>
        </w:rPr>
        <w:footnoteReference w:id="65"/>
      </w:r>
      <w:r w:rsidR="00136267">
        <w:t xml:space="preserve">  </w:t>
      </w:r>
      <w:r w:rsidR="00285DA3">
        <w:t xml:space="preserve">The comments show that video conferencing providers have introduced accessibility innovations over the past two years, </w:t>
      </w:r>
      <w:r w:rsidR="002D63CA">
        <w:t xml:space="preserve">but </w:t>
      </w:r>
      <w:r w:rsidR="00285DA3">
        <w:t>we tentatively find that commenters have identified</w:t>
      </w:r>
      <w:r w:rsidR="002D63CA">
        <w:t xml:space="preserve"> several</w:t>
      </w:r>
      <w:r w:rsidR="00285DA3">
        <w:t xml:space="preserve"> accessibility issues for further exploration.</w:t>
      </w:r>
    </w:p>
    <w:p w:rsidR="0005702A" w:rsidP="0005702A" w14:paraId="74A54517" w14:textId="5663172A">
      <w:pPr>
        <w:pStyle w:val="ParaNum"/>
        <w:widowControl/>
        <w:numPr>
          <w:ilvl w:val="0"/>
          <w:numId w:val="10"/>
        </w:numPr>
      </w:pPr>
      <w:r w:rsidRPr="00087F44">
        <w:t xml:space="preserve">CTA and CTIA </w:t>
      </w:r>
      <w:r w:rsidRPr="59D05614">
        <w:t xml:space="preserve">report that video conferencing services like Zoom, </w:t>
      </w:r>
      <w:r w:rsidRPr="59D05614">
        <w:t>BlueJeans</w:t>
      </w:r>
      <w:r w:rsidRPr="59D05614">
        <w:t>, FaceTime, and Microsoft Teams have introduced a variety of accessibility feature enhancements, including screen reader support, customizable chat</w:t>
      </w:r>
      <w:r w:rsidR="00D55659">
        <w:t xml:space="preserve"> feature</w:t>
      </w:r>
      <w:r w:rsidR="00D81A78">
        <w:t>s</w:t>
      </w:r>
      <w:r w:rsidRPr="59D05614">
        <w:t xml:space="preserve">, </w:t>
      </w:r>
      <w:r w:rsidR="00442323">
        <w:t>a ch</w:t>
      </w:r>
      <w:r w:rsidR="00E24640">
        <w:t xml:space="preserve">oice of a </w:t>
      </w:r>
      <w:r w:rsidRPr="59D05614">
        <w:t>third-party live</w:t>
      </w:r>
      <w:r w:rsidR="00B022D3">
        <w:t xml:space="preserve"> </w:t>
      </w:r>
      <w:r w:rsidRPr="59D05614">
        <w:t xml:space="preserve">captioning </w:t>
      </w:r>
      <w:r w:rsidR="00A642BA">
        <w:t>or</w:t>
      </w:r>
      <w:r w:rsidRPr="59D05614" w:rsidR="00A642BA">
        <w:t xml:space="preserve"> </w:t>
      </w:r>
      <w:r w:rsidR="00B022D3">
        <w:t>synchronous</w:t>
      </w:r>
      <w:r w:rsidRPr="59D05614" w:rsidR="00B022D3">
        <w:t xml:space="preserve"> </w:t>
      </w:r>
      <w:r w:rsidRPr="59D05614">
        <w:t>automatic captioning,</w:t>
      </w:r>
      <w:r w:rsidR="00B022D3">
        <w:t xml:space="preserve"> multi-pinning features</w:t>
      </w:r>
      <w:r w:rsidRPr="59D05614">
        <w:t xml:space="preserve"> and “spotlighting” a sign-language interpreter or speaker so that all participants know who is speaking.</w:t>
      </w:r>
      <w:r>
        <w:rPr>
          <w:rStyle w:val="FootnoteReference"/>
        </w:rPr>
        <w:footnoteReference w:id="66"/>
      </w:r>
      <w:r w:rsidRPr="59D05614">
        <w:t xml:space="preserve">  </w:t>
      </w:r>
      <w:r w:rsidRPr="59D05614">
        <w:t>CTIA states that some services have settings that will automatically highlight and identify the person speaking or using ASL</w:t>
      </w:r>
      <w:r w:rsidR="003832B6">
        <w:t>;</w:t>
      </w:r>
      <w:r>
        <w:rPr>
          <w:rStyle w:val="FootnoteReference"/>
        </w:rPr>
        <w:footnoteReference w:id="67"/>
      </w:r>
      <w:r w:rsidRPr="59D05614">
        <w:t xml:space="preserve"> </w:t>
      </w:r>
      <w:r w:rsidR="002353D2">
        <w:t>in other words,</w:t>
      </w:r>
      <w:r w:rsidR="00DD075A">
        <w:t xml:space="preserve"> these</w:t>
      </w:r>
      <w:r w:rsidR="002353D2">
        <w:t xml:space="preserve"> </w:t>
      </w:r>
      <w:r w:rsidR="003832B6">
        <w:t>n</w:t>
      </w:r>
      <w:r w:rsidRPr="59D05614">
        <w:t xml:space="preserve">ew accessibility features </w:t>
      </w:r>
      <w:r w:rsidR="00DD075A">
        <w:t xml:space="preserve">can </w:t>
      </w:r>
      <w:r w:rsidRPr="59D05614">
        <w:t>detect when a person is using sign language.</w:t>
      </w:r>
      <w:r>
        <w:rPr>
          <w:rStyle w:val="FootnoteReference"/>
        </w:rPr>
        <w:footnoteReference w:id="68"/>
      </w:r>
      <w:r w:rsidRPr="59D05614">
        <w:t xml:space="preserve">  CTA states that service users </w:t>
      </w:r>
      <w:r>
        <w:t xml:space="preserve">also </w:t>
      </w:r>
      <w:r w:rsidRPr="59D05614">
        <w:t>have access to customizable interfaces and multiple input options.</w:t>
      </w:r>
      <w:r>
        <w:rPr>
          <w:rStyle w:val="FootnoteReference"/>
        </w:rPr>
        <w:footnoteReference w:id="69"/>
      </w:r>
    </w:p>
    <w:p w:rsidR="00736817" w:rsidP="00736817" w14:paraId="63500F4D" w14:textId="58844CDC">
      <w:pPr>
        <w:pStyle w:val="ParaNum"/>
        <w:widowControl/>
        <w:numPr>
          <w:ilvl w:val="0"/>
          <w:numId w:val="10"/>
        </w:numPr>
      </w:pPr>
      <w:r w:rsidRPr="59D05614">
        <w:t xml:space="preserve">Commenters </w:t>
      </w:r>
      <w:r w:rsidR="00363486">
        <w:t xml:space="preserve">point out some of </w:t>
      </w:r>
      <w:r w:rsidR="006F3B69">
        <w:t>the challenges of</w:t>
      </w:r>
      <w:r w:rsidRPr="59D05614">
        <w:t xml:space="preserve"> us</w:t>
      </w:r>
      <w:r w:rsidR="006F3B69">
        <w:t>ing</w:t>
      </w:r>
      <w:r w:rsidRPr="59D05614">
        <w:t xml:space="preserve"> </w:t>
      </w:r>
      <w:r w:rsidR="00036E23">
        <w:t>automati</w:t>
      </w:r>
      <w:r w:rsidR="00B757B3">
        <w:t xml:space="preserve">c </w:t>
      </w:r>
      <w:r w:rsidRPr="59D05614">
        <w:t>captioning</w:t>
      </w:r>
      <w:r w:rsidR="006F3B69">
        <w:t xml:space="preserve"> </w:t>
      </w:r>
      <w:r w:rsidR="00D05C13">
        <w:t>available</w:t>
      </w:r>
      <w:r w:rsidR="00C3216F">
        <w:t xml:space="preserve"> on </w:t>
      </w:r>
      <w:r w:rsidR="005F21FB">
        <w:t>certain video</w:t>
      </w:r>
      <w:r w:rsidR="006F3B69">
        <w:t xml:space="preserve"> conferencing </w:t>
      </w:r>
      <w:r w:rsidR="00C3216F">
        <w:t>platforms</w:t>
      </w:r>
      <w:r w:rsidRPr="59D05614">
        <w:t xml:space="preserve">.  </w:t>
      </w:r>
      <w:r w:rsidR="00340A8C">
        <w:t>DHH CAO</w:t>
      </w:r>
      <w:r w:rsidRPr="59D05614">
        <w:t xml:space="preserve"> states that automatic captioning sometimes produces incomplete or delayed transcriptions</w:t>
      </w:r>
      <w:r w:rsidR="005528E0">
        <w:t>,</w:t>
      </w:r>
      <w:r>
        <w:rPr>
          <w:rStyle w:val="FootnoteReference"/>
        </w:rPr>
        <w:footnoteReference w:id="70"/>
      </w:r>
      <w:r w:rsidRPr="59D05614">
        <w:t xml:space="preserve"> </w:t>
      </w:r>
      <w:r w:rsidR="00992B2D">
        <w:t>a</w:t>
      </w:r>
      <w:r w:rsidR="005528E0">
        <w:t>nd that e</w:t>
      </w:r>
      <w:r w:rsidRPr="59D05614">
        <w:t xml:space="preserve">ven if slight delays of live captions cannot be avoided, </w:t>
      </w:r>
      <w:r w:rsidRPr="59D05614">
        <w:t xml:space="preserve">these </w:t>
      </w:r>
      <w:r w:rsidR="00CB4248">
        <w:t xml:space="preserve">captioning </w:t>
      </w:r>
      <w:r w:rsidRPr="59D05614">
        <w:t>delays may cause “cognitive overload.”</w:t>
      </w:r>
      <w:r>
        <w:rPr>
          <w:rStyle w:val="FootnoteReference"/>
        </w:rPr>
        <w:footnoteReference w:id="71"/>
      </w:r>
      <w:r w:rsidRPr="59D05614">
        <w:t xml:space="preserve">  Comprehension can be further hindered</w:t>
      </w:r>
      <w:r w:rsidR="009B1258">
        <w:t xml:space="preserve">, according to DHH CAO, </w:t>
      </w:r>
      <w:r w:rsidRPr="59D05614">
        <w:t xml:space="preserve"> if a person who is deaf or hard of hearing cannot see the faces of speaking </w:t>
      </w:r>
      <w:r w:rsidRPr="59D05614" w:rsidR="009C41EC">
        <w:t>participants</w:t>
      </w:r>
      <w:r w:rsidR="009C41EC">
        <w:t>,</w:t>
      </w:r>
      <w:r w:rsidRPr="59D05614">
        <w:t xml:space="preserve"> for “people with hearing loss rely more on nonverbal information than their peers, an</w:t>
      </w:r>
      <w:r w:rsidR="009C41EC">
        <w:t>d</w:t>
      </w:r>
      <w:r w:rsidRPr="59D05614">
        <w:t xml:space="preserve"> if a person misses a visual cue, they may fall behind in the conversation.</w:t>
      </w:r>
      <w:r w:rsidR="00AD4E9C">
        <w:t>”</w:t>
      </w:r>
      <w:r>
        <w:rPr>
          <w:rStyle w:val="FootnoteReference"/>
        </w:rPr>
        <w:footnoteReference w:id="72"/>
      </w:r>
      <w:r w:rsidRPr="59D05614">
        <w:t xml:space="preserve">  </w:t>
      </w:r>
    </w:p>
    <w:p w:rsidR="002C0D50" w:rsidRPr="00736817" w:rsidP="00736817" w14:paraId="1167D77D" w14:textId="2981F9E2">
      <w:pPr>
        <w:pStyle w:val="ParaNum"/>
        <w:widowControl/>
        <w:numPr>
          <w:ilvl w:val="0"/>
          <w:numId w:val="10"/>
        </w:numPr>
        <w:rPr>
          <w:rStyle w:val="FootnoteReference"/>
          <w:vertAlign w:val="baseline"/>
        </w:rPr>
      </w:pPr>
      <w:r w:rsidRPr="59D05614">
        <w:t xml:space="preserve">AFB states that video conferencing services </w:t>
      </w:r>
      <w:r w:rsidR="00887A78">
        <w:t>are generally</w:t>
      </w:r>
      <w:r w:rsidRPr="59D05614">
        <w:t xml:space="preserve"> accessible </w:t>
      </w:r>
      <w:r w:rsidR="00887A78">
        <w:t>to</w:t>
      </w:r>
      <w:r w:rsidRPr="59D05614">
        <w:t xml:space="preserve"> people who are blind or visually impaired, but </w:t>
      </w:r>
      <w:r w:rsidR="00736817">
        <w:t xml:space="preserve">that </w:t>
      </w:r>
      <w:r w:rsidRPr="59D05614">
        <w:t>user interface</w:t>
      </w:r>
      <w:r w:rsidR="00736817">
        <w:t>s</w:t>
      </w:r>
      <w:r w:rsidRPr="59D05614">
        <w:t xml:space="preserve"> </w:t>
      </w:r>
      <w:r w:rsidR="00736817">
        <w:t>are</w:t>
      </w:r>
      <w:r w:rsidRPr="59D05614">
        <w:t xml:space="preserve"> </w:t>
      </w:r>
      <w:r w:rsidR="00C714C0">
        <w:t xml:space="preserve">sometimes </w:t>
      </w:r>
      <w:r w:rsidRPr="59D05614">
        <w:t>not accessible.</w:t>
      </w:r>
      <w:r>
        <w:rPr>
          <w:rStyle w:val="FootnoteReference"/>
        </w:rPr>
        <w:footnoteReference w:id="73"/>
      </w:r>
      <w:r w:rsidRPr="59D05614">
        <w:t xml:space="preserve">  </w:t>
      </w:r>
      <w:r w:rsidR="0029719E">
        <w:t xml:space="preserve">They also </w:t>
      </w:r>
      <w:r w:rsidR="0050083F">
        <w:t xml:space="preserve">note </w:t>
      </w:r>
      <w:r w:rsidR="0029719E">
        <w:t>that the chat feature of</w:t>
      </w:r>
      <w:r w:rsidRPr="59D05614">
        <w:t xml:space="preserve"> </w:t>
      </w:r>
      <w:r w:rsidR="00887A78">
        <w:t xml:space="preserve">some video conferencing </w:t>
      </w:r>
      <w:r w:rsidRPr="59D05614" w:rsidR="00887A78">
        <w:t>service</w:t>
      </w:r>
      <w:r w:rsidR="00887A78">
        <w:t>s</w:t>
      </w:r>
      <w:r w:rsidRPr="59D05614">
        <w:t xml:space="preserve"> </w:t>
      </w:r>
      <w:r w:rsidR="0029719E">
        <w:t>is</w:t>
      </w:r>
      <w:r w:rsidR="00887A78">
        <w:t xml:space="preserve"> not accessible</w:t>
      </w:r>
      <w:r w:rsidRPr="59D05614">
        <w:t>.</w:t>
      </w:r>
      <w:r>
        <w:rPr>
          <w:rStyle w:val="FootnoteReference"/>
        </w:rPr>
        <w:footnoteReference w:id="74"/>
      </w:r>
      <w:r w:rsidRPr="59D05614">
        <w:t xml:space="preserve"> </w:t>
      </w:r>
      <w:r w:rsidRPr="59D05614" w:rsidR="00887A78">
        <w:rPr>
          <w:rStyle w:val="FootnoteReference"/>
        </w:rPr>
        <w:t xml:space="preserve"> </w:t>
      </w:r>
      <w:r w:rsidRPr="59D05614">
        <w:t>In addition</w:t>
      </w:r>
      <w:r w:rsidRPr="00CE51C0">
        <w:t>, AFB report</w:t>
      </w:r>
      <w:r w:rsidR="0029719E">
        <w:t>s</w:t>
      </w:r>
      <w:r w:rsidRPr="00CE51C0">
        <w:t xml:space="preserve"> that, during video conferences, people who are blind or visually impaired d</w:t>
      </w:r>
      <w:r w:rsidR="0029719E">
        <w:t>o</w:t>
      </w:r>
      <w:r w:rsidRPr="00CE51C0">
        <w:t xml:space="preserve"> not have access to </w:t>
      </w:r>
      <w:r w:rsidR="00865CCB">
        <w:t>“</w:t>
      </w:r>
      <w:r w:rsidRPr="00CE51C0">
        <w:t>shared screens</w:t>
      </w:r>
      <w:r w:rsidR="00865CCB">
        <w:t>”</w:t>
      </w:r>
      <w:r w:rsidRPr="00CE51C0">
        <w:t xml:space="preserve">  because</w:t>
      </w:r>
      <w:r w:rsidR="00000742">
        <w:t xml:space="preserve"> the content, when represented as images, </w:t>
      </w:r>
      <w:r w:rsidR="00B25D28">
        <w:t xml:space="preserve">is </w:t>
      </w:r>
      <w:r w:rsidR="00000742">
        <w:t>inaccessible to screen reader users</w:t>
      </w:r>
      <w:r w:rsidR="00736817">
        <w:t>.</w:t>
      </w:r>
      <w:r>
        <w:rPr>
          <w:rStyle w:val="FootnoteReference"/>
        </w:rPr>
        <w:footnoteReference w:id="75"/>
      </w:r>
      <w:r w:rsidR="00736817">
        <w:t xml:space="preserve">  </w:t>
      </w:r>
      <w:r w:rsidR="00865CCB">
        <w:t xml:space="preserve">Participants </w:t>
      </w:r>
      <w:r w:rsidR="00736817">
        <w:t xml:space="preserve">also had </w:t>
      </w:r>
      <w:r w:rsidRPr="00CE51C0">
        <w:t xml:space="preserve">difficulty toggling sound and mute features on and off, and do not have access to verbosity settings </w:t>
      </w:r>
      <w:r w:rsidR="00736817">
        <w:t xml:space="preserve">that allow users to control </w:t>
      </w:r>
      <w:r w:rsidRPr="00CE51C0">
        <w:t>when notifications are voiced.</w:t>
      </w:r>
      <w:r>
        <w:rPr>
          <w:rStyle w:val="FootnoteReference"/>
        </w:rPr>
        <w:footnoteReference w:id="76"/>
      </w:r>
      <w:r w:rsidRPr="00CE51C0">
        <w:t xml:space="preserve">  </w:t>
      </w:r>
      <w:r w:rsidR="00865CCB">
        <w:t>There is sometimes no way</w:t>
      </w:r>
      <w:r w:rsidRPr="00CE51C0">
        <w:t xml:space="preserve"> to enlarge content </w:t>
      </w:r>
      <w:r w:rsidR="0029719E">
        <w:t>or</w:t>
      </w:r>
      <w:r w:rsidRPr="00CE51C0">
        <w:t xml:space="preserve"> </w:t>
      </w:r>
      <w:r w:rsidR="00AE35EB">
        <w:t xml:space="preserve">to </w:t>
      </w:r>
      <w:r w:rsidRPr="00CE51C0">
        <w:t>view two windows at once.</w:t>
      </w:r>
      <w:r>
        <w:rPr>
          <w:rStyle w:val="FootnoteReference"/>
        </w:rPr>
        <w:footnoteReference w:id="77"/>
      </w:r>
      <w:r w:rsidR="005C4959">
        <w:t xml:space="preserve">  </w:t>
      </w:r>
      <w:r w:rsidR="00C714C0">
        <w:t xml:space="preserve">AFB states that </w:t>
      </w:r>
      <w:r w:rsidR="0029719E">
        <w:t xml:space="preserve">these </w:t>
      </w:r>
      <w:r w:rsidR="00C714C0">
        <w:t>accessibility barriers have caused problems in the classroom and at work.</w:t>
      </w:r>
      <w:r>
        <w:rPr>
          <w:rStyle w:val="FootnoteReference"/>
        </w:rPr>
        <w:footnoteReference w:id="78"/>
      </w:r>
      <w:r w:rsidR="00C714C0">
        <w:t xml:space="preserve">  </w:t>
      </w:r>
      <w:r w:rsidR="00C127CB">
        <w:t>AFB identifies a</w:t>
      </w:r>
      <w:r w:rsidR="008939E6">
        <w:t xml:space="preserve">dditional problems, </w:t>
      </w:r>
      <w:r w:rsidR="00BF47AD">
        <w:t>in</w:t>
      </w:r>
      <w:r w:rsidR="005C4959">
        <w:t>cluding low internet bandwidth</w:t>
      </w:r>
      <w:r w:rsidR="00BF47AD">
        <w:t xml:space="preserve">, </w:t>
      </w:r>
      <w:r w:rsidRPr="005C4959" w:rsidR="005C4959">
        <w:t>inadequate resources</w:t>
      </w:r>
      <w:r w:rsidR="00BF47AD">
        <w:t>,</w:t>
      </w:r>
      <w:r w:rsidRPr="005C4959" w:rsidR="005C4959">
        <w:t xml:space="preserve"> </w:t>
      </w:r>
      <w:r w:rsidR="005C4959">
        <w:t xml:space="preserve">and </w:t>
      </w:r>
      <w:r w:rsidR="00BF47AD">
        <w:t xml:space="preserve">poor </w:t>
      </w:r>
      <w:r w:rsidR="005C4959">
        <w:t xml:space="preserve">collaboration technologies </w:t>
      </w:r>
      <w:r w:rsidRPr="005C4959" w:rsidR="005C4959">
        <w:t>for children and teachers</w:t>
      </w:r>
      <w:r w:rsidR="00934CAF">
        <w:t>, which</w:t>
      </w:r>
      <w:r w:rsidR="002D6318">
        <w:t xml:space="preserve"> </w:t>
      </w:r>
      <w:r w:rsidR="00BF47AD">
        <w:t>neg</w:t>
      </w:r>
      <w:r w:rsidR="005C4959">
        <w:t xml:space="preserve">atively </w:t>
      </w:r>
      <w:r w:rsidRPr="005C4959" w:rsidR="005C4959">
        <w:t>impacted remote learning</w:t>
      </w:r>
      <w:r w:rsidR="005C4959">
        <w:t xml:space="preserve"> for children with disabilities</w:t>
      </w:r>
      <w:r w:rsidR="00AE4A4C">
        <w:t>.</w:t>
      </w:r>
      <w:r>
        <w:rPr>
          <w:rStyle w:val="FootnoteReference"/>
        </w:rPr>
        <w:footnoteReference w:id="79"/>
      </w:r>
    </w:p>
    <w:p w:rsidR="002C0D50" w:rsidP="002C0D50" w14:paraId="57C29A12" w14:textId="5AE67C44">
      <w:pPr>
        <w:pStyle w:val="ParaNum"/>
        <w:widowControl/>
        <w:numPr>
          <w:ilvl w:val="0"/>
          <w:numId w:val="10"/>
        </w:numPr>
      </w:pPr>
      <w:r>
        <w:t>DHH CAO</w:t>
      </w:r>
      <w:r w:rsidRPr="00CE51C0">
        <w:t xml:space="preserve"> reports </w:t>
      </w:r>
      <w:r w:rsidRPr="59D05614">
        <w:t xml:space="preserve">that </w:t>
      </w:r>
      <w:r w:rsidR="00BC6488">
        <w:t xml:space="preserve">poor </w:t>
      </w:r>
      <w:r w:rsidRPr="59D05614">
        <w:t>video quality can make video conferences inaccessible to people who are deaf or hard of hearing</w:t>
      </w:r>
      <w:r w:rsidR="001C459A">
        <w:t>.</w:t>
      </w:r>
      <w:r>
        <w:rPr>
          <w:rStyle w:val="FootnoteReference"/>
        </w:rPr>
        <w:footnoteReference w:id="80"/>
      </w:r>
      <w:r w:rsidRPr="59D05614">
        <w:t xml:space="preserve">  </w:t>
      </w:r>
      <w:r w:rsidR="00BC6488">
        <w:t xml:space="preserve">According to </w:t>
      </w:r>
      <w:r>
        <w:t>DHH CAO</w:t>
      </w:r>
      <w:r w:rsidRPr="59D05614">
        <w:t>, once the country moved to remote working, many who have hearing difficulties found themselves</w:t>
      </w:r>
      <w:r w:rsidR="00434165">
        <w:t xml:space="preserve"> initially</w:t>
      </w:r>
      <w:r w:rsidRPr="59D05614">
        <w:t xml:space="preserve"> cut off from colleagues during calls on virtual platforms.</w:t>
      </w:r>
      <w:r>
        <w:rPr>
          <w:rStyle w:val="FootnoteReference"/>
        </w:rPr>
        <w:footnoteReference w:id="81"/>
      </w:r>
      <w:r w:rsidRPr="59D05614">
        <w:t xml:space="preserve">  In response to suggestions that frozen screens and system crashes </w:t>
      </w:r>
      <w:r w:rsidR="004A7988">
        <w:t xml:space="preserve">could </w:t>
      </w:r>
      <w:r w:rsidRPr="59D05614">
        <w:t>be navigated in audio-only mode, “this workaround does not adequately serve people who are deaf and hard of hearing.”</w:t>
      </w:r>
      <w:r>
        <w:rPr>
          <w:rStyle w:val="FootnoteReference"/>
        </w:rPr>
        <w:footnoteReference w:id="82"/>
      </w:r>
      <w:r w:rsidRPr="00E53ED6">
        <w:rPr>
          <w:szCs w:val="22"/>
        </w:rPr>
        <w:t xml:space="preserve">  </w:t>
      </w:r>
      <w:r w:rsidR="000925E0">
        <w:rPr>
          <w:szCs w:val="22"/>
        </w:rPr>
        <w:t>On a related note regarding connectivity for videoconferencing purposes,</w:t>
      </w:r>
      <w:r w:rsidR="009572AE">
        <w:rPr>
          <w:szCs w:val="22"/>
        </w:rPr>
        <w:t xml:space="preserve"> </w:t>
      </w:r>
      <w:r w:rsidRPr="59D05614">
        <w:t xml:space="preserve">CTIA states that </w:t>
      </w:r>
      <w:r w:rsidRPr="59D05614">
        <w:t xml:space="preserve">its members realized that people with disabilities often rely more heavily </w:t>
      </w:r>
      <w:r w:rsidR="00AD4E9C">
        <w:t xml:space="preserve">on the internet </w:t>
      </w:r>
      <w:r w:rsidRPr="59D05614">
        <w:t>for their communications needs, and that they are responding with more bandwidth at no additional costs.</w:t>
      </w:r>
      <w:r>
        <w:rPr>
          <w:rStyle w:val="FootnoteReference"/>
        </w:rPr>
        <w:footnoteReference w:id="83"/>
      </w:r>
      <w:r w:rsidRPr="59D05614">
        <w:t xml:space="preserve">  CTIA also recognized that because people with disabilities are more at risk of being unemployed or </w:t>
      </w:r>
      <w:r w:rsidR="005624B3">
        <w:t xml:space="preserve">having </w:t>
      </w:r>
      <w:r w:rsidRPr="59D05614">
        <w:t xml:space="preserve">low income, greater bandwidth </w:t>
      </w:r>
      <w:r w:rsidRPr="00CE51C0">
        <w:t>can make a dramatic difference.</w:t>
      </w:r>
      <w:r>
        <w:rPr>
          <w:rStyle w:val="FootnoteReference"/>
        </w:rPr>
        <w:footnoteReference w:id="84"/>
      </w:r>
      <w:bookmarkEnd w:id="5"/>
    </w:p>
    <w:p w:rsidR="00B8576E" w:rsidRPr="00607E7B" w:rsidP="002C0D50" w14:paraId="5F9D7F33" w14:textId="5FA04AF3">
      <w:pPr>
        <w:pStyle w:val="ParaNum"/>
        <w:widowControl/>
        <w:numPr>
          <w:ilvl w:val="0"/>
          <w:numId w:val="10"/>
        </w:numPr>
        <w:rPr>
          <w:szCs w:val="22"/>
        </w:rPr>
      </w:pPr>
      <w:r>
        <w:rPr>
          <w:szCs w:val="22"/>
        </w:rPr>
        <w:t xml:space="preserve">Access to telehealth </w:t>
      </w:r>
      <w:r w:rsidR="00F5733E">
        <w:rPr>
          <w:szCs w:val="22"/>
        </w:rPr>
        <w:t>was also discussed by commentors, who described many of the difficulties they faced</w:t>
      </w:r>
      <w:r w:rsidR="0002353C">
        <w:rPr>
          <w:szCs w:val="22"/>
        </w:rPr>
        <w:t xml:space="preserve">.  For example, </w:t>
      </w:r>
      <w:r w:rsidRPr="00607E7B" w:rsidR="00D331F4">
        <w:rPr>
          <w:szCs w:val="22"/>
        </w:rPr>
        <w:t xml:space="preserve">AFB and </w:t>
      </w:r>
      <w:r w:rsidR="00340A8C">
        <w:rPr>
          <w:szCs w:val="22"/>
        </w:rPr>
        <w:t>DHH CAO</w:t>
      </w:r>
      <w:r w:rsidRPr="00607E7B" w:rsidR="00D331F4">
        <w:rPr>
          <w:szCs w:val="22"/>
        </w:rPr>
        <w:t xml:space="preserve"> state that </w:t>
      </w:r>
      <w:r w:rsidRPr="00607E7B" w:rsidR="006C207B">
        <w:rPr>
          <w:szCs w:val="22"/>
        </w:rPr>
        <w:t>large numbers of people with disabilities had difficulty accessing telehealth</w:t>
      </w:r>
      <w:r w:rsidRPr="00607E7B" w:rsidR="00BD68ED">
        <w:rPr>
          <w:szCs w:val="22"/>
        </w:rPr>
        <w:t xml:space="preserve">, and CTA states that companies are </w:t>
      </w:r>
      <w:r w:rsidR="008B616E">
        <w:rPr>
          <w:szCs w:val="22"/>
        </w:rPr>
        <w:t>taking responsive actions</w:t>
      </w:r>
      <w:r w:rsidRPr="00607E7B" w:rsidR="006C207B">
        <w:rPr>
          <w:szCs w:val="22"/>
        </w:rPr>
        <w:t>.</w:t>
      </w:r>
      <w:r>
        <w:rPr>
          <w:rStyle w:val="FootnoteReference"/>
          <w:szCs w:val="22"/>
        </w:rPr>
        <w:footnoteReference w:id="85"/>
      </w:r>
      <w:r w:rsidRPr="00607E7B" w:rsidR="006C207B">
        <w:rPr>
          <w:szCs w:val="22"/>
        </w:rPr>
        <w:t xml:space="preserve">  </w:t>
      </w:r>
      <w:r w:rsidR="00E136D9">
        <w:rPr>
          <w:szCs w:val="22"/>
        </w:rPr>
        <w:t xml:space="preserve">AFB cited to </w:t>
      </w:r>
      <w:r w:rsidRPr="00607E7B" w:rsidR="002D19D3">
        <w:rPr>
          <w:szCs w:val="22"/>
        </w:rPr>
        <w:t xml:space="preserve">a survey of 330 people who are blind or visually impaired, </w:t>
      </w:r>
      <w:r w:rsidR="00E136D9">
        <w:rPr>
          <w:szCs w:val="22"/>
        </w:rPr>
        <w:t xml:space="preserve">where </w:t>
      </w:r>
      <w:r w:rsidRPr="00607E7B" w:rsidR="006C207B">
        <w:rPr>
          <w:szCs w:val="22"/>
        </w:rPr>
        <w:t xml:space="preserve">approximately </w:t>
      </w:r>
      <w:r w:rsidRPr="008B616E" w:rsidR="00E91536">
        <w:rPr>
          <w:szCs w:val="22"/>
        </w:rPr>
        <w:t>57% reported that they found telehealth to be inaccessible in some way.</w:t>
      </w:r>
      <w:r>
        <w:rPr>
          <w:rStyle w:val="FootnoteReference"/>
          <w:szCs w:val="22"/>
        </w:rPr>
        <w:footnoteReference w:id="86"/>
      </w:r>
      <w:r w:rsidR="00CE60A6">
        <w:rPr>
          <w:szCs w:val="22"/>
        </w:rPr>
        <w:t xml:space="preserve"> </w:t>
      </w:r>
      <w:r w:rsidRPr="008B616E" w:rsidR="00E91536">
        <w:rPr>
          <w:szCs w:val="22"/>
        </w:rPr>
        <w:t xml:space="preserve"> Some people could not use their screen readers, login to a telehealth platform independently, navigate to make an appointment, read text information or text chat, or communicate privately with their healthcare providers.</w:t>
      </w:r>
      <w:r>
        <w:rPr>
          <w:rStyle w:val="FootnoteReference"/>
          <w:szCs w:val="22"/>
        </w:rPr>
        <w:footnoteReference w:id="87"/>
      </w:r>
    </w:p>
    <w:p w:rsidR="00BD68ED" w:rsidP="002C0D50" w14:paraId="3825BF7D" w14:textId="2969B76E">
      <w:pPr>
        <w:pStyle w:val="ParaNum"/>
        <w:widowControl/>
        <w:numPr>
          <w:ilvl w:val="0"/>
          <w:numId w:val="10"/>
        </w:numPr>
      </w:pPr>
      <w:r>
        <w:t xml:space="preserve">Regarding telehealth accessibility, </w:t>
      </w:r>
      <w:r w:rsidR="00340A8C">
        <w:t>DHH CAO</w:t>
      </w:r>
      <w:r w:rsidR="00B8576E">
        <w:t xml:space="preserve"> reports that </w:t>
      </w:r>
      <w:r w:rsidR="00432223">
        <w:t xml:space="preserve">people </w:t>
      </w:r>
      <w:r w:rsidRPr="006A0504" w:rsidR="006C207B">
        <w:t xml:space="preserve">who </w:t>
      </w:r>
      <w:r w:rsidR="00432223">
        <w:t>are</w:t>
      </w:r>
      <w:r w:rsidRPr="006A0504" w:rsidR="006C207B">
        <w:t xml:space="preserve"> deaf or hard of hearing </w:t>
      </w:r>
      <w:r w:rsidR="00654B4F">
        <w:t>face major obstacles to</w:t>
      </w:r>
      <w:r w:rsidR="00B8576E">
        <w:t xml:space="preserve"> </w:t>
      </w:r>
      <w:r>
        <w:t xml:space="preserve">virtual </w:t>
      </w:r>
      <w:r w:rsidR="00654B4F">
        <w:t xml:space="preserve">healthcare </w:t>
      </w:r>
      <w:r>
        <w:t>visit</w:t>
      </w:r>
      <w:r w:rsidR="00654B4F">
        <w:t>s</w:t>
      </w:r>
      <w:r>
        <w:t xml:space="preserve"> </w:t>
      </w:r>
      <w:r w:rsidR="006C207B">
        <w:t xml:space="preserve">if </w:t>
      </w:r>
      <w:r w:rsidR="009E18E8">
        <w:t>accessibility solutions are un</w:t>
      </w:r>
      <w:r w:rsidR="00654B4F">
        <w:t>available</w:t>
      </w:r>
      <w:r w:rsidRPr="006A0504" w:rsidR="006C207B">
        <w:t>.</w:t>
      </w:r>
      <w:r>
        <w:rPr>
          <w:rStyle w:val="FootnoteReference"/>
        </w:rPr>
        <w:footnoteReference w:id="88"/>
      </w:r>
      <w:r w:rsidR="001B284C">
        <w:t xml:space="preserve">  </w:t>
      </w:r>
      <w:r w:rsidR="00340A8C">
        <w:t>DHH CAO</w:t>
      </w:r>
      <w:r w:rsidR="001B284C">
        <w:t xml:space="preserve"> states that p</w:t>
      </w:r>
      <w:r w:rsidRPr="001B284C" w:rsidR="001B284C">
        <w:t xml:space="preserve">eople who are deaf or hard of hearing must call </w:t>
      </w:r>
      <w:r w:rsidR="00B8576E">
        <w:t xml:space="preserve">their healthcare providers </w:t>
      </w:r>
      <w:r>
        <w:t xml:space="preserve">on a separate, segregated platform </w:t>
      </w:r>
      <w:r w:rsidRPr="001B284C" w:rsidR="001B284C">
        <w:t xml:space="preserve">using </w:t>
      </w:r>
      <w:r w:rsidR="001B284C">
        <w:t>video relay services (VRS)</w:t>
      </w:r>
      <w:r w:rsidRPr="001B284C" w:rsidR="001B284C">
        <w:t xml:space="preserve"> if the telehealth program </w:t>
      </w:r>
      <w:r w:rsidR="007D30FF">
        <w:t>fails to provide</w:t>
      </w:r>
      <w:r w:rsidRPr="001B284C" w:rsidR="007D30FF">
        <w:t xml:space="preserve"> </w:t>
      </w:r>
      <w:r w:rsidRPr="001B284C" w:rsidR="001B284C">
        <w:t>interpreters.</w:t>
      </w:r>
      <w:r>
        <w:rPr>
          <w:rStyle w:val="FootnoteReference"/>
        </w:rPr>
        <w:footnoteReference w:id="89"/>
      </w:r>
      <w:r w:rsidRPr="001B284C" w:rsidR="001B284C">
        <w:t xml:space="preserve">  In a 2020-2021 </w:t>
      </w:r>
      <w:r>
        <w:t xml:space="preserve">telehealth accessibility </w:t>
      </w:r>
      <w:r w:rsidRPr="001B284C" w:rsidR="001B284C">
        <w:t>survey</w:t>
      </w:r>
      <w:r w:rsidR="001B284C">
        <w:t xml:space="preserve"> o</w:t>
      </w:r>
      <w:r w:rsidR="00E4709A">
        <w:t>f</w:t>
      </w:r>
      <w:r w:rsidR="001B284C">
        <w:t xml:space="preserve"> people who are deaf or hard of hearing</w:t>
      </w:r>
      <w:r w:rsidRPr="001B284C" w:rsidR="001B284C">
        <w:t xml:space="preserve">, </w:t>
      </w:r>
      <w:r w:rsidRPr="001B284C" w:rsidR="001B284C">
        <w:t>two-thirds of the respondents reported communications challenges</w:t>
      </w:r>
      <w:r w:rsidR="00D619F2">
        <w:t>,</w:t>
      </w:r>
      <w:r w:rsidRPr="001B284C" w:rsidR="001B284C">
        <w:t xml:space="preserve"> and one third </w:t>
      </w:r>
      <w:r>
        <w:t xml:space="preserve">of the respondents </w:t>
      </w:r>
      <w:r w:rsidRPr="001B284C" w:rsidR="001B284C">
        <w:t xml:space="preserve">reported </w:t>
      </w:r>
      <w:r>
        <w:t xml:space="preserve">they were forced to resort </w:t>
      </w:r>
      <w:r w:rsidRPr="001B284C" w:rsidR="001B284C">
        <w:t xml:space="preserve">to </w:t>
      </w:r>
      <w:r w:rsidR="007D30FF">
        <w:t>the use of</w:t>
      </w:r>
      <w:r w:rsidRPr="001B284C" w:rsidR="001B284C">
        <w:t xml:space="preserve"> their residual hearing.</w:t>
      </w:r>
      <w:r>
        <w:rPr>
          <w:rStyle w:val="FootnoteReference"/>
        </w:rPr>
        <w:footnoteReference w:id="90"/>
      </w:r>
    </w:p>
    <w:p w:rsidR="00D331F4" w:rsidRPr="00320B14" w:rsidP="002C0D50" w14:paraId="1B2FF0D5" w14:textId="77777777">
      <w:pPr>
        <w:pStyle w:val="ParaNum"/>
        <w:widowControl/>
        <w:numPr>
          <w:ilvl w:val="0"/>
          <w:numId w:val="10"/>
        </w:numPr>
      </w:pPr>
      <w:r>
        <w:t xml:space="preserve">In response to telehealth needs, </w:t>
      </w:r>
      <w:r w:rsidRPr="00233B77">
        <w:t xml:space="preserve">CTA </w:t>
      </w:r>
      <w:r>
        <w:t xml:space="preserve">states that it </w:t>
      </w:r>
      <w:r w:rsidRPr="00233B77">
        <w:t xml:space="preserve">is </w:t>
      </w:r>
      <w:r>
        <w:t>launching</w:t>
      </w:r>
      <w:r w:rsidRPr="00233B77">
        <w:t xml:space="preserve"> a new telehealth working group to develop best practices and recommendations for telehealth solutions, </w:t>
      </w:r>
      <w:r>
        <w:t>including solutions that address</w:t>
      </w:r>
      <w:r w:rsidRPr="00233B77">
        <w:t xml:space="preserve"> digital literacy, </w:t>
      </w:r>
      <w:r w:rsidRPr="00233B77">
        <w:t>equity</w:t>
      </w:r>
      <w:r w:rsidRPr="00233B77">
        <w:t xml:space="preserve"> and access issues.</w:t>
      </w:r>
      <w:r>
        <w:rPr>
          <w:rStyle w:val="FootnoteReference"/>
        </w:rPr>
        <w:footnoteReference w:id="91"/>
      </w:r>
      <w:r w:rsidRPr="00233B77">
        <w:t xml:space="preserve"> </w:t>
      </w:r>
      <w:r w:rsidR="0017681A">
        <w:t xml:space="preserve"> </w:t>
      </w:r>
      <w:r w:rsidRPr="00233B77">
        <w:t>The group will leverage CTA’s Guiding Principles on Virtual Care for consumer engagement, standard of care, quality, continuity of care, prescribing and data management.</w:t>
      </w:r>
      <w:r>
        <w:rPr>
          <w:rStyle w:val="FootnoteReference"/>
        </w:rPr>
        <w:footnoteReference w:id="92"/>
      </w:r>
      <w:r w:rsidRPr="00233B77">
        <w:t xml:space="preserve"> </w:t>
      </w:r>
      <w:r w:rsidRPr="001B284C" w:rsidR="001B284C">
        <w:t xml:space="preserve">  </w:t>
      </w:r>
    </w:p>
    <w:p w:rsidR="002C0D50" w:rsidP="002C0D50" w14:paraId="1936EDBA" w14:textId="77777777">
      <w:pPr>
        <w:pStyle w:val="Heading1"/>
      </w:pPr>
      <w:r w:rsidRPr="00B02122">
        <w:t>Complaints received pursuant to Section 717</w:t>
      </w:r>
    </w:p>
    <w:p w:rsidR="009B3D02" w:rsidRPr="00F72800" w:rsidP="00BF47AD" w14:paraId="3EB7BB79" w14:textId="37F335CE">
      <w:pPr>
        <w:pStyle w:val="ParaNum"/>
        <w:widowControl/>
        <w:numPr>
          <w:ilvl w:val="0"/>
          <w:numId w:val="10"/>
        </w:numPr>
      </w:pPr>
      <w:r>
        <w:t>Under Section 717, a person may file a formal or informal complaint alleging a violation of section 255, 716, of 718</w:t>
      </w:r>
      <w:r w:rsidR="009B47F5">
        <w:t xml:space="preserve"> for a determination whether any violation occurred.</w:t>
      </w:r>
      <w:r>
        <w:rPr>
          <w:rStyle w:val="FootnoteReference"/>
        </w:rPr>
        <w:footnoteReference w:id="93"/>
      </w:r>
      <w:r>
        <w:t xml:space="preserve">  </w:t>
      </w:r>
      <w:r w:rsidR="00DE25A2">
        <w:t xml:space="preserve">Before a consumer may file an informal complaint, the </w:t>
      </w:r>
      <w:r w:rsidRPr="00F72800">
        <w:t xml:space="preserve">consumer must </w:t>
      </w:r>
      <w:r w:rsidR="00DE25A2">
        <w:t xml:space="preserve">first </w:t>
      </w:r>
      <w:r w:rsidRPr="00F72800">
        <w:t>submit a request for dispute assistance (RDA) to the Commission’s Disability Rights Office (DRO) for help in resolving the accessibility problem between the consumer and the covered entity</w:t>
      </w:r>
      <w:r w:rsidR="00434165">
        <w:t>.</w:t>
      </w:r>
      <w:r>
        <w:rPr>
          <w:vertAlign w:val="superscript"/>
        </w:rPr>
        <w:footnoteReference w:id="94"/>
      </w:r>
      <w:r w:rsidRPr="00F72800">
        <w:t xml:space="preserve">  If the consumer and the covered entity do not reach a settlement within 30 days after</w:t>
      </w:r>
      <w:r w:rsidR="00EF609C">
        <w:t xml:space="preserve"> an</w:t>
      </w:r>
      <w:r w:rsidRPr="00F72800">
        <w:t xml:space="preserve"> </w:t>
      </w:r>
      <w:r w:rsidR="00007FC6">
        <w:t xml:space="preserve">RDA is filed, </w:t>
      </w:r>
      <w:r w:rsidRPr="00F72800">
        <w:t>the parties may agree to extend the time for resolution in 30-day increments, or the consumer may then</w:t>
      </w:r>
      <w:r w:rsidR="00DE25A2">
        <w:t>, pursuant to Section 717,</w:t>
      </w:r>
      <w:r w:rsidRPr="00F72800">
        <w:t xml:space="preserve"> file an informal complaint with the Enforcement Bureau.</w:t>
      </w:r>
      <w:r>
        <w:rPr>
          <w:vertAlign w:val="superscript"/>
        </w:rPr>
        <w:footnoteReference w:id="95"/>
      </w:r>
      <w:r w:rsidRPr="00F72800">
        <w:t xml:space="preserve">  </w:t>
      </w:r>
    </w:p>
    <w:p w:rsidR="009B3D02" w:rsidRPr="00F72800" w:rsidP="00C04551" w14:paraId="299FDE0F" w14:textId="6A09DA71">
      <w:pPr>
        <w:keepNext/>
        <w:keepLines/>
        <w:widowControl/>
        <w:numPr>
          <w:ilvl w:val="0"/>
          <w:numId w:val="10"/>
        </w:numPr>
        <w:spacing w:after="120"/>
      </w:pPr>
      <w:r>
        <w:t>T</w:t>
      </w:r>
      <w:r w:rsidRPr="00F72800">
        <w:t xml:space="preserve">he Commission must forward </w:t>
      </w:r>
      <w:r>
        <w:t xml:space="preserve">the informal complaint </w:t>
      </w:r>
      <w:r w:rsidRPr="00F72800">
        <w:t xml:space="preserve">to the </w:t>
      </w:r>
      <w:r w:rsidR="005073D6">
        <w:t xml:space="preserve">named </w:t>
      </w:r>
      <w:r w:rsidRPr="00F72800">
        <w:t>service provider or equipment manufacturer.</w:t>
      </w:r>
      <w:r>
        <w:rPr>
          <w:vertAlign w:val="superscript"/>
        </w:rPr>
        <w:footnoteReference w:id="96"/>
      </w:r>
      <w:r w:rsidRPr="00F72800">
        <w:t xml:space="preserve">  The service provider or manufacturer then must serve an answer responsive to the complaint and any Commission inquiries and serve the complainant and the Commission with a non-confidential summary of that answer within 20 days of service of the complaint.</w:t>
      </w:r>
      <w:r>
        <w:rPr>
          <w:vertAlign w:val="superscript"/>
        </w:rPr>
        <w:footnoteReference w:id="97"/>
      </w:r>
      <w:r w:rsidRPr="00F72800">
        <w:t xml:space="preserve">  Within 180 days after receipt of the complaint, the Commission must conclude an investigation into the merits of the complaint and issue an order determining whether a violation has occurred.</w:t>
      </w:r>
      <w:r>
        <w:rPr>
          <w:vertAlign w:val="superscript"/>
        </w:rPr>
        <w:footnoteReference w:id="98"/>
      </w:r>
      <w:r w:rsidRPr="00F72800">
        <w:t xml:space="preserve">  It may, in such order, or in a subsequent order, direct the service provider to bring the service or, in the case of a manufacturer, the next generation of the equipment, into compliance with the requirements of section 255, 716, or 718 within a reasonable period of time and take other authorized and appropriate enforcement action.</w:t>
      </w:r>
      <w:r>
        <w:rPr>
          <w:vertAlign w:val="superscript"/>
        </w:rPr>
        <w:footnoteReference w:id="99"/>
      </w:r>
      <w:r w:rsidRPr="00F72800">
        <w:t xml:space="preserve"> </w:t>
      </w:r>
    </w:p>
    <w:p w:rsidR="00E21607" w:rsidRPr="005469F7" w:rsidP="009B3D02" w14:paraId="7516BBC4" w14:textId="73943771">
      <w:pPr>
        <w:numPr>
          <w:ilvl w:val="0"/>
          <w:numId w:val="10"/>
        </w:numPr>
        <w:spacing w:after="120"/>
      </w:pPr>
      <w:r w:rsidRPr="00F72800">
        <w:t>During the two-year period covered by this report, DRO resolved 4</w:t>
      </w:r>
      <w:r w:rsidR="00DC472B">
        <w:t xml:space="preserve">7 </w:t>
      </w:r>
      <w:r w:rsidRPr="00F72800">
        <w:t>RDAs through facilitated dialogue and negotiation.  Because their RDAs were not resolved, two consumers exercised their right to file informal complaints.</w:t>
      </w:r>
    </w:p>
    <w:p w:rsidR="002C0D50" w:rsidRPr="00ED4017" w:rsidP="002C0D50" w14:paraId="042E31A3" w14:textId="77777777">
      <w:pPr>
        <w:pStyle w:val="ParaNum"/>
        <w:numPr>
          <w:ilvl w:val="1"/>
          <w:numId w:val="12"/>
        </w:numPr>
        <w:rPr>
          <w:b/>
        </w:rPr>
      </w:pPr>
      <w:r w:rsidRPr="00ED4017">
        <w:rPr>
          <w:b/>
          <w:bCs/>
        </w:rPr>
        <w:t>Number</w:t>
      </w:r>
      <w:r w:rsidRPr="00ED4017">
        <w:rPr>
          <w:b/>
        </w:rPr>
        <w:t xml:space="preserve"> and Nature of Complaints Received</w:t>
      </w:r>
    </w:p>
    <w:p w:rsidR="002C0D50" w:rsidP="002C0D50" w14:paraId="7B32EF30" w14:textId="5E987296">
      <w:pPr>
        <w:pStyle w:val="ParaNum"/>
        <w:numPr>
          <w:ilvl w:val="0"/>
          <w:numId w:val="10"/>
        </w:numPr>
      </w:pPr>
      <w:r w:rsidRPr="00ED4017">
        <w:t xml:space="preserve">  From January 1, </w:t>
      </w:r>
      <w:r w:rsidRPr="00ED4017" w:rsidR="00A238F6">
        <w:t>202</w:t>
      </w:r>
      <w:r w:rsidR="00A238F6">
        <w:t>0,</w:t>
      </w:r>
      <w:r w:rsidRPr="00ED4017" w:rsidR="00DF3F3B">
        <w:t xml:space="preserve"> </w:t>
      </w:r>
      <w:r w:rsidRPr="00ED4017">
        <w:t xml:space="preserve">to December 31, </w:t>
      </w:r>
      <w:r w:rsidRPr="00ED4017" w:rsidR="00A238F6">
        <w:t>202</w:t>
      </w:r>
      <w:r w:rsidR="00A238F6">
        <w:t>1,</w:t>
      </w:r>
      <w:r w:rsidRPr="00ED4017">
        <w:t xml:space="preserve"> consumers filed 49 RDAs alleging violations of section 255, 716, or 718.</w:t>
      </w:r>
      <w:r>
        <w:rPr>
          <w:vertAlign w:val="superscript"/>
        </w:rPr>
        <w:footnoteReference w:id="100"/>
      </w:r>
      <w:r w:rsidRPr="00ED4017">
        <w:t xml:space="preserve">  Eight RDAs were filed against Lifeline providers.  Of the 49 RDAs, two informal complaints were filed.</w:t>
      </w:r>
    </w:p>
    <w:p w:rsidR="002C0D50" w:rsidRPr="00ED4017" w:rsidP="002C0D50" w14:paraId="6C0EEE62" w14:textId="77777777">
      <w:pPr>
        <w:pStyle w:val="ParaNum"/>
        <w:numPr>
          <w:ilvl w:val="1"/>
          <w:numId w:val="12"/>
        </w:numPr>
        <w:rPr>
          <w:b/>
        </w:rPr>
      </w:pPr>
      <w:r w:rsidRPr="00ED4017">
        <w:rPr>
          <w:b/>
        </w:rPr>
        <w:t>Discussion of RDAs</w:t>
      </w:r>
    </w:p>
    <w:p w:rsidR="00DF3F3B" w:rsidP="002C0D50" w14:paraId="26DA752C" w14:textId="0DE6F123">
      <w:pPr>
        <w:pStyle w:val="ParaNum"/>
        <w:numPr>
          <w:ilvl w:val="0"/>
          <w:numId w:val="10"/>
        </w:numPr>
      </w:pPr>
      <w:r w:rsidRPr="00ED4017">
        <w:t xml:space="preserve">In their RDAs, some consumers stated that their devices and </w:t>
      </w:r>
      <w:r w:rsidR="007A09F3">
        <w:t xml:space="preserve">services </w:t>
      </w:r>
      <w:r w:rsidRPr="00ED4017">
        <w:t xml:space="preserve">were inaccessible.  Other consumers claimed accessibility barriers to reaching customer service or that customer service was unable to help them locate accessible devices or to fix accessibility problems.  These </w:t>
      </w:r>
      <w:r>
        <w:t>RDAS</w:t>
      </w:r>
      <w:r w:rsidRPr="00ED4017">
        <w:t xml:space="preserve"> </w:t>
      </w:r>
      <w:r w:rsidRPr="00ED4017">
        <w:t>were brought by people with a wide range of disabilities.</w:t>
      </w:r>
      <w:r>
        <w:t xml:space="preserve">  Some RDAs </w:t>
      </w:r>
      <w:r w:rsidR="00E03F3B">
        <w:t>helped individuals</w:t>
      </w:r>
      <w:r>
        <w:t xml:space="preserve"> </w:t>
      </w:r>
      <w:r w:rsidR="009F3BA4">
        <w:t>with specific accessibility problems</w:t>
      </w:r>
      <w:r>
        <w:t xml:space="preserve">.  </w:t>
      </w:r>
      <w:r w:rsidR="00E03F3B">
        <w:t>Other</w:t>
      </w:r>
      <w:r w:rsidR="00955A9A">
        <w:t>s</w:t>
      </w:r>
      <w:r w:rsidR="00E03F3B">
        <w:t xml:space="preserve"> required sys</w:t>
      </w:r>
      <w:r w:rsidR="009F3BA4">
        <w:t>temic</w:t>
      </w:r>
      <w:r w:rsidR="00E03F3B">
        <w:t xml:space="preserve"> fixe</w:t>
      </w:r>
      <w:r w:rsidR="009F3BA4">
        <w:t xml:space="preserve">s.  </w:t>
      </w:r>
      <w:r w:rsidR="00E03F3B">
        <w:t xml:space="preserve">These </w:t>
      </w:r>
      <w:r w:rsidR="00955A9A">
        <w:t xml:space="preserve">RDAs </w:t>
      </w:r>
      <w:r w:rsidR="00E03F3B">
        <w:t>required companies to re</w:t>
      </w:r>
      <w:r w:rsidR="009F3BA4">
        <w:t xml:space="preserve">write smartphone apps, </w:t>
      </w:r>
      <w:r w:rsidR="00955A9A">
        <w:t xml:space="preserve">create </w:t>
      </w:r>
      <w:r w:rsidR="0067370D">
        <w:t xml:space="preserve">app features, </w:t>
      </w:r>
      <w:r w:rsidR="009F3BA4">
        <w:t xml:space="preserve">create new device interfaces, </w:t>
      </w:r>
      <w:r w:rsidR="00955A9A">
        <w:t xml:space="preserve">alter equipment, </w:t>
      </w:r>
      <w:r w:rsidR="009F3BA4">
        <w:t xml:space="preserve">develop new websites, and create company-wide training.  </w:t>
      </w:r>
    </w:p>
    <w:p w:rsidR="002C0D50" w:rsidRPr="00ED4017" w:rsidP="002C0D50" w14:paraId="13DC1FD0" w14:textId="4FDF735D">
      <w:pPr>
        <w:pStyle w:val="ParaNum"/>
        <w:numPr>
          <w:ilvl w:val="0"/>
          <w:numId w:val="10"/>
        </w:numPr>
      </w:pPr>
      <w:r>
        <w:t>While most RDAs sought assistance for accessible phones, each RDA involved a unique individual</w:t>
      </w:r>
      <w:r w:rsidR="0067370D">
        <w:t xml:space="preserve">.  </w:t>
      </w:r>
      <w:r>
        <w:t>For instance</w:t>
      </w:r>
      <w:r w:rsidR="00CE60A6">
        <w:t>,</w:t>
      </w:r>
      <w:r>
        <w:t xml:space="preserve"> f</w:t>
      </w:r>
      <w:r w:rsidRPr="00ED4017">
        <w:t xml:space="preserve">ive people with mobility disabilities sought accessible phones.  One person, who is unable to use his </w:t>
      </w:r>
      <w:r w:rsidR="002353D2">
        <w:t xml:space="preserve">voice or </w:t>
      </w:r>
      <w:r w:rsidRPr="00ED4017">
        <w:t xml:space="preserve">limbs, was able to use a visual keyboard to send text messages; however, he was unable to login independently because authentication required him to hold a device.  One person with a motor skills disability stated that she needed a phone that </w:t>
      </w:r>
      <w:r w:rsidR="00F51783">
        <w:t xml:space="preserve">did </w:t>
      </w:r>
      <w:r w:rsidRPr="00ED4017">
        <w:t xml:space="preserve">not exceed a specific weight, could be held with one hand, and had large, raised tactile keys.  One person stated that she needed a phone that had flat sides instead of curved sides.  One person stated that he needed a one-handed </w:t>
      </w:r>
      <w:r w:rsidRPr="00ED4017">
        <w:t>onscreen Dvorak keyboard.</w:t>
      </w:r>
      <w:r>
        <w:rPr>
          <w:rStyle w:val="FootnoteReference"/>
        </w:rPr>
        <w:footnoteReference w:id="101"/>
      </w:r>
      <w:r w:rsidRPr="00ED4017">
        <w:t xml:space="preserve">  Four people with cognitive disabilities sought accessible phones.  One person stated that he needed help with voicemail that was read too quickly.  Two people needed assistance finding accessible 4G</w:t>
      </w:r>
      <w:r w:rsidR="007D30FF">
        <w:t xml:space="preserve"> and </w:t>
      </w:r>
      <w:r w:rsidRPr="00ED4017">
        <w:t>5G phones to replace their accessible 3G phones that would no longer operate once their carriers shut down the</w:t>
      </w:r>
      <w:r w:rsidR="0010094E">
        <w:t>ir</w:t>
      </w:r>
      <w:r w:rsidRPr="00ED4017">
        <w:t xml:space="preserve"> 3G networks.</w:t>
      </w:r>
      <w:r w:rsidR="00955A9A">
        <w:t xml:space="preserve">  </w:t>
      </w:r>
      <w:r w:rsidRPr="00ED4017" w:rsidR="00955A9A">
        <w:t xml:space="preserve">Eleven people who are blind or visually impaired had difficulty finding accessible feature phones.  </w:t>
      </w:r>
      <w:r w:rsidRPr="0051566B" w:rsidR="0051566B">
        <w:t xml:space="preserve">People who are deaf or hard of hearing stated that they did not have access to visual voicemail.  </w:t>
      </w:r>
      <w:r w:rsidRPr="00ED4017" w:rsidR="00955A9A">
        <w:t xml:space="preserve"> </w:t>
      </w:r>
    </w:p>
    <w:p w:rsidR="00DC4DD0" w:rsidP="00BF47AD" w14:paraId="7350C072" w14:textId="3D98DED5">
      <w:pPr>
        <w:pStyle w:val="ParaNum"/>
        <w:keepNext/>
        <w:widowControl/>
        <w:numPr>
          <w:ilvl w:val="0"/>
          <w:numId w:val="10"/>
        </w:numPr>
      </w:pPr>
      <w:r>
        <w:t xml:space="preserve">Some </w:t>
      </w:r>
      <w:r w:rsidR="0067370D">
        <w:t xml:space="preserve">RDA filers </w:t>
      </w:r>
      <w:r w:rsidR="006E16D7">
        <w:t>were unable to interact with their device or app.</w:t>
      </w:r>
      <w:r>
        <w:t xml:space="preserve">  </w:t>
      </w:r>
      <w:r w:rsidRPr="00ED4017">
        <w:t xml:space="preserve">People who are blind or visually impaired stated that three websites and six text messaging apps were not readable by screen readers or braille readers.  One person who is </w:t>
      </w:r>
      <w:r>
        <w:t xml:space="preserve">deafblind </w:t>
      </w:r>
      <w:r w:rsidRPr="00ED4017">
        <w:t xml:space="preserve">was unable to pair his braille reader with a text messaging device.  </w:t>
      </w:r>
      <w:r>
        <w:t xml:space="preserve">These problems prevented some filers from communicating </w:t>
      </w:r>
      <w:r w:rsidR="00C0760F">
        <w:t xml:space="preserve">and </w:t>
      </w:r>
      <w:r w:rsidR="0051566B">
        <w:t xml:space="preserve">from </w:t>
      </w:r>
      <w:r w:rsidR="00471A68">
        <w:t>paying bills or purchasing services online.</w:t>
      </w:r>
      <w:r w:rsidRPr="00ED4017">
        <w:t xml:space="preserve"> </w:t>
      </w:r>
    </w:p>
    <w:p w:rsidR="00DC472B" w:rsidP="00BF47AD" w14:paraId="7EBD2BED" w14:textId="15BE5FF0">
      <w:pPr>
        <w:pStyle w:val="ParaNum"/>
        <w:keepNext/>
        <w:widowControl/>
        <w:numPr>
          <w:ilvl w:val="0"/>
          <w:numId w:val="10"/>
        </w:numPr>
      </w:pPr>
      <w:r>
        <w:t xml:space="preserve">Other filers did not </w:t>
      </w:r>
      <w:r w:rsidR="0051566B">
        <w:t>have accessible ways to set</w:t>
      </w:r>
      <w:r w:rsidR="00A4365E">
        <w:t xml:space="preserve"> </w:t>
      </w:r>
      <w:r w:rsidR="0051566B">
        <w:t>up their devices or use phone features</w:t>
      </w:r>
      <w:r>
        <w:t>.  P</w:t>
      </w:r>
      <w:r w:rsidRPr="00ED4017" w:rsidR="002C0D50">
        <w:t xml:space="preserve">eople who are blind stated that they were not independently able to activate their phones because the SIM card numbers were not provided in an accessible format.  A total of four people </w:t>
      </w:r>
      <w:r w:rsidRPr="00ED4017" w:rsidR="004966AF">
        <w:t>w</w:t>
      </w:r>
      <w:r w:rsidR="004966AF">
        <w:t xml:space="preserve">as </w:t>
      </w:r>
      <w:r w:rsidRPr="00ED4017" w:rsidR="002C0D50">
        <w:t>unable to replace</w:t>
      </w:r>
      <w:r w:rsidR="004966AF">
        <w:t xml:space="preserve"> the</w:t>
      </w:r>
      <w:r w:rsidR="00C64E18">
        <w:t>ir</w:t>
      </w:r>
      <w:r w:rsidR="004966AF">
        <w:t xml:space="preserve"> phone</w:t>
      </w:r>
      <w:r w:rsidR="005007BE">
        <w:t>s</w:t>
      </w:r>
      <w:r w:rsidR="004966D7">
        <w:t>’</w:t>
      </w:r>
      <w:r w:rsidRPr="00ED4017" w:rsidR="002C0D50">
        <w:t xml:space="preserve"> SIM cards.  People who are blind or visually impaired requested free access to 411 and stated that they were unable to obtain their bills in accessible formats (large print or in </w:t>
      </w:r>
      <w:r w:rsidR="007A09F3">
        <w:t>b</w:t>
      </w:r>
      <w:r w:rsidRPr="00ED4017" w:rsidR="002C0D50">
        <w:t xml:space="preserve">raille).  </w:t>
      </w:r>
    </w:p>
    <w:p w:rsidR="002C0D50" w:rsidRPr="00DC472B" w:rsidP="00DC472B" w14:paraId="3A4B1A3C" w14:textId="7C8084E9">
      <w:pPr>
        <w:pStyle w:val="ParaNum"/>
        <w:numPr>
          <w:ilvl w:val="0"/>
          <w:numId w:val="10"/>
        </w:numPr>
      </w:pPr>
      <w:r w:rsidRPr="00ED4017">
        <w:t xml:space="preserve">Some </w:t>
      </w:r>
      <w:r w:rsidR="001322FD">
        <w:t xml:space="preserve">RDAs arose from situations where </w:t>
      </w:r>
      <w:r w:rsidRPr="00ED4017">
        <w:t xml:space="preserve">consumers stated that they were unable to obtain accessible customer service.  One person with dementia stated that his carrier’s phone tree was not accessible.  A caregiver for one person with a mobility disability stated that a salesperson used derogatory language about her client and would not sell him a phone because of his disability.  One person who is deaf stated that, in one store, the salespeople would not provide her with a pen and paper so that she could communicate.  A woman with cochlear implants stated that she was unable to get her phone unlocked </w:t>
      </w:r>
      <w:r w:rsidR="00BB1B52">
        <w:t>and to locate appropriate consumer service support</w:t>
      </w:r>
      <w:r w:rsidR="0019173E">
        <w:t xml:space="preserve"> because of her disability.  </w:t>
      </w:r>
      <w:r w:rsidRPr="00ED4017">
        <w:t>Two people with cognitive disabilities stated that they needed access to customer service representatives who could explain how they could use their phones’ accessibility features.</w:t>
      </w:r>
    </w:p>
    <w:p w:rsidR="002C0D50" w:rsidRPr="00ED4017" w:rsidP="002C0D50" w14:paraId="6E3A4271" w14:textId="77777777">
      <w:pPr>
        <w:pStyle w:val="ParaNum"/>
        <w:numPr>
          <w:ilvl w:val="1"/>
          <w:numId w:val="12"/>
        </w:numPr>
        <w:rPr>
          <w:b/>
        </w:rPr>
      </w:pPr>
      <w:r w:rsidRPr="00ED4017">
        <w:rPr>
          <w:b/>
          <w:bCs/>
        </w:rPr>
        <w:t>Actions</w:t>
      </w:r>
      <w:r w:rsidRPr="00ED4017">
        <w:rPr>
          <w:b/>
        </w:rPr>
        <w:t xml:space="preserve"> Taken to Resolve RDAs</w:t>
      </w:r>
    </w:p>
    <w:p w:rsidR="002C0D50" w:rsidRPr="00ED4017" w:rsidP="002C0D50" w14:paraId="4C13D04D" w14:textId="77777777">
      <w:pPr>
        <w:pStyle w:val="ParaNum"/>
        <w:numPr>
          <w:ilvl w:val="0"/>
          <w:numId w:val="10"/>
        </w:numPr>
        <w:rPr>
          <w:b/>
          <w:bCs/>
        </w:rPr>
      </w:pPr>
      <w:bookmarkStart w:id="7" w:name="_Hlk99010868"/>
      <w:r w:rsidRPr="00ED4017">
        <w:t xml:space="preserve">DRO helped consumers and manufacturers and service providers resolve RDAs filed during the period covered by this Report.  Entities responding to the RDAs resolved consumers’ accessibility concerns by taking the following actions: committing to </w:t>
      </w:r>
      <w:r w:rsidR="007A09F3">
        <w:t>enable</w:t>
      </w:r>
      <w:r w:rsidRPr="00ED4017">
        <w:t xml:space="preserve"> people who are blind </w:t>
      </w:r>
      <w:r w:rsidR="007A09F3">
        <w:t>to</w:t>
      </w:r>
      <w:r w:rsidRPr="00ED4017" w:rsidR="007A09F3">
        <w:t xml:space="preserve"> </w:t>
      </w:r>
      <w:r w:rsidRPr="00ED4017">
        <w:t xml:space="preserve">independently activate their phones; enabling pairing between braille readers and texting devices; creating a customer service mailbox for a person with ALS; locating accessible phones for people with mobility disabilities; rewriting one website and making two other websites natively accessible to screen readers; rewriting six telecommunications and advanced communications apps, including one app that was accessible to a screen reader but not a </w:t>
      </w:r>
      <w:r w:rsidR="007A09F3">
        <w:t>b</w:t>
      </w:r>
      <w:r w:rsidRPr="00ED4017">
        <w:t>raille reader; providing visual voicemail; connecting two consumers with cognitive disabilities to customer service representatives trained in accessibility; training in-store salespeople to provide service to people with disabilities;</w:t>
      </w:r>
      <w:bookmarkEnd w:id="7"/>
      <w:r w:rsidRPr="00ED4017">
        <w:t xml:space="preserve"> and creating a customer service phone tree and committing to create an accessible voicemail system.</w:t>
      </w:r>
    </w:p>
    <w:p w:rsidR="002C0D50" w:rsidRPr="00ED4017" w:rsidP="002C0D50" w14:paraId="2F2AFF80" w14:textId="77777777">
      <w:pPr>
        <w:pStyle w:val="ParaNum"/>
        <w:numPr>
          <w:ilvl w:val="1"/>
          <w:numId w:val="12"/>
        </w:numPr>
        <w:rPr>
          <w:b/>
        </w:rPr>
      </w:pPr>
      <w:r>
        <w:rPr>
          <w:b/>
        </w:rPr>
        <w:t>Actions</w:t>
      </w:r>
      <w:r w:rsidR="004966AF">
        <w:rPr>
          <w:b/>
        </w:rPr>
        <w:t xml:space="preserve"> Taken to Resolve</w:t>
      </w:r>
      <w:r w:rsidRPr="00ED4017">
        <w:rPr>
          <w:b/>
        </w:rPr>
        <w:t xml:space="preserve"> Informal Complaints</w:t>
      </w:r>
    </w:p>
    <w:p w:rsidR="002C0D50" w:rsidRPr="00ED4017" w:rsidP="002C0D50" w14:paraId="1F98B010" w14:textId="448890CC">
      <w:pPr>
        <w:pStyle w:val="ParaNum"/>
        <w:numPr>
          <w:ilvl w:val="0"/>
          <w:numId w:val="10"/>
        </w:numPr>
      </w:pPr>
      <w:r>
        <w:t>Two</w:t>
      </w:r>
      <w:r w:rsidRPr="00ED4017">
        <w:t xml:space="preserve"> </w:t>
      </w:r>
      <w:r w:rsidR="004966AF">
        <w:t>RDA</w:t>
      </w:r>
      <w:r w:rsidR="00EF711B">
        <w:t>s</w:t>
      </w:r>
      <w:r w:rsidR="004966AF">
        <w:t xml:space="preserve"> did not reach</w:t>
      </w:r>
      <w:r w:rsidR="002353D2">
        <w:t xml:space="preserve"> </w:t>
      </w:r>
      <w:r w:rsidR="004966AF">
        <w:t>resolution</w:t>
      </w:r>
      <w:r w:rsidR="000520C3">
        <w:t>s</w:t>
      </w:r>
      <w:r w:rsidR="004966AF">
        <w:t xml:space="preserve">.  </w:t>
      </w:r>
      <w:bookmarkStart w:id="8" w:name="_Hlk105651875"/>
      <w:r w:rsidR="000520C3">
        <w:t>In the first instance, t</w:t>
      </w:r>
      <w:r w:rsidRPr="00ED4017">
        <w:t xml:space="preserve">he consumer alleged that </w:t>
      </w:r>
      <w:r w:rsidRPr="00ED4017">
        <w:t xml:space="preserve">his interconnected VoIP </w:t>
      </w:r>
      <w:r w:rsidR="007A09F3">
        <w:t>provider,</w:t>
      </w:r>
      <w:r w:rsidRPr="00ED4017">
        <w:t xml:space="preserve"> </w:t>
      </w:r>
      <w:r w:rsidRPr="00ED4017">
        <w:t>ViaTalk</w:t>
      </w:r>
      <w:r w:rsidR="007A09F3">
        <w:t>,</w:t>
      </w:r>
      <w:r w:rsidRPr="00ED4017">
        <w:t xml:space="preserve"> refused to provide telephone assistance to get his modem reconnected after ViaTalk sent new equipment to him.  After he was unable to reach a resolution with the company on his allegations, he filed an informal complaint with the </w:t>
      </w:r>
      <w:r w:rsidR="00FE251C">
        <w:t>Commission</w:t>
      </w:r>
      <w:r w:rsidRPr="00ED4017" w:rsidR="00FE251C">
        <w:t xml:space="preserve">’s </w:t>
      </w:r>
      <w:r w:rsidRPr="00ED4017">
        <w:t xml:space="preserve">Enforcement Bureau (EB).  On August 18, 2021, the </w:t>
      </w:r>
      <w:r w:rsidR="00FE251C">
        <w:t>Commission</w:t>
      </w:r>
      <w:r w:rsidRPr="00ED4017" w:rsidR="00FE251C">
        <w:t xml:space="preserve"> </w:t>
      </w:r>
      <w:r w:rsidRPr="00ED4017">
        <w:t xml:space="preserve">found that ViaTalk did not fulfill its obligation to ensure that people with disabilities have access to product support information that ViaTalk provides to its customers </w:t>
      </w:r>
      <w:bookmarkEnd w:id="8"/>
      <w:r w:rsidRPr="00ED4017">
        <w:t xml:space="preserve">in general, as required by section 6.11(a) of the Commission’s rules, and that providing such access was </w:t>
      </w:r>
      <w:r w:rsidRPr="00ED4017">
        <w:t>readily achievable.</w:t>
      </w:r>
      <w:r>
        <w:rPr>
          <w:vertAlign w:val="superscript"/>
        </w:rPr>
        <w:footnoteReference w:id="102"/>
      </w:r>
      <w:r w:rsidRPr="00ED4017">
        <w:t xml:space="preserve">  Specifically, ViaTalk failed to honor a customer’s request for </w:t>
      </w:r>
      <w:r w:rsidR="004966AF">
        <w:t xml:space="preserve">a customer service agent to call the customer </w:t>
      </w:r>
      <w:r w:rsidRPr="00ED4017">
        <w:t>back concerning product support</w:t>
      </w:r>
      <w:r w:rsidR="004966AF">
        <w:t xml:space="preserve">, which is an </w:t>
      </w:r>
      <w:r w:rsidRPr="00ED4017">
        <w:t>option available to other customers.  At the same time, the EB released a citation order notifying ViaTalk that it failed to ensure that individuals with disabilities had access to information provided to other customers and failed to file annual compliance certifications with the Commission</w:t>
      </w:r>
      <w:r w:rsidR="00C11A8B">
        <w:t>.</w:t>
      </w:r>
      <w:r w:rsidRPr="00ED4017">
        <w:t xml:space="preserve">  Moreover, ViaTalk was ordered to cease and desist from failing to provide access to information provided to other customers and from failing to file annual compliance certifications with the Commission, in violation of section 255 of the Act and section 6.11(a) and 14.31(b) of the Commission’s rules.</w:t>
      </w:r>
      <w:r>
        <w:rPr>
          <w:rStyle w:val="FootnoteReference"/>
        </w:rPr>
        <w:footnoteReference w:id="103"/>
      </w:r>
      <w:r w:rsidRPr="00ED4017">
        <w:t xml:space="preserve">  </w:t>
      </w:r>
    </w:p>
    <w:p w:rsidR="002C0D50" w:rsidP="002C0D50" w14:paraId="3FA71221" w14:textId="4C7D6606">
      <w:pPr>
        <w:pStyle w:val="ParaNum"/>
        <w:numPr>
          <w:ilvl w:val="0"/>
          <w:numId w:val="10"/>
        </w:numPr>
      </w:pPr>
      <w:r w:rsidRPr="00ED4017">
        <w:t xml:space="preserve">EB </w:t>
      </w:r>
      <w:r w:rsidR="00580B1D">
        <w:t xml:space="preserve">also </w:t>
      </w:r>
      <w:r w:rsidRPr="00ED4017">
        <w:t>ordered ViaTalk to contact the customer within 14 days to schedule a day and time for a phone call to provide the customer with guidance on restoring his interconnected VoIP service.</w:t>
      </w:r>
      <w:r>
        <w:rPr>
          <w:vertAlign w:val="superscript"/>
        </w:rPr>
        <w:footnoteReference w:id="104"/>
      </w:r>
      <w:r w:rsidRPr="00ED4017">
        <w:t xml:space="preserve">  EB also directed ViaTalk to establish processes to ensure that (1) complaints by individuals with disabilities are referred promptly to a ViaTalk representative authorized to resolve the matter and (2) ViaTalk document</w:t>
      </w:r>
      <w:r w:rsidR="004A4E62">
        <w:t>s</w:t>
      </w:r>
      <w:r w:rsidRPr="00ED4017">
        <w:t xml:space="preserve"> its efforts to resolve such complaints and that such documents be retained for 24 months.</w:t>
      </w:r>
      <w:r>
        <w:rPr>
          <w:rStyle w:val="FootnoteReference"/>
        </w:rPr>
        <w:footnoteReference w:id="105"/>
      </w:r>
    </w:p>
    <w:p w:rsidR="00D129F6" w:rsidRPr="00ED4017" w:rsidP="002C0D50" w14:paraId="035CE7F7" w14:textId="45AF6018">
      <w:pPr>
        <w:pStyle w:val="ParaNum"/>
        <w:numPr>
          <w:ilvl w:val="0"/>
          <w:numId w:val="10"/>
        </w:numPr>
      </w:pPr>
      <w:r>
        <w:t>With regard to</w:t>
      </w:r>
      <w:r>
        <w:t xml:space="preserve"> the second unresolved RDA, </w:t>
      </w:r>
      <w:r w:rsidR="000611C8">
        <w:t>a</w:t>
      </w:r>
      <w:r w:rsidRPr="00D129F6">
        <w:t xml:space="preserve"> consumer </w:t>
      </w:r>
      <w:r w:rsidR="000611C8">
        <w:t xml:space="preserve">who has a hearing disability </w:t>
      </w:r>
      <w:r w:rsidRPr="00D129F6">
        <w:t xml:space="preserve">alleged that </w:t>
      </w:r>
      <w:r w:rsidRPr="00D129F6">
        <w:t xml:space="preserve">his </w:t>
      </w:r>
      <w:r w:rsidR="00DE1A0A">
        <w:t xml:space="preserve">telecommunications service provider, Verizon, failed to </w:t>
      </w:r>
      <w:r w:rsidR="00C146A6">
        <w:t>ensure that its voicemail service was accessib</w:t>
      </w:r>
      <w:r w:rsidR="000611C8">
        <w:t xml:space="preserve">le to him, in violation of </w:t>
      </w:r>
      <w:r w:rsidR="00CB41EA">
        <w:t>section 255 of the Act and part 7 of the rules.</w:t>
      </w:r>
      <w:r>
        <w:rPr>
          <w:rStyle w:val="FootnoteReference"/>
        </w:rPr>
        <w:footnoteReference w:id="106"/>
      </w:r>
      <w:r w:rsidR="00C146A6">
        <w:t xml:space="preserve"> </w:t>
      </w:r>
      <w:r w:rsidRPr="00D129F6">
        <w:t>After he was unable to reach a resolution with the company on his allegations, he filed an informal complaint with EB</w:t>
      </w:r>
      <w:r w:rsidR="00F130BC">
        <w:t>.</w:t>
      </w:r>
      <w:r w:rsidRPr="00D129F6">
        <w:t xml:space="preserve">  On </w:t>
      </w:r>
      <w:r w:rsidR="00DD1F25">
        <w:t xml:space="preserve">June </w:t>
      </w:r>
      <w:r w:rsidR="00F130BC">
        <w:t>9</w:t>
      </w:r>
      <w:r w:rsidR="00DD1F25">
        <w:t>, 2022</w:t>
      </w:r>
      <w:r w:rsidRPr="00D129F6">
        <w:t xml:space="preserve">, the </w:t>
      </w:r>
      <w:r w:rsidR="00FE251C">
        <w:t>Commission</w:t>
      </w:r>
      <w:r w:rsidRPr="00D129F6">
        <w:t xml:space="preserve"> found that</w:t>
      </w:r>
      <w:r w:rsidR="00DD1F25">
        <w:t xml:space="preserve"> Verizon </w:t>
      </w:r>
      <w:r w:rsidRPr="00D129F6">
        <w:t xml:space="preserve">did not </w:t>
      </w:r>
      <w:r w:rsidR="003D7141">
        <w:t xml:space="preserve">meet its burden of proof and thus did not establish that </w:t>
      </w:r>
      <w:r w:rsidR="005976C3">
        <w:t xml:space="preserve">its Premium Visual Voicemail service is accessible or that accessibility is not readily </w:t>
      </w:r>
      <w:r w:rsidR="005976C3">
        <w:t>achievable, and</w:t>
      </w:r>
      <w:r w:rsidR="005976C3">
        <w:t xml:space="preserve"> granted the consumer’s complaint.</w:t>
      </w:r>
      <w:r>
        <w:rPr>
          <w:rStyle w:val="FootnoteReference"/>
        </w:rPr>
        <w:footnoteReference w:id="107"/>
      </w:r>
      <w:r w:rsidR="0078248E">
        <w:t xml:space="preserve"> </w:t>
      </w:r>
      <w:r w:rsidR="00FE251C">
        <w:t xml:space="preserve">The Commission </w:t>
      </w:r>
      <w:r w:rsidR="00C7733F">
        <w:t>deferred issuing a proposed remedy to a subsequent order.</w:t>
      </w:r>
      <w:r>
        <w:rPr>
          <w:rStyle w:val="FootnoteReference"/>
        </w:rPr>
        <w:footnoteReference w:id="108"/>
      </w:r>
    </w:p>
    <w:p w:rsidR="002C0D50" w:rsidRPr="00ED4017" w:rsidP="002C0D50" w14:paraId="56814913" w14:textId="77777777">
      <w:pPr>
        <w:pStyle w:val="ParaNum"/>
        <w:keepNext/>
        <w:keepLines/>
        <w:widowControl/>
        <w:numPr>
          <w:ilvl w:val="1"/>
          <w:numId w:val="12"/>
        </w:numPr>
        <w:rPr>
          <w:b/>
        </w:rPr>
      </w:pPr>
      <w:r w:rsidRPr="00ED4017">
        <w:rPr>
          <w:b/>
        </w:rPr>
        <w:t>Time Used to Resolve RDAs and the Informal Complaints</w:t>
      </w:r>
    </w:p>
    <w:p w:rsidR="002C0D50" w:rsidRPr="00ED4017" w:rsidP="002C0D50" w14:paraId="38DD31F9" w14:textId="59539138">
      <w:pPr>
        <w:pStyle w:val="ParaNum"/>
        <w:keepNext/>
        <w:keepLines/>
        <w:widowControl/>
        <w:numPr>
          <w:ilvl w:val="0"/>
          <w:numId w:val="10"/>
        </w:numPr>
      </w:pPr>
      <w:r w:rsidRPr="00ED4017">
        <w:t xml:space="preserve">Of the RDAs that were filed during the reporting period, eleven (22%) were completed within </w:t>
      </w:r>
      <w:r w:rsidR="0093383A">
        <w:t>thirty</w:t>
      </w:r>
      <w:r w:rsidRPr="00ED4017">
        <w:t xml:space="preserve"> days, </w:t>
      </w:r>
      <w:r w:rsidR="0093383A">
        <w:t>eleven</w:t>
      </w:r>
      <w:r w:rsidRPr="00ED4017">
        <w:t xml:space="preserve"> (22%) were completed within </w:t>
      </w:r>
      <w:r w:rsidR="0093383A">
        <w:t>sixty</w:t>
      </w:r>
      <w:r w:rsidRPr="00ED4017">
        <w:t xml:space="preserve"> days, </w:t>
      </w:r>
      <w:r w:rsidR="009523D4">
        <w:t>six</w:t>
      </w:r>
      <w:r w:rsidRPr="00ED4017">
        <w:t xml:space="preserve"> (12%) were completed within </w:t>
      </w:r>
      <w:r w:rsidR="0093383A">
        <w:t>ninety</w:t>
      </w:r>
      <w:r w:rsidRPr="00ED4017">
        <w:t xml:space="preserve"> days, </w:t>
      </w:r>
      <w:r w:rsidR="0093383A">
        <w:t>seventeen</w:t>
      </w:r>
      <w:r w:rsidRPr="00ED4017">
        <w:t xml:space="preserve"> (35%) were completed within 180 days, and three (6%) were completed after </w:t>
      </w:r>
      <w:r w:rsidR="0093383A">
        <w:t>one hundred and eighty</w:t>
      </w:r>
      <w:r w:rsidRPr="00ED4017">
        <w:t xml:space="preserve"> days.  </w:t>
      </w:r>
      <w:r>
        <w:t xml:space="preserve">Two </w:t>
      </w:r>
      <w:r w:rsidR="00FC5BE6">
        <w:t>i</w:t>
      </w:r>
      <w:r w:rsidRPr="00ED4017">
        <w:t xml:space="preserve">nformal </w:t>
      </w:r>
      <w:r w:rsidR="00FC5BE6">
        <w:t>c</w:t>
      </w:r>
      <w:r w:rsidRPr="00ED4017">
        <w:t>omplaint</w:t>
      </w:r>
      <w:r>
        <w:t>s</w:t>
      </w:r>
      <w:r w:rsidRPr="00ED4017">
        <w:t xml:space="preserve"> w</w:t>
      </w:r>
      <w:r>
        <w:t>ere</w:t>
      </w:r>
      <w:r w:rsidRPr="00ED4017">
        <w:t xml:space="preserve"> filed</w:t>
      </w:r>
      <w:r w:rsidR="00D7509B">
        <w:t>.</w:t>
      </w:r>
      <w:r w:rsidR="00397201">
        <w:t xml:space="preserve"> </w:t>
      </w:r>
      <w:r w:rsidR="000B02EE">
        <w:t xml:space="preserve">In </w:t>
      </w:r>
      <w:r w:rsidR="00765471">
        <w:t>both cases</w:t>
      </w:r>
      <w:r w:rsidR="000B02EE">
        <w:t xml:space="preserve">, the </w:t>
      </w:r>
      <w:r w:rsidRPr="00ED4017">
        <w:t>order</w:t>
      </w:r>
      <w:r w:rsidR="00EF7F44">
        <w:t>s</w:t>
      </w:r>
      <w:r w:rsidRPr="00ED4017">
        <w:t xml:space="preserve"> </w:t>
      </w:r>
      <w:r w:rsidR="000B02EE">
        <w:t>w</w:t>
      </w:r>
      <w:r w:rsidR="00EF7F44">
        <w:t>ere</w:t>
      </w:r>
      <w:r w:rsidR="000B02EE">
        <w:t xml:space="preserve"> </w:t>
      </w:r>
      <w:r w:rsidRPr="00ED4017">
        <w:t>issued within the</w:t>
      </w:r>
      <w:r w:rsidR="0093383A">
        <w:t xml:space="preserve"> </w:t>
      </w:r>
      <w:r w:rsidR="0093383A">
        <w:t>one hundred and eighty</w:t>
      </w:r>
      <w:r w:rsidRPr="00ED4017">
        <w:t>-day</w:t>
      </w:r>
      <w:r w:rsidRPr="00ED4017">
        <w:t xml:space="preserve"> statutory time-period.</w:t>
      </w:r>
      <w:r>
        <w:rPr>
          <w:vertAlign w:val="superscript"/>
        </w:rPr>
        <w:footnoteReference w:id="109"/>
      </w:r>
      <w:r w:rsidR="00AC123E">
        <w:t xml:space="preserve">  </w:t>
      </w:r>
    </w:p>
    <w:p w:rsidR="002C0D50" w:rsidRPr="00ED4017" w:rsidP="002C0D50" w14:paraId="18D2EFA8" w14:textId="77777777">
      <w:pPr>
        <w:pStyle w:val="ParaNum"/>
        <w:numPr>
          <w:ilvl w:val="1"/>
          <w:numId w:val="12"/>
        </w:numPr>
        <w:rPr>
          <w:b/>
        </w:rPr>
      </w:pPr>
      <w:r w:rsidRPr="00ED4017">
        <w:rPr>
          <w:b/>
          <w:bCs/>
        </w:rPr>
        <w:t>Actions</w:t>
      </w:r>
      <w:r w:rsidRPr="00ED4017">
        <w:rPr>
          <w:b/>
        </w:rPr>
        <w:t xml:space="preserve"> for Mandamus and Appeals Filed</w:t>
      </w:r>
    </w:p>
    <w:p w:rsidR="002C0D50" w:rsidRPr="002735FC" w:rsidP="002C0D50" w14:paraId="6F40BD78" w14:textId="77777777">
      <w:pPr>
        <w:pStyle w:val="ParaNum"/>
        <w:numPr>
          <w:ilvl w:val="0"/>
          <w:numId w:val="10"/>
        </w:numPr>
      </w:pPr>
      <w:r w:rsidRPr="00ED4017">
        <w:t xml:space="preserve">  There were no actions for mandamus or appeals filed with respect to complaints during the period covered by this Report.</w:t>
      </w:r>
    </w:p>
    <w:p w:rsidR="002C0D50" w:rsidRPr="00AF7D5E" w:rsidP="002F43BA" w14:paraId="21B1A2B3" w14:textId="77777777">
      <w:pPr>
        <w:pStyle w:val="Heading1"/>
        <w:widowControl/>
      </w:pPr>
      <w:r>
        <w:t>EFFECT OF SECTION 717’S RECORDKEEPING AND ENFORCEMENT REQUIREMENTS ON THE DEVELOPMENT AND DEPLOYMENT OF NEW COMMUNICATIONS TECHNOLOGIES</w:t>
      </w:r>
    </w:p>
    <w:p w:rsidR="002C0D50" w:rsidRPr="001D66EB" w:rsidP="002C0D50" w14:paraId="36BB7B7A" w14:textId="5E3F8D18">
      <w:pPr>
        <w:pStyle w:val="ParaNum"/>
        <w:widowControl/>
        <w:numPr>
          <w:ilvl w:val="0"/>
          <w:numId w:val="10"/>
        </w:numPr>
        <w:rPr>
          <w:sz w:val="23"/>
          <w:szCs w:val="23"/>
        </w:rPr>
      </w:pPr>
      <w:r>
        <w:t>Section 717(b)(1)(G) requires the Commission to provide an assessment of the effect of the requirements of section 717 on the development and deployment of new communications technologies.</w:t>
      </w:r>
      <w:r>
        <w:rPr>
          <w:rStyle w:val="FootnoteReference"/>
        </w:rPr>
        <w:footnoteReference w:id="110"/>
      </w:r>
      <w:r>
        <w:t xml:space="preserve">  We tentatively find that there has been no effect on the development and deployment of new communications technologies.  </w:t>
      </w:r>
    </w:p>
    <w:p w:rsidR="002C0D50" w:rsidP="00D62AD4" w14:paraId="517CD7FA" w14:textId="77777777"/>
    <w:p w:rsidR="002C0D50" w:rsidRPr="00A72998" w:rsidP="00D62AD4" w14:paraId="3D7677CC" w14:textId="77777777">
      <w:pPr>
        <w:spacing w:after="160" w:line="259" w:lineRule="auto"/>
        <w:rPr>
          <w:b/>
          <w:bCs/>
        </w:rPr>
      </w:pPr>
    </w:p>
    <w:p w:rsidR="002C0D50" w:rsidRPr="00930ECF" w:rsidP="00D62AD4" w14:paraId="04DEAF1F" w14:textId="77777777">
      <w:pPr>
        <w:widowControl/>
        <w:spacing w:after="120"/>
      </w:pPr>
    </w:p>
    <w:p w:rsidR="00F665A4" w:rsidRPr="003529DF" w14:paraId="6DF0DBDA" w14:textId="77777777">
      <w:pPr>
        <w:rPr>
          <w:sz w:val="20"/>
        </w:rPr>
      </w:pPr>
    </w:p>
    <w:sectPr w:rsidSect="00246D55">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charset w:val="00"/>
    <w:family w:val="auto"/>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50" w:rsidP="00D62AD4" w14:paraId="3FE762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2C0D50" w14:paraId="2AB7BD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50" w:rsidP="00D62AD4" w14:paraId="6CACED46" w14:textId="77777777">
    <w:pPr>
      <w:pStyle w:val="Footer"/>
      <w:jc w:val="center"/>
    </w:pPr>
    <w:r>
      <w:fldChar w:fldCharType="begin"/>
    </w:r>
    <w:r>
      <w:instrText xml:space="preserve"> PAGE   \* MERGEFORMAT </w:instrText>
    </w:r>
    <w:r>
      <w:fldChar w:fldCharType="separate"/>
    </w:r>
    <w:r w:rsidR="000C7B3B">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50" w14:paraId="4615EBF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00C87B7B" w14:textId="77777777">
    <w:pPr>
      <w:pStyle w:val="Footer"/>
      <w:framePr w:wrap="around" w:vAnchor="text" w:hAnchor="margin" w:xAlign="center" w:y="1"/>
    </w:pPr>
    <w:r>
      <w:fldChar w:fldCharType="begin"/>
    </w:r>
    <w:r w:rsidR="00186F33">
      <w:instrText xml:space="preserve">PAGE  </w:instrText>
    </w:r>
    <w:r>
      <w:fldChar w:fldCharType="separate"/>
    </w:r>
    <w:r>
      <w:fldChar w:fldCharType="end"/>
    </w:r>
  </w:p>
  <w:p w:rsidR="00F665A4" w14:paraId="2635CCB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01DDAF06" w14:textId="77777777">
    <w:pPr>
      <w:pStyle w:val="Footer"/>
      <w:jc w:val="center"/>
    </w:pPr>
    <w:r>
      <w:fldChar w:fldCharType="begin"/>
    </w:r>
    <w:r w:rsidR="00186F33">
      <w:instrText xml:space="preserve"> PAGE   \* MERGEFORMAT </w:instrText>
    </w:r>
    <w:r>
      <w:fldChar w:fldCharType="separate"/>
    </w:r>
    <w:r w:rsidR="001C459A">
      <w:rPr>
        <w:noProof/>
      </w:rPr>
      <w:t>12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58143F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2B4D" w14:paraId="770B33AA" w14:textId="77777777">
      <w:r>
        <w:separator/>
      </w:r>
    </w:p>
  </w:footnote>
  <w:footnote w:type="continuationSeparator" w:id="1">
    <w:p w:rsidR="00502B4D" w14:paraId="78F53F47" w14:textId="77777777">
      <w:pPr>
        <w:rPr>
          <w:sz w:val="20"/>
        </w:rPr>
      </w:pPr>
      <w:r>
        <w:rPr>
          <w:sz w:val="20"/>
        </w:rPr>
        <w:t xml:space="preserve">(Continued from previous page)  </w:t>
      </w:r>
      <w:r>
        <w:rPr>
          <w:sz w:val="20"/>
        </w:rPr>
        <w:separator/>
      </w:r>
    </w:p>
  </w:footnote>
  <w:footnote w:type="continuationNotice" w:id="2">
    <w:p w:rsidR="00502B4D" w14:paraId="7ED8CD46" w14:textId="77777777">
      <w:pPr>
        <w:jc w:val="right"/>
        <w:rPr>
          <w:sz w:val="20"/>
        </w:rPr>
      </w:pPr>
      <w:r>
        <w:rPr>
          <w:sz w:val="20"/>
        </w:rPr>
        <w:t>(continued….)</w:t>
      </w:r>
    </w:p>
  </w:footnote>
  <w:footnote w:id="3">
    <w:p w:rsidR="002C0D50" w:rsidRPr="003529DF" w:rsidP="00D62AD4" w14:paraId="7EA4C201" w14:textId="1753E5A4">
      <w:pPr>
        <w:pStyle w:val="FootnoteText"/>
        <w:widowControl w:val="0"/>
      </w:pPr>
      <w:r w:rsidRPr="003529DF">
        <w:rPr>
          <w:rStyle w:val="FootnoteReference"/>
          <w:sz w:val="20"/>
        </w:rPr>
        <w:footnoteRef/>
      </w:r>
      <w:r w:rsidRPr="003529DF">
        <w:t xml:space="preserve"> Pub. L. No. 111-260, 124 Stat. 2751 (2010) (as codified in various sections of 47 U.S.C.); </w:t>
      </w:r>
      <w:r w:rsidRPr="003529DF">
        <w:rPr>
          <w:bCs/>
        </w:rPr>
        <w:t xml:space="preserve">Pub. L. No. 111-265, </w:t>
      </w:r>
      <w:r w:rsidRPr="003529DF">
        <w:t xml:space="preserve">124 Stat. 2795 (2010) (technical corrections to the CVAA).  </w:t>
      </w:r>
      <w:r w:rsidRPr="003529DF" w:rsidR="00425C11">
        <w:t>Section 717(b)(2) requires the Commission to seek public comment on its tentative findings on the above-mentioned issues prior to submission of each biennial report to Congress. 47 U.S.C. § 618(b)(2)</w:t>
      </w:r>
      <w:r w:rsidR="002A1046">
        <w:t xml:space="preserve">.  </w:t>
      </w:r>
    </w:p>
  </w:footnote>
  <w:footnote w:id="4">
    <w:p w:rsidR="00AF2314" w14:paraId="7A435B95" w14:textId="4DB20024">
      <w:pPr>
        <w:pStyle w:val="FootnoteText"/>
      </w:pPr>
      <w:r>
        <w:rPr>
          <w:rStyle w:val="FootnoteReference"/>
        </w:rPr>
        <w:footnoteRef/>
      </w:r>
      <w:r>
        <w:t xml:space="preserve"> </w:t>
      </w:r>
      <w:r w:rsidRPr="003529DF">
        <w:t>The</w:t>
      </w:r>
      <w:r>
        <w:t xml:space="preserve"> FCC must </w:t>
      </w:r>
      <w:r w:rsidRPr="003529DF">
        <w:t>submit</w:t>
      </w:r>
      <w:r>
        <w:t xml:space="preserve"> its Biennial Reports</w:t>
      </w:r>
      <w:r w:rsidRPr="003529DF">
        <w:t xml:space="preserve"> to the Senate Committee on Commerce, Science, and Transportation and the House Committee on Energy and Commerce.  </w:t>
      </w:r>
      <w:r w:rsidRPr="003529DF">
        <w:rPr>
          <w:i/>
        </w:rPr>
        <w:t>Id.</w:t>
      </w:r>
      <w:r w:rsidRPr="003529DF">
        <w:t xml:space="preserve"> </w:t>
      </w:r>
      <w:r w:rsidR="00597762">
        <w:t xml:space="preserve"> </w:t>
      </w:r>
      <w:r w:rsidRPr="003529DF">
        <w:t xml:space="preserve">The Commission submitted CVAA biennial reports in 2012, 2014, 2016, 2018, and 2020. </w:t>
      </w:r>
      <w:r w:rsidR="00597762">
        <w:t xml:space="preserve"> </w:t>
      </w:r>
      <w:r w:rsidRPr="003529DF">
        <w:rPr>
          <w:i/>
          <w:iCs/>
        </w:rPr>
        <w:t>See</w:t>
      </w:r>
      <w:r w:rsidR="0061277B">
        <w:rPr>
          <w:i/>
          <w:iCs/>
        </w:rPr>
        <w:t>, e.g.,</w:t>
      </w:r>
      <w:r w:rsidRPr="003529DF">
        <w:rPr>
          <w:i/>
          <w:iCs/>
        </w:rPr>
        <w:t xml:space="preserve"> </w:t>
      </w:r>
      <w:r w:rsidRPr="003529DF">
        <w:rPr>
          <w:i/>
        </w:rPr>
        <w:t>Implementation of Sections 716 and 717 of the Communications Act of 1934, as Enacted by the Twenty-First Century Communications and Video Accessibility Act of 2010</w:t>
      </w:r>
      <w:r w:rsidRPr="003529DF">
        <w:t xml:space="preserve">, Biennial Report to Congress as Required by the Twenty-First Century Communications and Video Accessibility Act of 2010, </w:t>
      </w:r>
      <w:r w:rsidRPr="003529DF">
        <w:rPr>
          <w:snapToGrid w:val="0"/>
        </w:rPr>
        <w:t xml:space="preserve">35 FCC Rcd 11227 </w:t>
      </w:r>
      <w:r w:rsidRPr="003529DF">
        <w:t>(2020) (</w:t>
      </w:r>
      <w:r w:rsidRPr="003529DF">
        <w:rPr>
          <w:i/>
        </w:rPr>
        <w:t>2020 CVAA Biennial Report</w:t>
      </w:r>
      <w:r w:rsidRPr="003529DF">
        <w:t>).</w:t>
      </w:r>
    </w:p>
  </w:footnote>
  <w:footnote w:id="5">
    <w:p w:rsidR="002C0D50" w:rsidRPr="003529DF" w:rsidP="00D62AD4" w14:paraId="11B39734" w14:textId="0C4D1026">
      <w:pPr>
        <w:pStyle w:val="FootnoteText"/>
        <w:widowControl w:val="0"/>
      </w:pPr>
      <w:r w:rsidRPr="003529DF">
        <w:rPr>
          <w:rStyle w:val="FootnoteReference"/>
          <w:sz w:val="20"/>
        </w:rPr>
        <w:footnoteRef/>
      </w:r>
      <w:r w:rsidRPr="003529DF">
        <w:t xml:space="preserve"> </w:t>
      </w:r>
      <w:r w:rsidRPr="003529DF">
        <w:rPr>
          <w:i/>
        </w:rPr>
        <w:t>See</w:t>
      </w:r>
      <w:r w:rsidRPr="003529DF">
        <w:t xml:space="preserve"> 47 U.S.C. § 618(b)(1)(A); S. Rep. No. 111-386 at 9 (2010) (Senate Report); H.R. Rep. No. 111-563 at 27 (2010) (House Report)</w:t>
      </w:r>
      <w:r w:rsidRPr="003529DF">
        <w:rPr>
          <w:i/>
        </w:rPr>
        <w:t>.</w:t>
      </w:r>
      <w:r w:rsidR="00597762">
        <w:rPr>
          <w:i/>
        </w:rPr>
        <w:t xml:space="preserve"> </w:t>
      </w:r>
      <w:r w:rsidRPr="003529DF">
        <w:rPr>
          <w:iCs/>
        </w:rPr>
        <w:t xml:space="preserve">Sections 255, 716, and 718 are codified in Title 47 of the United States Code.  </w:t>
      </w:r>
      <w:r w:rsidRPr="003529DF">
        <w:rPr>
          <w:i/>
        </w:rPr>
        <w:t xml:space="preserve">See </w:t>
      </w:r>
      <w:r w:rsidRPr="003529DF">
        <w:t xml:space="preserve">47 U.S.C. §§ 255, 617, and 619.  These sections are implemented in parts 6, 7, and 8 of </w:t>
      </w:r>
      <w:r w:rsidR="00556DC8">
        <w:t xml:space="preserve">the Commission’s </w:t>
      </w:r>
      <w:r w:rsidRPr="003529DF">
        <w:t>rules.</w:t>
      </w:r>
      <w:r w:rsidR="00597762">
        <w:t xml:space="preserve"> </w:t>
      </w:r>
      <w:r w:rsidRPr="003529DF">
        <w:t xml:space="preserve"> </w:t>
      </w:r>
      <w:r w:rsidRPr="003529DF">
        <w:rPr>
          <w:i/>
          <w:iCs/>
        </w:rPr>
        <w:t xml:space="preserve">See </w:t>
      </w:r>
      <w:r w:rsidRPr="003529DF">
        <w:t xml:space="preserve">47 CFR Part 6, Part 7, </w:t>
      </w:r>
      <w:r w:rsidRPr="003529DF" w:rsidR="00C7194D">
        <w:t xml:space="preserve">and </w:t>
      </w:r>
      <w:r w:rsidRPr="003529DF">
        <w:t xml:space="preserve">Part 14. </w:t>
      </w:r>
    </w:p>
  </w:footnote>
  <w:footnote w:id="6">
    <w:p w:rsidR="002C0D50" w:rsidP="00D62AD4" w14:paraId="31BC5CAA" w14:textId="77777777">
      <w:pPr>
        <w:pStyle w:val="FootnoteText"/>
      </w:pPr>
      <w:r w:rsidRPr="003529DF">
        <w:rPr>
          <w:rStyle w:val="FootnoteReference"/>
          <w:sz w:val="20"/>
        </w:rPr>
        <w:footnoteRef/>
      </w:r>
      <w:r w:rsidRPr="003529DF">
        <w:t xml:space="preserve"> 47 U.S.C. § 618(b)(1)(B).</w:t>
      </w:r>
    </w:p>
  </w:footnote>
  <w:footnote w:id="7">
    <w:p w:rsidR="002C0D50" w:rsidRPr="003529DF" w:rsidP="00D62AD4" w14:paraId="223BB722" w14:textId="3B45E6B7">
      <w:pPr>
        <w:pStyle w:val="FootnoteText"/>
      </w:pPr>
      <w:r w:rsidRPr="003529DF">
        <w:rPr>
          <w:rStyle w:val="FootnoteReference"/>
          <w:sz w:val="20"/>
        </w:rPr>
        <w:footnoteRef/>
      </w:r>
      <w:r w:rsidRPr="003529DF">
        <w:t xml:space="preserve"> 47 U.S.C. § 618(b)(1)(G).  Section 717(a) requires covered entities to keep records of their efforts to implement sections 255, 716, and 718, including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47 U.S.C. § 618(a)(5)(A).  </w:t>
      </w:r>
      <w:r w:rsidR="003A3F4A">
        <w:t>C</w:t>
      </w:r>
      <w:r w:rsidRPr="003529DF">
        <w:t xml:space="preserve">overed entities must certify annually to the Commission that they have kept records in accordance with this requirement.  </w:t>
      </w:r>
      <w:r w:rsidRPr="003529DF">
        <w:rPr>
          <w:i/>
        </w:rPr>
        <w:t>See</w:t>
      </w:r>
      <w:r w:rsidRPr="003529DF">
        <w:t xml:space="preserve"> 47 U.S.C. § 618(a)(5)(B); 47 CFR § 14.31.  Section 717(a) also contains procedures for complaints alleging violations of sections 255, 716, or 718.  47 U.S.C. § 618(a)(1)-(4); 47 CFR §§ 14.30-14.52.  In response to an informal complaint, the manufacturer or service provider “must produce documents demonstrating its due diligence in exploring accessibility and achievability . . . throughout the design, development, testing, and deployment stages of a product or service.”  47 CFR § 14.36(a).  </w:t>
      </w:r>
    </w:p>
  </w:footnote>
  <w:footnote w:id="8">
    <w:p w:rsidR="002C0D50" w:rsidRPr="003529DF" w:rsidP="00D62AD4" w14:paraId="67ED50DE" w14:textId="77777777">
      <w:pPr>
        <w:pStyle w:val="FootnoteText"/>
        <w:widowControl w:val="0"/>
      </w:pPr>
      <w:r w:rsidRPr="003529DF">
        <w:rPr>
          <w:rStyle w:val="FootnoteReference"/>
          <w:sz w:val="20"/>
        </w:rPr>
        <w:footnoteRef/>
      </w:r>
      <w:r w:rsidRPr="003529DF">
        <w:t xml:space="preserve"> 47 U.S.C. § 618(b)(1)(C)-(F).  </w:t>
      </w:r>
    </w:p>
  </w:footnote>
  <w:footnote w:id="9">
    <w:p w:rsidR="002C0D50" w:rsidRPr="003529DF" w:rsidP="00D62AD4" w14:paraId="1644335C" w14:textId="1616B647">
      <w:pPr>
        <w:pStyle w:val="CommentText"/>
        <w:spacing w:after="120"/>
      </w:pPr>
      <w:r w:rsidRPr="003529DF">
        <w:rPr>
          <w:rStyle w:val="FootnoteReference"/>
          <w:sz w:val="20"/>
        </w:rPr>
        <w:footnoteRef/>
      </w:r>
      <w:r w:rsidR="00E536BD">
        <w:rPr>
          <w:i/>
          <w:iCs/>
        </w:rPr>
        <w:t xml:space="preserve"> </w:t>
      </w:r>
      <w:r w:rsidRPr="003529DF">
        <w:rPr>
          <w:i/>
          <w:iCs/>
        </w:rPr>
        <w:t>Consumer and Governmental Affairs Bureau Seeks Comment on the Accessibility of Communications Technologies for the 2020 Biennial Report Required by the Twenty-First Century Communications and Video Accessibility Act</w:t>
      </w:r>
      <w:r w:rsidRPr="003529DF">
        <w:t xml:space="preserve">, CG Docket No. 10-213, Public Notice, </w:t>
      </w:r>
      <w:r w:rsidRPr="003529DF" w:rsidR="004266A8">
        <w:t>DA 22-160</w:t>
      </w:r>
      <w:r w:rsidRPr="003529DF">
        <w:t xml:space="preserve"> (CGB 20</w:t>
      </w:r>
      <w:r w:rsidRPr="003529DF" w:rsidR="004266A8">
        <w:t>22</w:t>
      </w:r>
      <w:r w:rsidRPr="003529DF">
        <w:t>) (</w:t>
      </w:r>
      <w:r w:rsidRPr="003529DF">
        <w:rPr>
          <w:i/>
          <w:iCs/>
        </w:rPr>
        <w:t>202</w:t>
      </w:r>
      <w:r w:rsidRPr="003529DF" w:rsidR="004266A8">
        <w:rPr>
          <w:i/>
          <w:iCs/>
        </w:rPr>
        <w:t>2</w:t>
      </w:r>
      <w:r w:rsidRPr="003529DF">
        <w:rPr>
          <w:i/>
          <w:iCs/>
        </w:rPr>
        <w:t xml:space="preserve"> CVAA Assessment Public Notice</w:t>
      </w:r>
      <w:r w:rsidRPr="003529DF">
        <w:t>).</w:t>
      </w:r>
    </w:p>
  </w:footnote>
  <w:footnote w:id="10">
    <w:p w:rsidR="002C0D50" w:rsidRPr="001537CF" w:rsidP="00800321" w14:paraId="51731AAD" w14:textId="50E3E067">
      <w:pPr>
        <w:spacing w:after="120"/>
        <w:rPr>
          <w:color w:val="212529"/>
          <w:sz w:val="20"/>
        </w:rPr>
      </w:pPr>
      <w:r w:rsidRPr="003529DF">
        <w:rPr>
          <w:rStyle w:val="FootnoteReference"/>
          <w:sz w:val="20"/>
        </w:rPr>
        <w:footnoteRef/>
      </w:r>
      <w:r w:rsidRPr="003529DF" w:rsidR="26A14AD5">
        <w:rPr>
          <w:sz w:val="20"/>
        </w:rPr>
        <w:t xml:space="preserve"> Comments by </w:t>
      </w:r>
      <w:r w:rsidRPr="003529DF" w:rsidR="00340A8C">
        <w:rPr>
          <w:sz w:val="20"/>
        </w:rPr>
        <w:t>DHH CAO</w:t>
      </w:r>
      <w:r w:rsidRPr="003529DF" w:rsidR="00405C7D">
        <w:rPr>
          <w:sz w:val="20"/>
        </w:rPr>
        <w:t xml:space="preserve"> </w:t>
      </w:r>
      <w:r w:rsidRPr="003529DF" w:rsidR="26A14AD5">
        <w:rPr>
          <w:sz w:val="20"/>
        </w:rPr>
        <w:t xml:space="preserve">were filed on behalf of Telecommunications for the Deaf and Hard of Hearing, Inc., American Association of the DeafBlind, Association of Late-Deafened Adults, Center on Access Technology, Communication Service for the Deaf, Conference of Educational Administrators of Schools and Programs for the Deaf, Deaf Seniors of America, Hearing Loss Association of America, National Association of the Deaf, Northern Virginia Resource Center of Deaf and Hard of Hearing Persons, Registry of Interpreters for the Deaf, and the Rehabilitation Engineering Research Center on Technology for the Deaf </w:t>
      </w:r>
      <w:r w:rsidRPr="001537CF" w:rsidR="26A14AD5">
        <w:rPr>
          <w:sz w:val="20"/>
        </w:rPr>
        <w:t>and Hard of Hearing.</w:t>
      </w:r>
      <w:r w:rsidRPr="009A6AFF" w:rsidR="00C15F8E">
        <w:rPr>
          <w:sz w:val="20"/>
        </w:rPr>
        <w:t xml:space="preserve"> </w:t>
      </w:r>
      <w:r w:rsidR="00597762">
        <w:rPr>
          <w:sz w:val="20"/>
        </w:rPr>
        <w:t xml:space="preserve"> </w:t>
      </w:r>
      <w:r w:rsidRPr="009A6AFF" w:rsidR="00C15F8E">
        <w:rPr>
          <w:sz w:val="20"/>
        </w:rPr>
        <w:t xml:space="preserve">The tentative findings do not address comments on accessibility </w:t>
      </w:r>
      <w:r w:rsidRPr="009A6AFF" w:rsidR="00F0259A">
        <w:rPr>
          <w:sz w:val="20"/>
        </w:rPr>
        <w:t xml:space="preserve">matters </w:t>
      </w:r>
      <w:r w:rsidRPr="009A6AFF" w:rsidR="00C15F8E">
        <w:rPr>
          <w:sz w:val="20"/>
        </w:rPr>
        <w:t xml:space="preserve">that are outside the scope of sections 255, 716, 717, and 718.  </w:t>
      </w:r>
    </w:p>
  </w:footnote>
  <w:footnote w:id="11">
    <w:p w:rsidR="002C0D50" w:rsidRPr="003529DF" w:rsidP="00D62AD4" w14:paraId="0D3B293A" w14:textId="77777777">
      <w:pPr>
        <w:pStyle w:val="FootnoteText"/>
        <w:widowControl w:val="0"/>
      </w:pPr>
      <w:r w:rsidRPr="003529DF">
        <w:rPr>
          <w:rStyle w:val="FootnoteReference"/>
          <w:sz w:val="20"/>
        </w:rPr>
        <w:footnoteRef/>
      </w:r>
      <w:r w:rsidRPr="003529DF">
        <w:t xml:space="preserve"> Senate Report at 1; House Report at 19 (both noting that the communications marketplace had undergone a “fundamental transformation” since Congress adopted section 255 in 1996 and that, in the past, people with disabilities often did not share in the benefits of this rapid technological advancement).</w:t>
      </w:r>
    </w:p>
  </w:footnote>
  <w:footnote w:id="12">
    <w:p w:rsidR="002C0D50" w:rsidRPr="003529DF" w:rsidP="00D62AD4" w14:paraId="31A93CBC" w14:textId="77777777">
      <w:pPr>
        <w:pStyle w:val="FootnoteText"/>
        <w:widowControl w:val="0"/>
      </w:pPr>
      <w:r w:rsidRPr="003529DF">
        <w:rPr>
          <w:rStyle w:val="FootnoteReference"/>
          <w:sz w:val="20"/>
        </w:rPr>
        <w:footnoteRef/>
      </w:r>
      <w:r w:rsidRPr="003529DF">
        <w:t xml:space="preserve"> 47 U.S.C. § 255(b), (c); </w:t>
      </w:r>
      <w:r w:rsidRPr="003529DF">
        <w:rPr>
          <w:i/>
          <w:iCs/>
          <w:color w:val="020202"/>
        </w:rPr>
        <w:t>Implementation of Sections 255 and 251(a)(2) of the Communications Act of 1934, as Enacted by the Telecommunications Act of 1996:  Access to Telecommunications Service, Telecommunications Equipment and Customer Premises Equipment by Persons with Disabilities</w:t>
      </w:r>
      <w:r w:rsidRPr="003529DF">
        <w:rPr>
          <w:color w:val="020202"/>
        </w:rPr>
        <w:t>, Report and Order and Further Notice of Inquiry, 16 FCC Rcd 6417, 6449, para. 77 (1999) (</w:t>
      </w:r>
      <w:r w:rsidRPr="003529DF">
        <w:rPr>
          <w:i/>
          <w:iCs/>
          <w:color w:val="020202"/>
        </w:rPr>
        <w:t>Section 255 Order</w:t>
      </w:r>
      <w:r w:rsidRPr="003529DF">
        <w:rPr>
          <w:color w:val="020202"/>
        </w:rPr>
        <w:t>).  “</w:t>
      </w:r>
      <w:r w:rsidRPr="003529DF">
        <w:t xml:space="preserve">Readily achievable” is defined as “easily accomplishable and able to be carried out without much difficulty or expense.”  42 U.S.C. § 12181(9).  The Act defines telecommunications equipment as “equipment, other than customer premises equipment, used by a carrier to provide telecommunications services, and includes software integral to such equipment (including upgrades).”  47 U.S.C. § 153(52).  It defines “customer premises equipment” as “equipment employed on the premises of a person (other than a carrier) to originate, </w:t>
      </w:r>
      <w:r w:rsidRPr="003529DF">
        <w:t>route</w:t>
      </w:r>
      <w:r w:rsidRPr="003529DF">
        <w:t xml:space="preserve"> or terminate telecommunications.”  47 U.S.C. § 153(16).  Equipment covered under section 255 includes, but is not limited to, telecommunications equipment and CPE, such as wireline, cordless, and wireless telephones, fax machines, and answering machines.  The </w:t>
      </w:r>
      <w:r w:rsidRPr="003529DF">
        <w:rPr>
          <w:i/>
          <w:iCs/>
        </w:rPr>
        <w:t xml:space="preserve">Section 255 Order </w:t>
      </w:r>
      <w:r w:rsidRPr="003529DF">
        <w:t xml:space="preserve">adopted rules requiring that phone features such as telephone calls, call waiting, speed dialing, call forwarding, computer-provided directory assistance, call monitoring, caller identification, call tracing, and repeat dialing be accessible.  </w:t>
      </w:r>
      <w:r w:rsidRPr="003529DF">
        <w:rPr>
          <w:i/>
          <w:iCs/>
        </w:rPr>
        <w:t>Section 255 Order</w:t>
      </w:r>
      <w:r w:rsidRPr="003529DF">
        <w:t xml:space="preserve">, 16 FCC Rcd at 6449 para. 77; 47 CFR Part 6.  In addition, the rules implementing section 255 cover voicemail and interactive voice response systems (phone systems that provide callers with menus of choices). 47 CFR Part 7. </w:t>
      </w:r>
    </w:p>
  </w:footnote>
  <w:footnote w:id="13">
    <w:p w:rsidR="002C0D50" w:rsidRPr="003529DF" w:rsidP="00D62AD4" w14:paraId="448BC7A5" w14:textId="77777777">
      <w:pPr>
        <w:spacing w:after="120"/>
        <w:rPr>
          <w:sz w:val="20"/>
        </w:rPr>
      </w:pPr>
      <w:r w:rsidRPr="003529DF">
        <w:rPr>
          <w:rStyle w:val="FootnoteReference"/>
          <w:sz w:val="20"/>
        </w:rPr>
        <w:footnoteRef/>
      </w:r>
      <w:r w:rsidRPr="003529DF">
        <w:rPr>
          <w:sz w:val="20"/>
        </w:rPr>
        <w:t xml:space="preserve"> 47 U.S.C. § 255(d).</w:t>
      </w:r>
    </w:p>
  </w:footnote>
  <w:footnote w:id="14">
    <w:p w:rsidR="002C0D50" w:rsidRPr="003529DF" w:rsidP="00D62AD4" w14:paraId="4176EC7E" w14:textId="77777777">
      <w:pPr>
        <w:pStyle w:val="FootnoteText"/>
        <w:widowControl w:val="0"/>
      </w:pPr>
      <w:r w:rsidRPr="003529DF">
        <w:rPr>
          <w:rStyle w:val="FootnoteReference"/>
          <w:sz w:val="20"/>
        </w:rPr>
        <w:footnoteRef/>
      </w:r>
      <w:r w:rsidRPr="003529DF">
        <w:t xml:space="preserve"> </w:t>
      </w:r>
      <w:r w:rsidRPr="003529DF">
        <w:rPr>
          <w:i/>
        </w:rPr>
        <w:t>See</w:t>
      </w:r>
      <w:r w:rsidRPr="003529DF">
        <w:t xml:space="preserve"> </w:t>
      </w:r>
      <w:r w:rsidRPr="003529DF">
        <w:rPr>
          <w:i/>
          <w:color w:val="020202"/>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3529DF">
        <w:rPr>
          <w:color w:val="020202"/>
        </w:rPr>
        <w:t>, Report and Order, 22 FCC Rcd 11275 (2007).</w:t>
      </w:r>
    </w:p>
  </w:footnote>
  <w:footnote w:id="15">
    <w:p w:rsidR="002C0D50" w:rsidRPr="003529DF" w:rsidP="00D62AD4" w14:paraId="0A5B78AA" w14:textId="77777777">
      <w:pPr>
        <w:pStyle w:val="FootnoteText"/>
        <w:widowControl w:val="0"/>
      </w:pPr>
      <w:r w:rsidRPr="003529DF">
        <w:rPr>
          <w:rStyle w:val="FootnoteReference"/>
          <w:sz w:val="20"/>
        </w:rPr>
        <w:footnoteRef/>
      </w:r>
      <w:r w:rsidRPr="003529DF">
        <w:t xml:space="preserve"> 47 U.S.C. § 617(a)(1), (b)(1), (g); </w:t>
      </w:r>
      <w:r w:rsidRPr="003529DF">
        <w:rPr>
          <w:color w:val="000000"/>
        </w:rPr>
        <w:t>47 CFR §§ 14.20(a)(1)-(2), 14.10(b)</w:t>
      </w:r>
      <w:r w:rsidRPr="003529DF">
        <w:t xml:space="preserve">.  </w:t>
      </w:r>
    </w:p>
  </w:footnote>
  <w:footnote w:id="16">
    <w:p w:rsidR="002C0D50" w:rsidRPr="003529DF" w:rsidP="00D62AD4" w14:paraId="7230D1E5" w14:textId="77777777">
      <w:pPr>
        <w:pStyle w:val="FootnoteText"/>
        <w:widowControl w:val="0"/>
      </w:pPr>
      <w:r w:rsidRPr="003529DF">
        <w:rPr>
          <w:rStyle w:val="FootnoteReference"/>
          <w:sz w:val="20"/>
        </w:rPr>
        <w:footnoteRef/>
      </w:r>
      <w:r w:rsidRPr="003529DF">
        <w:t xml:space="preserve"> 47 U.S.C. § 153(1); </w:t>
      </w:r>
      <w:r w:rsidRPr="003529DF">
        <w:rPr>
          <w:i/>
        </w:rPr>
        <w:t>see also</w:t>
      </w:r>
      <w:r w:rsidRPr="003529DF">
        <w:t xml:space="preserve"> 47 CFR § 14.10(c).  Section 716 does not apply to services or equipment, including interconnected VoIP services and equipment, which were subject to section 255 on October 7, 2010.  47 U.S.C. § 617(f).  Those services and equipment remain subject to the requirements of section 255.  </w:t>
      </w:r>
      <w:r w:rsidRPr="003529DF">
        <w:rPr>
          <w:i/>
        </w:rPr>
        <w:t>Id.</w:t>
      </w:r>
      <w:r w:rsidRPr="003529DF">
        <w:t xml:space="preserve">  </w:t>
      </w:r>
    </w:p>
  </w:footnote>
  <w:footnote w:id="17">
    <w:p w:rsidR="002C0D50" w:rsidRPr="003529DF" w:rsidP="00D62AD4" w14:paraId="55F12A9D" w14:textId="77777777">
      <w:pPr>
        <w:pStyle w:val="FootnoteText"/>
        <w:widowControl w:val="0"/>
      </w:pPr>
      <w:r w:rsidRPr="003529DF">
        <w:rPr>
          <w:rStyle w:val="FootnoteReference"/>
          <w:sz w:val="20"/>
        </w:rPr>
        <w:footnoteRef/>
      </w:r>
      <w:r w:rsidRPr="003529DF">
        <w:t xml:space="preserve"> </w:t>
      </w:r>
      <w:r w:rsidRPr="003529DF">
        <w:rPr>
          <w:i/>
        </w:rPr>
        <w:t>See</w:t>
      </w:r>
      <w:r w:rsidRPr="003529DF">
        <w:t xml:space="preserve"> 47 U.S.C. § 153(25), 153(36); 47 CFR § 9.3.  </w:t>
      </w:r>
    </w:p>
  </w:footnote>
  <w:footnote w:id="18">
    <w:p w:rsidR="002C0D50" w:rsidRPr="003529DF" w:rsidP="00D62AD4" w14:paraId="1FFC9C95" w14:textId="77777777">
      <w:pPr>
        <w:pStyle w:val="FootnoteText"/>
        <w:widowControl w:val="0"/>
      </w:pPr>
      <w:r w:rsidRPr="003529DF">
        <w:rPr>
          <w:rStyle w:val="FootnoteReference"/>
          <w:sz w:val="20"/>
        </w:rPr>
        <w:footnoteRef/>
      </w:r>
      <w:r w:rsidRPr="003529DF">
        <w:t xml:space="preserve"> 47 U.S.C. § 153(19).  </w:t>
      </w:r>
    </w:p>
  </w:footnote>
  <w:footnote w:id="19">
    <w:p w:rsidR="002C0D50" w:rsidRPr="003529DF" w:rsidP="00D62AD4" w14:paraId="390FC7E9" w14:textId="77777777">
      <w:pPr>
        <w:pStyle w:val="FootnoteText"/>
        <w:widowControl w:val="0"/>
      </w:pPr>
      <w:r w:rsidRPr="003529DF">
        <w:rPr>
          <w:rStyle w:val="FootnoteReference"/>
          <w:sz w:val="20"/>
        </w:rPr>
        <w:footnoteRef/>
      </w:r>
      <w:r w:rsidRPr="003529DF">
        <w:t xml:space="preserve"> 47 U.S.C. § 153(27).</w:t>
      </w:r>
    </w:p>
  </w:footnote>
  <w:footnote w:id="20">
    <w:p w:rsidR="002C0D50" w:rsidRPr="003529DF" w:rsidP="00D62AD4" w14:paraId="2D750FEF" w14:textId="77777777">
      <w:pPr>
        <w:pStyle w:val="FootnoteText"/>
        <w:widowControl w:val="0"/>
      </w:pPr>
      <w:r w:rsidRPr="003529DF">
        <w:rPr>
          <w:rStyle w:val="FootnoteReference"/>
          <w:sz w:val="20"/>
        </w:rPr>
        <w:footnoteRef/>
      </w:r>
      <w:r w:rsidRPr="003529DF">
        <w:t xml:space="preserve"> 47 U.S.C. § 617(a)(2)(A), (b)(2)(A).  </w:t>
      </w:r>
    </w:p>
  </w:footnote>
  <w:footnote w:id="21">
    <w:p w:rsidR="002C0D50" w:rsidRPr="003529DF" w:rsidP="00D62AD4" w14:paraId="7EF118F0" w14:textId="77777777">
      <w:pPr>
        <w:pStyle w:val="FootnoteText"/>
        <w:widowControl w:val="0"/>
      </w:pPr>
      <w:r w:rsidRPr="003529DF">
        <w:rPr>
          <w:rStyle w:val="FootnoteReference"/>
          <w:sz w:val="20"/>
        </w:rPr>
        <w:footnoteRef/>
      </w:r>
      <w:r w:rsidRPr="003529DF">
        <w:t xml:space="preserve"> 47 U.S.C. § 617(a)(2)(B), (b)(2)(B).  </w:t>
      </w:r>
    </w:p>
  </w:footnote>
  <w:footnote w:id="22">
    <w:p w:rsidR="002C0D50" w:rsidRPr="003529DF" w:rsidP="00D62AD4" w14:paraId="0256BC95" w14:textId="77777777">
      <w:pPr>
        <w:pStyle w:val="FootnoteText"/>
        <w:widowControl w:val="0"/>
      </w:pPr>
      <w:r w:rsidRPr="003529DF">
        <w:rPr>
          <w:rStyle w:val="FootnoteReference"/>
          <w:sz w:val="20"/>
        </w:rPr>
        <w:footnoteRef/>
      </w:r>
      <w:r w:rsidRPr="003529DF">
        <w:t xml:space="preserve"> 47 U.S.C. § 617(c).  </w:t>
      </w:r>
    </w:p>
  </w:footnote>
  <w:footnote w:id="23">
    <w:p w:rsidR="002C0D50" w:rsidRPr="003529DF" w:rsidP="00D62AD4" w14:paraId="548D4A50" w14:textId="77777777">
      <w:pPr>
        <w:pStyle w:val="FootnoteText"/>
        <w:widowControl w:val="0"/>
      </w:pPr>
      <w:r w:rsidRPr="003529DF">
        <w:rPr>
          <w:rStyle w:val="FootnoteReference"/>
          <w:sz w:val="20"/>
        </w:rPr>
        <w:footnoteRef/>
      </w:r>
      <w:r w:rsidRPr="003529DF">
        <w:t xml:space="preserve"> 47 U.S.C. § 619(a); 47 CFR § 14.61(a).  </w:t>
      </w:r>
    </w:p>
  </w:footnote>
  <w:footnote w:id="24">
    <w:p w:rsidR="002C0D50" w:rsidRPr="003529DF" w:rsidP="00D62AD4" w14:paraId="4B68C305" w14:textId="77777777">
      <w:pPr>
        <w:pStyle w:val="FootnoteText"/>
        <w:widowControl w:val="0"/>
      </w:pPr>
      <w:r w:rsidRPr="003529DF">
        <w:rPr>
          <w:rStyle w:val="FootnoteReference"/>
          <w:sz w:val="20"/>
        </w:rPr>
        <w:footnoteRef/>
      </w:r>
      <w:r w:rsidRPr="003529DF">
        <w:t xml:space="preserve"> 47 U.S.C. § 619(b); 47 CFR § 14.61(b).</w:t>
      </w:r>
    </w:p>
  </w:footnote>
  <w:footnote w:id="25">
    <w:p w:rsidR="002C0D50" w:rsidRPr="003529DF" w:rsidP="00D62AD4" w14:paraId="0D0E6D23" w14:textId="77777777">
      <w:pPr>
        <w:pStyle w:val="FootnoteText"/>
        <w:rPr>
          <w:i/>
          <w:iCs/>
        </w:rPr>
      </w:pPr>
      <w:r w:rsidRPr="003529DF">
        <w:rPr>
          <w:rStyle w:val="FootnoteReference"/>
          <w:sz w:val="20"/>
        </w:rPr>
        <w:footnoteRef/>
      </w:r>
      <w:r w:rsidRPr="003529DF">
        <w:t xml:space="preserve"> 47 CFR §§ 1.1200 </w:t>
      </w:r>
      <w:r w:rsidRPr="003529DF">
        <w:rPr>
          <w:i/>
          <w:iCs/>
        </w:rPr>
        <w:t>et seq.</w:t>
      </w:r>
    </w:p>
  </w:footnote>
  <w:footnote w:id="26">
    <w:p w:rsidR="002C0D50" w:rsidRPr="003529DF" w:rsidP="00D62AD4" w14:paraId="7D7D94C7" w14:textId="77777777">
      <w:pPr>
        <w:pStyle w:val="FootnoteText"/>
      </w:pPr>
      <w:r w:rsidRPr="003529DF">
        <w:rPr>
          <w:rStyle w:val="FootnoteReference"/>
          <w:sz w:val="20"/>
        </w:rPr>
        <w:footnoteRef/>
      </w:r>
      <w:r w:rsidRPr="003529DF">
        <w:t xml:space="preserve"> 47 CFR §§ 1.415, 1.419.</w:t>
      </w:r>
    </w:p>
  </w:footnote>
  <w:footnote w:id="27">
    <w:p w:rsidR="002C0D50" w:rsidRPr="003529DF" w:rsidP="00D62AD4" w14:paraId="55C197EB" w14:textId="77777777">
      <w:pPr>
        <w:pStyle w:val="FootnoteText"/>
      </w:pPr>
      <w:r w:rsidRPr="003529DF">
        <w:rPr>
          <w:rStyle w:val="FootnoteReference"/>
          <w:sz w:val="20"/>
        </w:rPr>
        <w:footnoteRef/>
      </w:r>
      <w:r w:rsidRPr="003529DF">
        <w:t xml:space="preserve"> </w:t>
      </w:r>
      <w:r w:rsidRPr="003529DF">
        <w:rPr>
          <w:i/>
        </w:rPr>
        <w:t>See Electronic Filing of Documents in Rulemaking Proceedings</w:t>
      </w:r>
      <w:r w:rsidRPr="003529DF">
        <w:t>, 63 FR 24121 (1998).</w:t>
      </w:r>
    </w:p>
  </w:footnote>
  <w:footnote w:id="28">
    <w:p w:rsidR="002C0D50" w:rsidRPr="003529DF" w14:paraId="7EEDF57F" w14:textId="77980C82">
      <w:pPr>
        <w:pStyle w:val="FootnoteText"/>
      </w:pPr>
      <w:r w:rsidRPr="003529DF">
        <w:rPr>
          <w:rStyle w:val="FootnoteReference"/>
          <w:sz w:val="20"/>
        </w:rPr>
        <w:footnoteRef/>
      </w:r>
      <w:r w:rsidRPr="003529DF">
        <w:t xml:space="preserve"> </w:t>
      </w:r>
      <w:r w:rsidRPr="003529DF">
        <w:rPr>
          <w:bCs/>
          <w:i/>
          <w:iCs/>
        </w:rPr>
        <w:t>Consumer and Governmental Affairs Bureau Seeks Comment on the Accessibility of Communications Technologies for the 2020 Biennial Report Required by the Twenty-First Century Communications and Video Accessibility Act</w:t>
      </w:r>
      <w:r w:rsidRPr="003529DF">
        <w:t xml:space="preserve">, CG Docket No. 10-213, Public Notice, </w:t>
      </w:r>
      <w:r w:rsidRPr="003529DF" w:rsidR="00726B52">
        <w:t>DA 22-160 (CGB 2022) (</w:t>
      </w:r>
      <w:r w:rsidRPr="00146DB5" w:rsidR="00726B52">
        <w:rPr>
          <w:i/>
          <w:iCs/>
        </w:rPr>
        <w:t>2022 CVAA Assessment Public Notice</w:t>
      </w:r>
      <w:r w:rsidRPr="003529DF" w:rsidR="00726B52">
        <w:t xml:space="preserve">). </w:t>
      </w:r>
    </w:p>
  </w:footnote>
  <w:footnote w:id="29">
    <w:p w:rsidR="006879F2" w:rsidRPr="003529DF" w:rsidP="006879F2" w14:paraId="34B5D3C2" w14:textId="519FF151">
      <w:pPr>
        <w:pStyle w:val="FootnoteText"/>
      </w:pPr>
      <w:r w:rsidRPr="003529DF">
        <w:rPr>
          <w:rStyle w:val="FootnoteReference"/>
          <w:sz w:val="20"/>
        </w:rPr>
        <w:footnoteRef/>
      </w:r>
      <w:r w:rsidRPr="003529DF">
        <w:t xml:space="preserve"> </w:t>
      </w:r>
      <w:r w:rsidR="000F6FC4">
        <w:t>For i</w:t>
      </w:r>
      <w:r w:rsidR="00F55CF3">
        <w:t xml:space="preserve">nstance, </w:t>
      </w:r>
      <w:r w:rsidR="00275231">
        <w:t xml:space="preserve">CTA states </w:t>
      </w:r>
      <w:r w:rsidR="00A238F6">
        <w:t xml:space="preserve">that </w:t>
      </w:r>
      <w:r w:rsidRPr="003529DF">
        <w:t xml:space="preserve">industry innovations will continue to ensure that “individuals with disabilities can readily access and utilize the wide array of connected consumer technologies.” </w:t>
      </w:r>
      <w:r w:rsidR="00FC43B0">
        <w:t xml:space="preserve"> </w:t>
      </w:r>
      <w:r w:rsidRPr="003529DF">
        <w:t>CTA Comments at 13.</w:t>
      </w:r>
    </w:p>
  </w:footnote>
  <w:footnote w:id="30">
    <w:p w:rsidR="006879F2" w:rsidRPr="003529DF" w:rsidP="006879F2" w14:paraId="09D5715E" w14:textId="185E932D">
      <w:pPr>
        <w:pStyle w:val="FootnoteText"/>
      </w:pPr>
      <w:r w:rsidRPr="003529DF">
        <w:rPr>
          <w:rStyle w:val="FootnoteReference"/>
          <w:sz w:val="20"/>
        </w:rPr>
        <w:footnoteRef/>
      </w:r>
      <w:r w:rsidRPr="003529DF">
        <w:t xml:space="preserve"> </w:t>
      </w:r>
      <w:r w:rsidR="00275231">
        <w:rPr>
          <w:i/>
          <w:iCs/>
        </w:rPr>
        <w:t xml:space="preserve">See, e.g., </w:t>
      </w:r>
      <w:r w:rsidRPr="003529DF">
        <w:t>DHH CAO Comments at 2.  (“The COVID-19 pandemic exacerbated many shortcomings regarding the accessibility of critical communications and various platforms for the deaf, hard of hearing, speech impaired persons, deafblind, and deaf people with other disabilities.”).</w:t>
      </w:r>
    </w:p>
  </w:footnote>
  <w:footnote w:id="31">
    <w:p w:rsidR="002C0D50" w:rsidRPr="003529DF" w14:paraId="3ED10652" w14:textId="77777777">
      <w:pPr>
        <w:pStyle w:val="FootnoteText"/>
      </w:pPr>
      <w:r w:rsidRPr="003529DF">
        <w:rPr>
          <w:rStyle w:val="FootnoteReference"/>
          <w:sz w:val="20"/>
        </w:rPr>
        <w:footnoteRef/>
      </w:r>
      <w:r w:rsidRPr="003529DF">
        <w:t xml:space="preserve"> CTIA Comments at 14 n. 38. (citing Barbara </w:t>
      </w:r>
      <w:r w:rsidRPr="003529DF">
        <w:t>Krasnoff</w:t>
      </w:r>
      <w:r w:rsidRPr="003529DF">
        <w:t xml:space="preserve">, </w:t>
      </w:r>
      <w:r w:rsidRPr="003529DF">
        <w:rPr>
          <w:i/>
          <w:iCs/>
        </w:rPr>
        <w:t>How Android 12 Lets You Control Your Phone with Facial Gestures</w:t>
      </w:r>
      <w:r w:rsidRPr="003529DF">
        <w:t xml:space="preserve">, </w:t>
      </w:r>
      <w:r w:rsidRPr="003529DF" w:rsidR="00CF0123">
        <w:t>The Verge</w:t>
      </w:r>
      <w:r w:rsidRPr="003529DF">
        <w:t xml:space="preserve"> (Feb. 25, 2022), </w:t>
      </w:r>
      <w:hyperlink r:id="rId1" w:history="1">
        <w:r w:rsidRPr="003529DF">
          <w:rPr>
            <w:rStyle w:val="Hyperlink"/>
          </w:rPr>
          <w:t>https://www.theverge.com/22649045/android-12-facial-gestures-accessibility-how-to</w:t>
        </w:r>
      </w:hyperlink>
      <w:r w:rsidRPr="003529DF">
        <w:t xml:space="preserve">; </w:t>
      </w:r>
      <w:r w:rsidRPr="003529DF">
        <w:rPr>
          <w:i/>
        </w:rPr>
        <w:t>Use Camera Switches</w:t>
      </w:r>
      <w:r w:rsidRPr="003529DF">
        <w:t xml:space="preserve">, </w:t>
      </w:r>
      <w:r w:rsidRPr="003529DF" w:rsidR="00CF0123">
        <w:t>Google (last visited Mar. 17, 2022)</w:t>
      </w:r>
      <w:r w:rsidRPr="003529DF" w:rsidR="008B2946">
        <w:t>,</w:t>
      </w:r>
      <w:r w:rsidRPr="003529DF">
        <w:t xml:space="preserve"> </w:t>
      </w:r>
      <w:hyperlink r:id="rId2" w:history="1">
        <w:r w:rsidRPr="003529DF">
          <w:rPr>
            <w:rStyle w:val="Hyperlink"/>
          </w:rPr>
          <w:t>https://support.google.com/accessibility/android/answer/11150722?hl=en</w:t>
        </w:r>
      </w:hyperlink>
      <w:r w:rsidRPr="003529DF" w:rsidR="006A58AB">
        <w:t>)</w:t>
      </w:r>
      <w:r w:rsidRPr="003529DF" w:rsidR="008B2946">
        <w:t>.</w:t>
      </w:r>
      <w:r w:rsidRPr="003529DF">
        <w:t xml:space="preserve"> </w:t>
      </w:r>
      <w:r w:rsidRPr="003529DF" w:rsidR="002B09EF">
        <w:t xml:space="preserve"> </w:t>
      </w:r>
      <w:r w:rsidRPr="003529DF">
        <w:t>AFB states that Talkback Version 9.1 was also released with a gesture learning mode and updated tutorial to help users adapt.  AFB Comments at 2.</w:t>
      </w:r>
      <w:r w:rsidRPr="003529DF">
        <w:tab/>
      </w:r>
    </w:p>
  </w:footnote>
  <w:footnote w:id="32">
    <w:p w:rsidR="002C0D50" w:rsidRPr="003529DF" w14:paraId="73EC53CD" w14:textId="77777777">
      <w:pPr>
        <w:pStyle w:val="FootnoteText"/>
      </w:pPr>
      <w:r w:rsidRPr="003529DF">
        <w:rPr>
          <w:rStyle w:val="FootnoteReference"/>
          <w:sz w:val="20"/>
        </w:rPr>
        <w:footnoteRef/>
      </w:r>
      <w:r w:rsidRPr="003529DF">
        <w:t xml:space="preserve"> CTIA Comments at 14.</w:t>
      </w:r>
    </w:p>
  </w:footnote>
  <w:footnote w:id="33">
    <w:p w:rsidR="002C0D50" w:rsidRPr="003529DF" w14:paraId="4C57D26A" w14:textId="77777777">
      <w:pPr>
        <w:pStyle w:val="FootnoteText"/>
      </w:pPr>
      <w:r w:rsidRPr="003529DF">
        <w:rPr>
          <w:rStyle w:val="FootnoteReference"/>
          <w:sz w:val="20"/>
        </w:rPr>
        <w:footnoteRef/>
      </w:r>
      <w:r w:rsidRPr="003529DF">
        <w:t xml:space="preserve"> CTIA Comments at 14. </w:t>
      </w:r>
    </w:p>
  </w:footnote>
  <w:footnote w:id="34">
    <w:p w:rsidR="002C0D50" w:rsidRPr="003529DF" w14:paraId="602FF88F" w14:textId="77777777">
      <w:pPr>
        <w:pStyle w:val="FootnoteText"/>
      </w:pPr>
      <w:r w:rsidRPr="003529DF">
        <w:rPr>
          <w:rStyle w:val="FootnoteReference"/>
          <w:sz w:val="20"/>
        </w:rPr>
        <w:footnoteRef/>
      </w:r>
      <w:r w:rsidRPr="003529DF">
        <w:t xml:space="preserve"> Look to Speak allows a user to select pre-written phrases using their eyes.  CTIA Comments at 16 n.49 (citing Richard Cave, </w:t>
      </w:r>
      <w:r w:rsidRPr="003529DF">
        <w:rPr>
          <w:i/>
          <w:iCs/>
        </w:rPr>
        <w:t>Look to Speak Helps People Communicate with Their Eyes</w:t>
      </w:r>
      <w:r w:rsidRPr="003529DF">
        <w:t xml:space="preserve">, </w:t>
      </w:r>
      <w:r w:rsidRPr="003529DF" w:rsidR="00C055C8">
        <w:t xml:space="preserve">The Keyword </w:t>
      </w:r>
      <w:r w:rsidRPr="003529DF">
        <w:t xml:space="preserve">(Dec. 8, 2022), </w:t>
      </w:r>
      <w:hyperlink r:id="rId3" w:history="1">
        <w:r w:rsidRPr="003529DF">
          <w:rPr>
            <w:rStyle w:val="Hyperlink"/>
          </w:rPr>
          <w:t>https://blog.google/outreach-initiatives/accessibility/look-to-speak/.</w:t>
        </w:r>
      </w:hyperlink>
    </w:p>
  </w:footnote>
  <w:footnote w:id="35">
    <w:p w:rsidR="002C0D50" w:rsidRPr="003529DF" w14:paraId="2B5F6DCD" w14:textId="77777777">
      <w:pPr>
        <w:pStyle w:val="FootnoteText"/>
      </w:pPr>
      <w:r w:rsidRPr="003529DF">
        <w:rPr>
          <w:rStyle w:val="FootnoteReference"/>
          <w:sz w:val="20"/>
        </w:rPr>
        <w:footnoteRef/>
      </w:r>
      <w:r w:rsidRPr="003529DF">
        <w:t xml:space="preserve"> AFB Comments at 2</w:t>
      </w:r>
      <w:r w:rsidRPr="003529DF" w:rsidR="00D1143C">
        <w:t xml:space="preserve"> (citi</w:t>
      </w:r>
      <w:r w:rsidRPr="003529DF" w:rsidR="00385FD4">
        <w:t xml:space="preserve">ng JJ. </w:t>
      </w:r>
      <w:r w:rsidRPr="003529DF" w:rsidR="00DD223F">
        <w:t>Meddaugh</w:t>
      </w:r>
      <w:r w:rsidRPr="003529DF" w:rsidR="00E10F81">
        <w:t xml:space="preserve">, </w:t>
      </w:r>
      <w:r w:rsidRPr="003529DF" w:rsidR="00D1143C">
        <w:rPr>
          <w:i/>
          <w:iCs/>
        </w:rPr>
        <w:t xml:space="preserve">A New Day for </w:t>
      </w:r>
      <w:r w:rsidRPr="003529DF" w:rsidR="00D1143C">
        <w:rPr>
          <w:i/>
          <w:iCs/>
        </w:rPr>
        <w:t>TalkBack</w:t>
      </w:r>
      <w:r w:rsidRPr="003529DF" w:rsidR="00D1143C">
        <w:t xml:space="preserve">: </w:t>
      </w:r>
      <w:r w:rsidRPr="003529DF" w:rsidR="00D1143C">
        <w:rPr>
          <w:i/>
          <w:iCs/>
        </w:rPr>
        <w:t>Android Screen Reader Gets a Major Update</w:t>
      </w:r>
      <w:r w:rsidRPr="003529DF" w:rsidR="00E10F81">
        <w:t>,</w:t>
      </w:r>
      <w:r w:rsidRPr="003529DF" w:rsidR="00D1143C">
        <w:t xml:space="preserve"> </w:t>
      </w:r>
      <w:r w:rsidRPr="003529DF" w:rsidR="00D1143C">
        <w:t>AccessWorld</w:t>
      </w:r>
      <w:r w:rsidRPr="003529DF" w:rsidR="00E10F81">
        <w:t xml:space="preserve"> (May 2021),</w:t>
      </w:r>
      <w:r w:rsidRPr="003529DF" w:rsidR="00D1143C">
        <w:t xml:space="preserve"> </w:t>
      </w:r>
      <w:hyperlink r:id="rId4" w:history="1">
        <w:r w:rsidRPr="003529DF" w:rsidR="00D97AE3">
          <w:rPr>
            <w:rStyle w:val="Hyperlink"/>
          </w:rPr>
          <w:t>https://afb.org/aw/22/5/17556</w:t>
        </w:r>
      </w:hyperlink>
      <w:r w:rsidRPr="003529DF" w:rsidR="00E10F81">
        <w:t>)</w:t>
      </w:r>
      <w:r w:rsidRPr="003529DF" w:rsidR="00D97AE3">
        <w:t xml:space="preserve">; </w:t>
      </w:r>
      <w:r w:rsidRPr="003529DF" w:rsidR="00D97AE3">
        <w:rPr>
          <w:i/>
          <w:iCs/>
        </w:rPr>
        <w:t xml:space="preserve">see </w:t>
      </w:r>
      <w:r w:rsidRPr="003529DF" w:rsidR="00D97AE3">
        <w:t>id. at 2 (expressing hope that future collaboration between Google and Samsung might produce even higher quality screen readers).</w:t>
      </w:r>
    </w:p>
  </w:footnote>
  <w:footnote w:id="36">
    <w:p w:rsidR="002C0D50" w:rsidRPr="003529DF" w14:paraId="070421E0" w14:textId="77777777">
      <w:pPr>
        <w:pStyle w:val="FootnoteText"/>
      </w:pPr>
      <w:r w:rsidRPr="003529DF">
        <w:rPr>
          <w:rStyle w:val="FootnoteReference"/>
          <w:sz w:val="20"/>
        </w:rPr>
        <w:footnoteRef/>
      </w:r>
      <w:r w:rsidRPr="003529DF">
        <w:t xml:space="preserve"> AFB Comments at 2</w:t>
      </w:r>
      <w:r w:rsidRPr="003529DF" w:rsidR="00147E40">
        <w:t xml:space="preserve"> (stating that </w:t>
      </w:r>
      <w:r w:rsidRPr="003529DF" w:rsidR="00147E40">
        <w:t>BrailleBack</w:t>
      </w:r>
      <w:r w:rsidRPr="003529DF" w:rsidR="00147E40">
        <w:t xml:space="preserve">, an app that supports reading and writing from a </w:t>
      </w:r>
      <w:r w:rsidRPr="003529DF" w:rsidR="00D97AE3">
        <w:t>b</w:t>
      </w:r>
      <w:r w:rsidRPr="003529DF" w:rsidR="00147E40">
        <w:t xml:space="preserve">raille display, does not support all of </w:t>
      </w:r>
      <w:r w:rsidRPr="003529DF" w:rsidR="00147E40">
        <w:t>TalkBack’s</w:t>
      </w:r>
      <w:r w:rsidRPr="003529DF" w:rsidR="00147E40">
        <w:t xml:space="preserve"> new features).</w:t>
      </w:r>
    </w:p>
  </w:footnote>
  <w:footnote w:id="37">
    <w:p w:rsidR="00D87C58" w:rsidRPr="003529DF" w14:paraId="44943E08" w14:textId="77777777">
      <w:pPr>
        <w:pStyle w:val="FootnoteText"/>
      </w:pPr>
      <w:r w:rsidRPr="003529DF">
        <w:rPr>
          <w:rStyle w:val="FootnoteReference"/>
          <w:sz w:val="20"/>
        </w:rPr>
        <w:footnoteRef/>
      </w:r>
      <w:r w:rsidRPr="003529DF">
        <w:t xml:space="preserve"> CACP found, in its 2022 preliminary market survey, </w:t>
      </w:r>
      <w:r w:rsidRPr="003529DF">
        <w:t>a number of</w:t>
      </w:r>
      <w:r w:rsidRPr="003529DF">
        <w:t xml:space="preserve"> accessibility features in current phones.  CACP Reply Comments at 5-10.  According to its survey, CACP identifies 14 accessibility features for people who are blind or visually impaired, 12 accessibility features for people who are deaf or hard of hearing, 14 accessibility features for people with cognitive disabilities, and 17 accessibility features for people with mobility disabilities.  </w:t>
      </w:r>
      <w:r w:rsidRPr="003529DF">
        <w:rPr>
          <w:i/>
          <w:iCs/>
        </w:rPr>
        <w:t>Id.</w:t>
      </w:r>
      <w:r w:rsidRPr="003529DF">
        <w:t xml:space="preserve">  In general, CACP states that a very small percentage of current phone</w:t>
      </w:r>
      <w:r w:rsidRPr="003529DF" w:rsidR="009E22D0">
        <w:t>s</w:t>
      </w:r>
      <w:r w:rsidRPr="003529DF">
        <w:t xml:space="preserve"> contain </w:t>
      </w:r>
      <w:r w:rsidRPr="003529DF">
        <w:t>all of</w:t>
      </w:r>
      <w:r w:rsidRPr="003529DF">
        <w:t xml:space="preserve"> the identified features.  </w:t>
      </w:r>
      <w:r w:rsidRPr="003529DF">
        <w:rPr>
          <w:i/>
          <w:iCs/>
        </w:rPr>
        <w:t>Id.</w:t>
      </w:r>
    </w:p>
  </w:footnote>
  <w:footnote w:id="38">
    <w:p w:rsidR="005F4ECE" w:rsidRPr="003529DF" w14:paraId="061C8077" w14:textId="77777777">
      <w:pPr>
        <w:pStyle w:val="FootnoteText"/>
        <w:rPr>
          <w:i/>
          <w:iCs/>
        </w:rPr>
      </w:pPr>
      <w:r w:rsidRPr="003529DF">
        <w:rPr>
          <w:rStyle w:val="FootnoteReference"/>
          <w:sz w:val="20"/>
        </w:rPr>
        <w:footnoteRef/>
      </w:r>
      <w:r w:rsidRPr="003529DF">
        <w:t xml:space="preserve"> CACP </w:t>
      </w:r>
      <w:r w:rsidRPr="003529DF" w:rsidR="00891FD1">
        <w:t xml:space="preserve">Reply </w:t>
      </w:r>
      <w:r w:rsidRPr="003529DF">
        <w:t>Comments at 5-6 (“[</w:t>
      </w:r>
      <w:r w:rsidRPr="003529DF">
        <w:t>i</w:t>
      </w:r>
      <w:r w:rsidRPr="003529DF">
        <w:t>]</w:t>
      </w:r>
      <w:r w:rsidRPr="003529DF">
        <w:t>ncreasing</w:t>
      </w:r>
      <w:r w:rsidRPr="003529DF">
        <w:t xml:space="preserve"> the presence of the Audible Cue, Braille Display Support, and Haptic Feedback features to be available in more than 50% of phones provided would improve the odds of an individual with vision disabilities finding and purchasing a phone with the appropriate suite of accessibility features for their needs and enjoyment”).</w:t>
      </w:r>
    </w:p>
  </w:footnote>
  <w:footnote w:id="39">
    <w:p w:rsidR="00E51275" w:rsidRPr="003529DF" w14:paraId="0E791A9E" w14:textId="77777777">
      <w:pPr>
        <w:pStyle w:val="FootnoteText"/>
      </w:pPr>
      <w:r w:rsidRPr="003529DF">
        <w:rPr>
          <w:rStyle w:val="FootnoteReference"/>
          <w:sz w:val="20"/>
        </w:rPr>
        <w:footnoteRef/>
      </w:r>
      <w:r w:rsidRPr="003529DF">
        <w:t xml:space="preserve"> </w:t>
      </w:r>
      <w:r w:rsidRPr="003529DF" w:rsidR="00544955">
        <w:t xml:space="preserve">“Feature phones are used with wireless services and include (1) phones used primarily or exclusively for voice communications and (2) phones used for voice communications and text messaging, with little or no computing capabilities.”  </w:t>
      </w:r>
      <w:r w:rsidRPr="003529DF" w:rsidR="00544955">
        <w:rPr>
          <w:i/>
          <w:iCs/>
        </w:rPr>
        <w:t xml:space="preserve">See </w:t>
      </w:r>
      <w:r w:rsidRPr="003529DF" w:rsidR="00544955">
        <w:rPr>
          <w:i/>
        </w:rPr>
        <w:t>Implementation of Sections 716 and 717 of the Communications Act of 1934, as Enacted by the Twenty-First Century Communications and Video Accessibility Act of 2010</w:t>
      </w:r>
      <w:r w:rsidRPr="003529DF" w:rsidR="00544955">
        <w:t xml:space="preserve">, Biennial Report to Congress as Required by the Twenty-First Century Communications and Video Accessibility Act of 2010, </w:t>
      </w:r>
      <w:r w:rsidRPr="003529DF" w:rsidR="00544955">
        <w:rPr>
          <w:snapToGrid w:val="0"/>
        </w:rPr>
        <w:t xml:space="preserve">35 FCC Rcd 11227, 11234 para. 16 </w:t>
      </w:r>
      <w:r w:rsidRPr="003529DF" w:rsidR="00544955">
        <w:t>(2020) (</w:t>
      </w:r>
      <w:r w:rsidRPr="003529DF" w:rsidR="00544955">
        <w:rPr>
          <w:i/>
        </w:rPr>
        <w:t>2020 CVAA Biennial Report</w:t>
      </w:r>
      <w:r w:rsidRPr="003529DF" w:rsidR="00544955">
        <w:t>).</w:t>
      </w:r>
    </w:p>
  </w:footnote>
  <w:footnote w:id="40">
    <w:p w:rsidR="00C72DDC" w:rsidRPr="003529DF" w14:paraId="56FEDA84" w14:textId="212DFE55">
      <w:pPr>
        <w:pStyle w:val="FootnoteText"/>
        <w:rPr>
          <w:color w:val="0000FF"/>
          <w:u w:val="single"/>
        </w:rPr>
      </w:pPr>
      <w:r w:rsidRPr="003529DF">
        <w:rPr>
          <w:rStyle w:val="FootnoteReference"/>
          <w:sz w:val="20"/>
        </w:rPr>
        <w:footnoteRef/>
      </w:r>
      <w:r w:rsidRPr="003529DF">
        <w:t xml:space="preserve"> AFB Comments at 2 </w:t>
      </w:r>
      <w:r w:rsidRPr="003529DF" w:rsidR="008E237A">
        <w:t xml:space="preserve">(noting that </w:t>
      </w:r>
      <w:r w:rsidRPr="003529DF" w:rsidR="00724483">
        <w:t xml:space="preserve">some prefer </w:t>
      </w:r>
      <w:r w:rsidRPr="003529DF" w:rsidR="00A92982">
        <w:t>navigating</w:t>
      </w:r>
      <w:r w:rsidRPr="003529DF" w:rsidR="00724483">
        <w:t xml:space="preserve"> phones with tactile inputs); </w:t>
      </w:r>
      <w:r w:rsidRPr="003529DF" w:rsidR="00724483">
        <w:rPr>
          <w:i/>
          <w:iCs/>
        </w:rPr>
        <w:t xml:space="preserve">see </w:t>
      </w:r>
      <w:r w:rsidRPr="003529DF" w:rsidR="00724483">
        <w:t xml:space="preserve">id. </w:t>
      </w:r>
      <w:r w:rsidRPr="003529DF" w:rsidR="00BF51F9">
        <w:t>(discuss</w:t>
      </w:r>
      <w:r w:rsidRPr="003529DF" w:rsidR="00AD188B">
        <w:t>ing</w:t>
      </w:r>
      <w:r w:rsidRPr="003529DF" w:rsidR="00BF51F9">
        <w:t xml:space="preserve"> the </w:t>
      </w:r>
      <w:r w:rsidRPr="003529DF" w:rsidR="00BF51F9">
        <w:t>BlindShell</w:t>
      </w:r>
      <w:r w:rsidRPr="003529DF" w:rsidR="00BF51F9">
        <w:t xml:space="preserve"> Classic Lite and RAZ Mobility MiniVision2)</w:t>
      </w:r>
      <w:r w:rsidR="002D727F">
        <w:t xml:space="preserve"> (citations omitted).</w:t>
      </w:r>
    </w:p>
  </w:footnote>
  <w:footnote w:id="41">
    <w:p w:rsidR="002C0D50" w:rsidRPr="003529DF" w:rsidP="00615477" w14:paraId="0A11DFDC" w14:textId="77777777">
      <w:pPr>
        <w:pStyle w:val="FootnoteText"/>
      </w:pPr>
      <w:r w:rsidRPr="003529DF">
        <w:rPr>
          <w:rStyle w:val="FootnoteReference"/>
          <w:sz w:val="20"/>
        </w:rPr>
        <w:footnoteRef/>
      </w:r>
      <w:r w:rsidRPr="003529DF">
        <w:t xml:space="preserve"> ACB Comments at 2.</w:t>
      </w:r>
    </w:p>
  </w:footnote>
  <w:footnote w:id="42">
    <w:p w:rsidR="002C0D50" w:rsidRPr="003529DF" w:rsidP="00087F44" w14:paraId="6AC5AF98" w14:textId="77777777">
      <w:pPr>
        <w:pStyle w:val="FootnoteText"/>
      </w:pPr>
      <w:r w:rsidRPr="003529DF">
        <w:rPr>
          <w:rStyle w:val="FootnoteReference"/>
          <w:sz w:val="20"/>
        </w:rPr>
        <w:footnoteRef/>
      </w:r>
      <w:r w:rsidRPr="003529DF">
        <w:t xml:space="preserve"> CTIA Comments at 13 n. 37 (citing </w:t>
      </w:r>
      <w:r w:rsidRPr="003529DF">
        <w:rPr>
          <w:i/>
          <w:iCs/>
        </w:rPr>
        <w:t>Translate Speech to Text with Live Caption</w:t>
      </w:r>
      <w:r w:rsidRPr="003529DF">
        <w:t xml:space="preserve">, </w:t>
      </w:r>
      <w:r w:rsidRPr="003529DF" w:rsidR="0080404E">
        <w:t>Google</w:t>
      </w:r>
      <w:r w:rsidRPr="003529DF" w:rsidR="000A4427">
        <w:t xml:space="preserve"> (last visited Mar. 17, 2022)</w:t>
      </w:r>
      <w:r w:rsidRPr="003529DF">
        <w:t xml:space="preserve">, </w:t>
      </w:r>
      <w:hyperlink r:id="rId5" w:history="1">
        <w:r w:rsidRPr="003529DF">
          <w:rPr>
            <w:rStyle w:val="Hyperlink"/>
          </w:rPr>
          <w:t>https://support.google.com/accessibility/android/answer/9350862?hl=en</w:t>
        </w:r>
      </w:hyperlink>
      <w:r w:rsidRPr="003529DF" w:rsidR="000A4427">
        <w:rPr>
          <w:rStyle w:val="Hyperlink"/>
        </w:rPr>
        <w:t>.</w:t>
      </w:r>
      <w:r w:rsidRPr="003529DF">
        <w:t xml:space="preserve"> </w:t>
      </w:r>
    </w:p>
  </w:footnote>
  <w:footnote w:id="43">
    <w:p w:rsidR="002C0D50" w:rsidRPr="003529DF" w:rsidP="00087F44" w14:paraId="3CEE4EA8" w14:textId="02B03DCA">
      <w:pPr>
        <w:pStyle w:val="FootnoteText"/>
      </w:pPr>
      <w:r w:rsidRPr="003529DF">
        <w:rPr>
          <w:rStyle w:val="FootnoteReference"/>
          <w:sz w:val="20"/>
        </w:rPr>
        <w:footnoteRef/>
      </w:r>
      <w:r w:rsidRPr="003529DF">
        <w:t xml:space="preserve"> The ability to type responses is currently available on Pixel 6 and Pixel 6 Pro only. </w:t>
      </w:r>
      <w:r w:rsidRPr="003529DF" w:rsidR="0AAE952A">
        <w:rPr>
          <w:i/>
          <w:iCs/>
        </w:rPr>
        <w:t>See</w:t>
      </w:r>
      <w:r w:rsidRPr="003529DF" w:rsidR="0AAE952A">
        <w:t xml:space="preserve"> </w:t>
      </w:r>
      <w:r w:rsidRPr="003529DF" w:rsidR="0AAE952A">
        <w:rPr>
          <w:i/>
          <w:iCs/>
        </w:rPr>
        <w:t>Type Responses During A Phone Call</w:t>
      </w:r>
      <w:r w:rsidRPr="003529DF" w:rsidR="0AAE952A">
        <w:t>, Google, (last visited May 2, 2022),</w:t>
      </w:r>
      <w:r w:rsidRPr="003529DF" w:rsidR="0AAE952A">
        <w:rPr>
          <w:i/>
          <w:iCs/>
        </w:rPr>
        <w:t xml:space="preserve"> </w:t>
      </w:r>
      <w:hyperlink r:id="rId6" w:anchor="type_responses_during_call" w:history="1">
        <w:r w:rsidRPr="00B47843" w:rsidR="00821923">
          <w:rPr>
            <w:rStyle w:val="Hyperlink"/>
          </w:rPr>
          <w:t>https://support.google.com/accessibility/android/answer/9350862#type_responses_during_call</w:t>
        </w:r>
      </w:hyperlink>
      <w:r w:rsidR="00821923">
        <w:t xml:space="preserve">.  </w:t>
      </w:r>
    </w:p>
  </w:footnote>
  <w:footnote w:id="44">
    <w:p w:rsidR="002C0D50" w:rsidRPr="003529DF" w:rsidP="00087F44" w14:paraId="1D4C675D" w14:textId="77777777">
      <w:pPr>
        <w:pStyle w:val="FootnoteText"/>
      </w:pPr>
      <w:r w:rsidRPr="003529DF">
        <w:rPr>
          <w:rStyle w:val="FootnoteReference"/>
          <w:sz w:val="20"/>
        </w:rPr>
        <w:footnoteRef/>
      </w:r>
      <w:r w:rsidRPr="003529DF">
        <w:t xml:space="preserve">  CTIA Comments at 13.</w:t>
      </w:r>
    </w:p>
  </w:footnote>
  <w:footnote w:id="45">
    <w:p w:rsidR="002C0D50" w:rsidRPr="003529DF" w14:paraId="17261695" w14:textId="64943EA7">
      <w:pPr>
        <w:pStyle w:val="FootnoteText"/>
      </w:pPr>
      <w:r w:rsidRPr="003529DF">
        <w:rPr>
          <w:rStyle w:val="FootnoteReference"/>
          <w:sz w:val="20"/>
        </w:rPr>
        <w:footnoteRef/>
      </w:r>
      <w:r w:rsidRPr="003529DF">
        <w:t xml:space="preserve"> ACB Comments at 2 (“Many smart speakers and smart home appliances, like thermostats, video-capable doorbells, and home appliances allow for quick set-up and control using a smartphone or Internet-connected mobile device. However, these products lack built-in out-of-the-box accessibility native to their own hardware, and instead, rely on the accessibility suite of a consumer’s mobile device.”); </w:t>
      </w:r>
      <w:r w:rsidRPr="003529DF" w:rsidR="00340A8C">
        <w:t>DHH CAO</w:t>
      </w:r>
      <w:r w:rsidRPr="003529DF">
        <w:t xml:space="preserve"> Comments at 8.</w:t>
      </w:r>
    </w:p>
  </w:footnote>
  <w:footnote w:id="46">
    <w:p w:rsidR="002C0D50" w:rsidRPr="003529DF" w14:paraId="2B3D03A8" w14:textId="237C33D3">
      <w:pPr>
        <w:pStyle w:val="FootnoteText"/>
      </w:pPr>
      <w:r w:rsidRPr="003529DF">
        <w:rPr>
          <w:rStyle w:val="FootnoteReference"/>
          <w:sz w:val="20"/>
        </w:rPr>
        <w:footnoteRef/>
      </w:r>
      <w:r w:rsidRPr="003529DF">
        <w:t xml:space="preserve"> </w:t>
      </w:r>
      <w:r w:rsidRPr="003529DF" w:rsidR="00340A8C">
        <w:t>DHH CAO</w:t>
      </w:r>
      <w:r w:rsidRPr="003529DF">
        <w:t xml:space="preserve"> Comments at 8 (stating that smart devices do not always have a screen interface, text interface, or braille reader interface for people who are deaf, hard of hearing</w:t>
      </w:r>
      <w:r w:rsidRPr="003529DF" w:rsidR="00AC2C37">
        <w:t>,</w:t>
      </w:r>
      <w:r w:rsidRPr="003529DF">
        <w:t xml:space="preserve"> or deafblind).  </w:t>
      </w:r>
    </w:p>
  </w:footnote>
  <w:footnote w:id="47">
    <w:p w:rsidR="002C0D50" w:rsidRPr="003529DF" w:rsidP="00D62AD4" w14:paraId="585FA16A" w14:textId="24138908">
      <w:pPr>
        <w:pStyle w:val="FootnoteText"/>
      </w:pPr>
      <w:r w:rsidRPr="003529DF">
        <w:rPr>
          <w:rStyle w:val="FootnoteReference"/>
          <w:sz w:val="20"/>
        </w:rPr>
        <w:footnoteRef/>
      </w:r>
      <w:r w:rsidRPr="003529DF">
        <w:t xml:space="preserve"> CTIA Comments at 15 (citing </w:t>
      </w:r>
      <w:r w:rsidRPr="003529DF">
        <w:rPr>
          <w:i/>
          <w:iCs/>
        </w:rPr>
        <w:t xml:space="preserve">Use </w:t>
      </w:r>
      <w:r w:rsidRPr="003529DF">
        <w:rPr>
          <w:i/>
          <w:iCs/>
        </w:rPr>
        <w:t>HomePod</w:t>
      </w:r>
      <w:r w:rsidRPr="003529DF">
        <w:rPr>
          <w:i/>
          <w:iCs/>
        </w:rPr>
        <w:t xml:space="preserve"> Mini or </w:t>
      </w:r>
      <w:r w:rsidRPr="003529DF">
        <w:rPr>
          <w:i/>
          <w:iCs/>
        </w:rPr>
        <w:t>HomePod</w:t>
      </w:r>
      <w:r w:rsidRPr="003529DF">
        <w:rPr>
          <w:i/>
          <w:iCs/>
        </w:rPr>
        <w:t xml:space="preserve"> </w:t>
      </w:r>
      <w:r w:rsidRPr="003529DF" w:rsidR="00957B96">
        <w:rPr>
          <w:i/>
          <w:iCs/>
        </w:rPr>
        <w:t>as</w:t>
      </w:r>
      <w:r w:rsidRPr="003529DF">
        <w:rPr>
          <w:i/>
          <w:iCs/>
        </w:rPr>
        <w:t xml:space="preserve"> An Intercom</w:t>
      </w:r>
      <w:r w:rsidRPr="003529DF" w:rsidR="00DC08E5">
        <w:t>, Apple</w:t>
      </w:r>
      <w:r w:rsidRPr="003529DF" w:rsidR="00DC08E5">
        <w:rPr>
          <w:i/>
          <w:iCs/>
        </w:rPr>
        <w:t xml:space="preserve"> </w:t>
      </w:r>
      <w:r w:rsidRPr="003529DF" w:rsidR="00DC08E5">
        <w:t>(</w:t>
      </w:r>
      <w:r w:rsidRPr="003529DF" w:rsidR="002B09EF">
        <w:t>Nov</w:t>
      </w:r>
      <w:r w:rsidRPr="003529DF" w:rsidR="00DC08E5">
        <w:t xml:space="preserve">. </w:t>
      </w:r>
      <w:r w:rsidRPr="003529DF" w:rsidR="002B09EF">
        <w:t>9</w:t>
      </w:r>
      <w:r w:rsidRPr="003529DF" w:rsidR="00DC08E5">
        <w:t>, 202</w:t>
      </w:r>
      <w:r w:rsidRPr="003529DF" w:rsidR="002B09EF">
        <w:t>1</w:t>
      </w:r>
      <w:r w:rsidRPr="003529DF" w:rsidR="00DC08E5">
        <w:t>)</w:t>
      </w:r>
      <w:r w:rsidRPr="003529DF">
        <w:t xml:space="preserve">, </w:t>
      </w:r>
      <w:hyperlink r:id="rId7" w:history="1">
        <w:r w:rsidRPr="003529DF">
          <w:rPr>
            <w:rStyle w:val="Hyperlink"/>
          </w:rPr>
          <w:t>https://support.apple.com/en-us/HT206149</w:t>
        </w:r>
      </w:hyperlink>
      <w:r w:rsidRPr="003529DF">
        <w:t>)</w:t>
      </w:r>
      <w:r w:rsidRPr="003529DF" w:rsidR="00781A97">
        <w:t>.</w:t>
      </w:r>
    </w:p>
  </w:footnote>
  <w:footnote w:id="48">
    <w:p w:rsidR="002C0D50" w:rsidRPr="003529DF" w14:paraId="67C04A5A" w14:textId="77777777">
      <w:pPr>
        <w:pStyle w:val="FootnoteText"/>
      </w:pPr>
      <w:r w:rsidRPr="003529DF">
        <w:rPr>
          <w:rStyle w:val="FootnoteReference"/>
          <w:sz w:val="20"/>
        </w:rPr>
        <w:footnoteRef/>
      </w:r>
      <w:r w:rsidRPr="003529DF">
        <w:t xml:space="preserve"> CTIA Comments at 15.</w:t>
      </w:r>
    </w:p>
  </w:footnote>
  <w:footnote w:id="49">
    <w:p w:rsidR="002C0D50" w:rsidRPr="003529DF" w:rsidP="00D62AD4" w14:paraId="04EF2DF0" w14:textId="77777777">
      <w:pPr>
        <w:pStyle w:val="FootnoteText"/>
      </w:pPr>
      <w:r w:rsidRPr="003529DF">
        <w:rPr>
          <w:rStyle w:val="FootnoteReference"/>
          <w:rFonts w:eastAsia="TimesNewRoman" w:cs="TimesNewRoman"/>
          <w:sz w:val="20"/>
        </w:rPr>
        <w:footnoteRef/>
      </w:r>
      <w:r w:rsidRPr="003529DF">
        <w:rPr>
          <w:rFonts w:eastAsia="TimesNewRoman" w:cs="TimesNewRoman"/>
        </w:rPr>
        <w:t xml:space="preserve"> 47 U.S.C. §§ 255, 617, 619.</w:t>
      </w:r>
    </w:p>
  </w:footnote>
  <w:footnote w:id="50">
    <w:p w:rsidR="002C0D50" w:rsidRPr="003529DF" w:rsidP="00D62AD4" w14:paraId="66C2005D" w14:textId="77777777">
      <w:pPr>
        <w:pStyle w:val="FootnoteText"/>
      </w:pPr>
      <w:r w:rsidRPr="003529DF">
        <w:rPr>
          <w:rStyle w:val="FootnoteReference"/>
          <w:rFonts w:eastAsia="TimesNewRoman" w:cs="TimesNewRoman"/>
          <w:sz w:val="20"/>
        </w:rPr>
        <w:footnoteRef/>
      </w:r>
      <w:r w:rsidRPr="003529DF">
        <w:rPr>
          <w:rFonts w:eastAsia="TimesNewRoman" w:cs="TimesNewRoman"/>
        </w:rPr>
        <w:t xml:space="preserve"> </w:t>
      </w:r>
      <w:r w:rsidRPr="003529DF">
        <w:rPr>
          <w:rFonts w:eastAsia="TimesNewRoman" w:cs="TimesNewRoman"/>
          <w:i/>
        </w:rPr>
        <w:t xml:space="preserve">See </w:t>
      </w:r>
      <w:r w:rsidRPr="003529DF">
        <w:rPr>
          <w:rFonts w:eastAsia="TimesNewRoman" w:cs="TimesNewRoman"/>
        </w:rPr>
        <w:t xml:space="preserve">47 CFR §§ 6.3(l), 7.3(l), 14.21(c); </w:t>
      </w:r>
      <w:r w:rsidRPr="003529DF">
        <w:rPr>
          <w:rFonts w:eastAsia="TimesNewRoman" w:cs="TimesNewRoman"/>
          <w:i/>
        </w:rPr>
        <w:t xml:space="preserve">see also </w:t>
      </w:r>
      <w:r w:rsidRPr="003529DF">
        <w:rPr>
          <w:rFonts w:eastAsia="TimesNewRoman" w:cs="TimesNewRoman"/>
        </w:rPr>
        <w:t>47 CFR §§ 6.11, 7.11, 14.20(d), 14.60(b)(4).</w:t>
      </w:r>
    </w:p>
  </w:footnote>
  <w:footnote w:id="51">
    <w:p w:rsidR="00D55659" w:rsidRPr="003529DF" w14:paraId="3B94E81F" w14:textId="71E44E72">
      <w:pPr>
        <w:pStyle w:val="FootnoteText"/>
      </w:pPr>
      <w:r w:rsidRPr="003529DF">
        <w:rPr>
          <w:rStyle w:val="FootnoteReference"/>
          <w:sz w:val="20"/>
        </w:rPr>
        <w:footnoteRef/>
      </w:r>
      <w:r w:rsidRPr="003529DF">
        <w:t xml:space="preserve"> </w:t>
      </w:r>
      <w:r w:rsidRPr="003529DF" w:rsidR="00340A8C">
        <w:t>DHH CAO</w:t>
      </w:r>
      <w:r w:rsidRPr="003529DF" w:rsidR="00D87C58">
        <w:t xml:space="preserve"> Comments at 8.</w:t>
      </w:r>
    </w:p>
  </w:footnote>
  <w:footnote w:id="52">
    <w:p w:rsidR="002C0D50" w:rsidRPr="003529DF" w14:paraId="5A99BC29" w14:textId="77777777">
      <w:pPr>
        <w:pStyle w:val="FootnoteText"/>
      </w:pPr>
      <w:r w:rsidRPr="003529DF">
        <w:rPr>
          <w:rStyle w:val="FootnoteReference"/>
          <w:sz w:val="20"/>
        </w:rPr>
        <w:footnoteRef/>
      </w:r>
      <w:r w:rsidRPr="003529DF">
        <w:t xml:space="preserve"> CTIA Comments at 29 (stating that the wireless industry focuses on implementing “internal policies that help foster a culture of diversity and inclusion that also helps drive advancements in wireless accessibility”).</w:t>
      </w:r>
    </w:p>
  </w:footnote>
  <w:footnote w:id="53">
    <w:p w:rsidR="002C0D50" w:rsidRPr="003529DF" w14:paraId="56D454FF" w14:textId="77777777">
      <w:pPr>
        <w:pStyle w:val="FootnoteText"/>
      </w:pPr>
      <w:r w:rsidRPr="003529DF">
        <w:rPr>
          <w:rStyle w:val="FootnoteReference"/>
          <w:sz w:val="20"/>
        </w:rPr>
        <w:footnoteRef/>
      </w:r>
      <w:r w:rsidRPr="003529DF">
        <w:t xml:space="preserve"> CTIA Comments at 29.</w:t>
      </w:r>
    </w:p>
  </w:footnote>
  <w:footnote w:id="54">
    <w:p w:rsidR="002C0D50" w:rsidRPr="003529DF" w:rsidP="00D62AD4" w14:paraId="2ACDAE41" w14:textId="77777777">
      <w:pPr>
        <w:pStyle w:val="FootnoteText"/>
      </w:pPr>
      <w:r w:rsidRPr="003529DF">
        <w:rPr>
          <w:rStyle w:val="FootnoteReference"/>
          <w:sz w:val="20"/>
        </w:rPr>
        <w:footnoteRef/>
      </w:r>
      <w:r w:rsidRPr="003529DF">
        <w:t xml:space="preserve"> CTA Comments at 2; CTIA Comments at 29.  CTA and CES showcase current innovations in accessibility technology.  CTA Comments at 5 n.23 (citing Debra </w:t>
      </w:r>
      <w:r w:rsidRPr="003529DF">
        <w:t>Berlyn</w:t>
      </w:r>
      <w:r w:rsidRPr="003529DF">
        <w:t xml:space="preserve">, </w:t>
      </w:r>
      <w:r w:rsidRPr="003529DF">
        <w:rPr>
          <w:i/>
          <w:iCs/>
        </w:rPr>
        <w:t>What’s New in 2022 for Aging and Tech?</w:t>
      </w:r>
      <w:r w:rsidRPr="003529DF">
        <w:t xml:space="preserve">, Broadband Breakfast (Jan. 24, 2022), </w:t>
      </w:r>
      <w:hyperlink r:id="rId8" w:history="1">
        <w:r w:rsidRPr="003529DF">
          <w:rPr>
            <w:rStyle w:val="Hyperlink"/>
          </w:rPr>
          <w:t>https://broadbandbreakfast.com/2022/01/debra-berlyn-whats-new-in-2022-for-aging-and-tech/</w:t>
        </w:r>
      </w:hyperlink>
      <w:r w:rsidRPr="003529DF">
        <w:t xml:space="preserve">).  </w:t>
      </w:r>
    </w:p>
  </w:footnote>
  <w:footnote w:id="55">
    <w:p w:rsidR="002C0D50" w:rsidRPr="003529DF" w14:paraId="2FA2B181" w14:textId="77777777">
      <w:pPr>
        <w:pStyle w:val="FootnoteText"/>
      </w:pPr>
      <w:r w:rsidRPr="003529DF">
        <w:rPr>
          <w:rStyle w:val="FootnoteReference"/>
          <w:sz w:val="20"/>
        </w:rPr>
        <w:footnoteRef/>
      </w:r>
      <w:r w:rsidRPr="003529DF">
        <w:t xml:space="preserve"> CTIA Comments at 28 (stating that the GARI tool allows users to search and compare devices and apps).  </w:t>
      </w:r>
    </w:p>
  </w:footnote>
  <w:footnote w:id="56">
    <w:p w:rsidR="002C0D50" w:rsidRPr="003529DF" w14:paraId="0F807D0E" w14:textId="77777777">
      <w:pPr>
        <w:pStyle w:val="FootnoteText"/>
      </w:pPr>
      <w:r w:rsidRPr="003529DF">
        <w:rPr>
          <w:rStyle w:val="FootnoteReference"/>
          <w:sz w:val="20"/>
        </w:rPr>
        <w:footnoteRef/>
      </w:r>
      <w:r w:rsidRPr="003529DF">
        <w:t xml:space="preserve"> CTIA Comments at 28.</w:t>
      </w:r>
    </w:p>
  </w:footnote>
  <w:footnote w:id="57">
    <w:p w:rsidR="002C0D50" w:rsidRPr="003529DF" w14:paraId="4F4A37BC" w14:textId="77777777">
      <w:pPr>
        <w:pStyle w:val="FootnoteText"/>
      </w:pPr>
      <w:r w:rsidRPr="003529DF">
        <w:rPr>
          <w:rStyle w:val="FootnoteReference"/>
          <w:sz w:val="20"/>
        </w:rPr>
        <w:footnoteRef/>
      </w:r>
      <w:r w:rsidRPr="003529DF">
        <w:t xml:space="preserve"> ACB Comments at 3.</w:t>
      </w:r>
    </w:p>
  </w:footnote>
  <w:footnote w:id="58">
    <w:p w:rsidR="002C0D50" w:rsidRPr="003529DF" w:rsidP="00D62AD4" w14:paraId="6D49033B" w14:textId="77777777">
      <w:pPr>
        <w:pStyle w:val="FootnoteText"/>
      </w:pPr>
      <w:r w:rsidRPr="003529DF">
        <w:rPr>
          <w:rStyle w:val="FootnoteReference"/>
          <w:sz w:val="20"/>
        </w:rPr>
        <w:footnoteRef/>
      </w:r>
      <w:r w:rsidRPr="003529DF">
        <w:t xml:space="preserve"> ACB Comments at 3 (</w:t>
      </w:r>
      <w:r w:rsidRPr="003529DF" w:rsidR="00421438">
        <w:t>stating that some companies are</w:t>
      </w:r>
      <w:r w:rsidRPr="003529DF">
        <w:t xml:space="preserve"> not filing required annual certifications in the FCC’s Recordkeeping Compliance Certification and Contact Information Registry “RCCCI database”).  The purpose of the registry is to “enable entities that are required to comply with Sections 255, 716, 717, and 718 of the Communications Act and the Commission's rules implementing those sections to submit their </w:t>
      </w:r>
      <w:r w:rsidRPr="003529DF" w:rsidR="00421438">
        <w:t xml:space="preserve">. . . </w:t>
      </w:r>
      <w:r w:rsidRPr="003529DF">
        <w:t xml:space="preserve">contact information.”  </w:t>
      </w:r>
      <w:r w:rsidRPr="003529DF">
        <w:rPr>
          <w:i/>
          <w:iCs/>
        </w:rPr>
        <w:t xml:space="preserve">See </w:t>
      </w:r>
      <w:r w:rsidRPr="003529DF">
        <w:t xml:space="preserve">Recordkeeping Compliance Certification and Contact Information Registry, </w:t>
      </w:r>
      <w:hyperlink r:id="rId9" w:history="1">
        <w:r w:rsidRPr="003529DF">
          <w:rPr>
            <w:rStyle w:val="Hyperlink"/>
          </w:rPr>
          <w:t>https://apps.fcc.gov/rccci-registry/login!input.action</w:t>
        </w:r>
      </w:hyperlink>
      <w:r w:rsidRPr="003529DF">
        <w:t>.</w:t>
      </w:r>
    </w:p>
  </w:footnote>
  <w:footnote w:id="59">
    <w:p w:rsidR="002C0D50" w:rsidRPr="003529DF" w:rsidP="00D62AD4" w14:paraId="250DE9C4" w14:textId="77777777">
      <w:pPr>
        <w:pStyle w:val="FootnoteText"/>
      </w:pPr>
      <w:r w:rsidRPr="003529DF">
        <w:rPr>
          <w:rStyle w:val="FootnoteReference"/>
          <w:sz w:val="20"/>
        </w:rPr>
        <w:footnoteRef/>
      </w:r>
      <w:r w:rsidRPr="003529DF">
        <w:t xml:space="preserve"> CTIA Comments at 4 (stating that industry incorporates accessibility into the fundamental design of their products </w:t>
      </w:r>
      <w:r w:rsidRPr="003529DF" w:rsidR="00D860AD">
        <w:t>and seeks input from</w:t>
      </w:r>
      <w:r w:rsidRPr="003529DF">
        <w:t xml:space="preserve"> the disability community at all stages of development, including market research, testing and trials, and deployment).</w:t>
      </w:r>
    </w:p>
  </w:footnote>
  <w:footnote w:id="60">
    <w:p w:rsidR="002C0D50" w:rsidRPr="003529DF" w14:paraId="21CDDD72" w14:textId="77777777">
      <w:pPr>
        <w:pStyle w:val="FootnoteText"/>
      </w:pPr>
      <w:r w:rsidRPr="003529DF">
        <w:rPr>
          <w:rStyle w:val="FootnoteReference"/>
          <w:sz w:val="20"/>
        </w:rPr>
        <w:footnoteRef/>
      </w:r>
      <w:r w:rsidRPr="003529DF">
        <w:t xml:space="preserve"> CTIA and CTA play principal roles in the joint hearing aid compatibility task force (HAC Task Force), the FCC’s Disability Advisory Committee (DAC)</w:t>
      </w:r>
      <w:r w:rsidRPr="003529DF" w:rsidR="00421438">
        <w:t>,</w:t>
      </w:r>
      <w:r w:rsidRPr="003529DF">
        <w:t xml:space="preserve"> and Consumer Advisory Committee (CAC).  CTA Comments at 7; CTIA Comments at 23.  CTIA is also a member of the North American Numbering Council (NANC) Interoperable Video Calling Working Group.  CTIA Comments at 23.</w:t>
      </w:r>
      <w:r w:rsidRPr="003529DF" w:rsidR="00C65693">
        <w:t xml:space="preserve"> </w:t>
      </w:r>
      <w:r w:rsidRPr="003529DF">
        <w:t xml:space="preserve"> CTIA members also maintain direct contact with the accessibility community through their design and development activities.  CTIA Comments at 23.  </w:t>
      </w:r>
    </w:p>
  </w:footnote>
  <w:footnote w:id="61">
    <w:p w:rsidR="002C0D50" w:rsidRPr="003529DF" w14:paraId="71B51EB3" w14:textId="77777777">
      <w:pPr>
        <w:pStyle w:val="FootnoteText"/>
      </w:pPr>
      <w:r w:rsidRPr="003529DF">
        <w:rPr>
          <w:rStyle w:val="FootnoteReference"/>
          <w:sz w:val="20"/>
        </w:rPr>
        <w:footnoteRef/>
      </w:r>
      <w:r w:rsidRPr="003529DF">
        <w:t xml:space="preserve"> </w:t>
      </w:r>
      <w:r w:rsidRPr="003529DF" w:rsidR="00810D2B">
        <w:t xml:space="preserve">At </w:t>
      </w:r>
      <w:r w:rsidRPr="003529DF">
        <w:t xml:space="preserve">CES, CTA sponsors a group of Accessibility Leaders to learn about and provide feedback on showcased new technologies.  CTA Comments at 8 n.22 (citing ACB Advocacy Update, </w:t>
      </w:r>
      <w:r w:rsidRPr="003529DF">
        <w:rPr>
          <w:i/>
          <w:iCs/>
        </w:rPr>
        <w:t>Accessible Tech at the Consumer Electronics Show</w:t>
      </w:r>
      <w:r w:rsidRPr="003529DF">
        <w:t xml:space="preserve"> (Jan. </w:t>
      </w:r>
      <w:r w:rsidRPr="003529DF" w:rsidR="0AAE952A">
        <w:t xml:space="preserve">21, 2022), citing </w:t>
      </w:r>
      <w:hyperlink r:id="rId10" w:history="1">
        <w:r w:rsidRPr="003529DF" w:rsidR="0AAE952A">
          <w:rPr>
            <w:rStyle w:val="Hyperlink"/>
          </w:rPr>
          <w:t>https://acb-advocacy-update.pinecast.co/episode/9577ab33/accessible-tech-at-the-consumer-electronics-show</w:t>
        </w:r>
      </w:hyperlink>
      <w:r w:rsidRPr="003529DF" w:rsidR="0AAE952A">
        <w:t>).</w:t>
      </w:r>
    </w:p>
  </w:footnote>
  <w:footnote w:id="62">
    <w:p w:rsidR="002C0D50" w:rsidRPr="003529DF" w:rsidP="00D62AD4" w14:paraId="4C67B363" w14:textId="2DAA4B6C">
      <w:pPr>
        <w:pStyle w:val="FootnoteText"/>
        <w:spacing w:before="240"/>
      </w:pPr>
      <w:r w:rsidRPr="003529DF">
        <w:rPr>
          <w:rStyle w:val="FootnoteReference"/>
          <w:sz w:val="20"/>
        </w:rPr>
        <w:footnoteRef/>
      </w:r>
      <w:r w:rsidRPr="003529DF">
        <w:t xml:space="preserve"> CTA states that its committees and members are working on hearing-aid standards, audio interfaces for consumer electronics, and intelligent mobility for people who are deaf, hard of hearing and deafblind.</w:t>
      </w:r>
      <w:r w:rsidRPr="003529DF" w:rsidR="00C65693">
        <w:t xml:space="preserve"> </w:t>
      </w:r>
      <w:r w:rsidRPr="003529DF">
        <w:t xml:space="preserve"> CTA Comments at 6-7 (citing </w:t>
      </w:r>
      <w:r w:rsidRPr="003529DF">
        <w:rPr>
          <w:i/>
          <w:iCs/>
        </w:rPr>
        <w:t>Status of Active Consumer Technology Association Projects, CTA-2051-A: Personal Sound Amplification Performance Criteria</w:t>
      </w:r>
      <w:r w:rsidRPr="003529DF" w:rsidR="0AAE952A">
        <w:rPr>
          <w:i/>
          <w:iCs/>
        </w:rPr>
        <w:t xml:space="preserve">, </w:t>
      </w:r>
      <w:r w:rsidRPr="003529DF" w:rsidR="0AAE952A">
        <w:t>Consumer Technology Association</w:t>
      </w:r>
      <w:r w:rsidRPr="003529DF">
        <w:t xml:space="preserve"> (last </w:t>
      </w:r>
      <w:r w:rsidRPr="003529DF" w:rsidR="003209F9">
        <w:t xml:space="preserve">visited May </w:t>
      </w:r>
      <w:r w:rsidRPr="003529DF" w:rsidR="002D7D40">
        <w:t>2</w:t>
      </w:r>
      <w:r w:rsidRPr="003529DF">
        <w:t xml:space="preserve">, 2022), </w:t>
      </w:r>
      <w:hyperlink r:id="rId11" w:history="1">
        <w:r w:rsidRPr="003529DF">
          <w:rPr>
            <w:rStyle w:val="Hyperlink"/>
          </w:rPr>
          <w:t>https://standards.cta.tech/kwspub/current_projects/</w:t>
        </w:r>
      </w:hyperlink>
      <w:r w:rsidRPr="003529DF">
        <w:t xml:space="preserve">; </w:t>
      </w:r>
      <w:r w:rsidRPr="003529DF">
        <w:rPr>
          <w:i/>
          <w:iCs/>
        </w:rPr>
        <w:t>Status of Active Consumer Technology Association Projects, CTA-CEB27-A: Recommended Practice for Audio Accessibility of Audiovisual Devices</w:t>
      </w:r>
      <w:r w:rsidRPr="003529DF" w:rsidR="0AAE952A">
        <w:rPr>
          <w:i/>
          <w:iCs/>
        </w:rPr>
        <w:t xml:space="preserve">, </w:t>
      </w:r>
      <w:r w:rsidRPr="003529DF" w:rsidR="0AAE952A">
        <w:t>Consumer Technology Association</w:t>
      </w:r>
      <w:r w:rsidRPr="003529DF">
        <w:t xml:space="preserve"> (last </w:t>
      </w:r>
      <w:r w:rsidRPr="003529DF" w:rsidR="002D7D40">
        <w:t xml:space="preserve">visited </w:t>
      </w:r>
      <w:r w:rsidRPr="003529DF">
        <w:t xml:space="preserve">Mar. 29, 2022), </w:t>
      </w:r>
      <w:hyperlink r:id="rId11" w:history="1">
        <w:r w:rsidRPr="003529DF">
          <w:rPr>
            <w:rStyle w:val="Hyperlink"/>
          </w:rPr>
          <w:t>https://standards.cta.tech/kwspub/current_projects/</w:t>
        </w:r>
      </w:hyperlink>
      <w:r w:rsidRPr="003529DF">
        <w:t xml:space="preserve">;  </w:t>
      </w:r>
      <w:r w:rsidRPr="003529DF">
        <w:rPr>
          <w:i/>
          <w:iCs/>
        </w:rPr>
        <w:t>Status of Active Consumer Technology Association Projects, ANSI/CTA-2076.2: Indoor Network Navigation Systems for People who are Deaf, Hard of Hearing and DeafBlind</w:t>
      </w:r>
      <w:r w:rsidRPr="003529DF" w:rsidR="0AAE952A">
        <w:rPr>
          <w:i/>
          <w:iCs/>
        </w:rPr>
        <w:t xml:space="preserve">, </w:t>
      </w:r>
      <w:r w:rsidRPr="003529DF" w:rsidR="0AAE952A">
        <w:t>Consumer Technology Association</w:t>
      </w:r>
      <w:r w:rsidRPr="003529DF">
        <w:t xml:space="preserve"> (last</w:t>
      </w:r>
      <w:r w:rsidRPr="003529DF" w:rsidR="003209F9">
        <w:t xml:space="preserve"> vis</w:t>
      </w:r>
      <w:r w:rsidRPr="003529DF" w:rsidR="002D7D40">
        <w:t>i</w:t>
      </w:r>
      <w:r w:rsidRPr="003529DF" w:rsidR="003209F9">
        <w:t>ted May 2,</w:t>
      </w:r>
      <w:r w:rsidRPr="003529DF">
        <w:t xml:space="preserve"> 2022), </w:t>
      </w:r>
      <w:hyperlink r:id="rId12" w:history="1">
        <w:r w:rsidRPr="003529DF">
          <w:rPr>
            <w:rStyle w:val="Hyperlink"/>
          </w:rPr>
          <w:t>https://standards.cta.tech/kwspub/current_projects</w:t>
        </w:r>
      </w:hyperlink>
      <w:r w:rsidRPr="003529DF" w:rsidR="00915031">
        <w:rPr>
          <w:rStyle w:val="Hyperlink"/>
        </w:rPr>
        <w:t>)</w:t>
      </w:r>
      <w:r w:rsidRPr="003529DF">
        <w:t>.</w:t>
      </w:r>
    </w:p>
  </w:footnote>
  <w:footnote w:id="63">
    <w:p w:rsidR="004800FC" w:rsidRPr="00EA13C3" w14:paraId="665A5944" w14:textId="2925E1F6">
      <w:pPr>
        <w:pStyle w:val="FootnoteText"/>
        <w:rPr>
          <w:i/>
        </w:rPr>
      </w:pPr>
      <w:r>
        <w:rPr>
          <w:rStyle w:val="FootnoteReference"/>
        </w:rPr>
        <w:footnoteRef/>
      </w:r>
      <w:r>
        <w:t xml:space="preserve"> </w:t>
      </w:r>
      <w:r w:rsidR="002D63CA">
        <w:t xml:space="preserve">Commenters also raise concerns about the lack of </w:t>
      </w:r>
      <w:r w:rsidRPr="00EA13C3" w:rsidR="336153B9">
        <w:t xml:space="preserve">equal </w:t>
      </w:r>
      <w:r w:rsidRPr="00EA13C3" w:rsidR="478BB513">
        <w:t xml:space="preserve">access to </w:t>
      </w:r>
      <w:r w:rsidR="002D63CA">
        <w:t xml:space="preserve">911 </w:t>
      </w:r>
      <w:r w:rsidRPr="00EA13C3" w:rsidR="478BB513">
        <w:t xml:space="preserve">emergency services </w:t>
      </w:r>
      <w:r w:rsidR="002D63CA">
        <w:t xml:space="preserve">when using TTY and VRS to contact </w:t>
      </w:r>
      <w:r w:rsidRPr="00EA13C3" w:rsidR="478BB513">
        <w:t xml:space="preserve">appropriate emergency service centers.  </w:t>
      </w:r>
      <w:r w:rsidRPr="00EA13C3" w:rsidR="3A0ED790">
        <w:rPr>
          <w:i/>
          <w:iCs/>
        </w:rPr>
        <w:t xml:space="preserve">See </w:t>
      </w:r>
      <w:r w:rsidRPr="00EA13C3" w:rsidR="3A0ED790">
        <w:t xml:space="preserve">DHH CAO Comments at </w:t>
      </w:r>
      <w:r w:rsidRPr="00EA13C3" w:rsidR="729BC6B4">
        <w:t>4-5.</w:t>
      </w:r>
    </w:p>
  </w:footnote>
  <w:footnote w:id="64">
    <w:p w:rsidR="0072654D" w:rsidRPr="003529DF" w:rsidP="0072654D" w14:paraId="2982190B" w14:textId="678202B3">
      <w:pPr>
        <w:pStyle w:val="FootnoteText"/>
      </w:pPr>
      <w:r w:rsidRPr="003529DF">
        <w:rPr>
          <w:rStyle w:val="FootnoteReference"/>
          <w:sz w:val="20"/>
        </w:rPr>
        <w:footnoteRef/>
      </w:r>
      <w:r w:rsidRPr="003529DF">
        <w:t xml:space="preserve"> ACB urges the Commission to define interoperable video communications services to be a covered advanced communications service</w:t>
      </w:r>
      <w:r>
        <w:t>.</w:t>
      </w:r>
      <w:r w:rsidRPr="003529DF">
        <w:t xml:space="preserve"> ACB Comments at 2-3.  We note that this question is the subject of a pending rulemaking.  </w:t>
      </w:r>
      <w:r w:rsidRPr="003529DF">
        <w:rPr>
          <w:i/>
          <w:iCs/>
        </w:rPr>
        <w:t>See Consumer and Governmental Affairs Bureau Seeks to Refresh the Record on Interoperable Video Conferencing Services</w:t>
      </w:r>
      <w:r w:rsidRPr="003529DF">
        <w:t>, CG Docket No. 10-213, Public Notice, DA</w:t>
      </w:r>
      <w:r w:rsidR="00C50AC8">
        <w:t xml:space="preserve"> </w:t>
      </w:r>
      <w:r w:rsidRPr="003529DF">
        <w:t xml:space="preserve">22-463 (Apr. 27, 2022), </w:t>
      </w:r>
      <w:hyperlink r:id="rId13" w:history="1">
        <w:r w:rsidRPr="003529DF">
          <w:rPr>
            <w:rStyle w:val="Hyperlink"/>
          </w:rPr>
          <w:t>https://www.fcc.gov/document/pn-refresh-record-re-interoperable-video-conferencing</w:t>
        </w:r>
      </w:hyperlink>
      <w:r w:rsidRPr="003529DF">
        <w:t xml:space="preserve">.  </w:t>
      </w:r>
    </w:p>
  </w:footnote>
  <w:footnote w:id="65">
    <w:p w:rsidR="002C0D50" w:rsidRPr="003529DF" w14:paraId="27992799" w14:textId="0C69FFDD">
      <w:pPr>
        <w:pStyle w:val="FootnoteText"/>
      </w:pPr>
      <w:r w:rsidRPr="003529DF">
        <w:rPr>
          <w:rStyle w:val="FootnoteReference"/>
          <w:sz w:val="20"/>
        </w:rPr>
        <w:footnoteRef/>
      </w:r>
      <w:r w:rsidRPr="003529DF" w:rsidR="0AAE952A">
        <w:t xml:space="preserve"> </w:t>
      </w:r>
      <w:r w:rsidRPr="003529DF">
        <w:t>AFB Comments at 3-5 (accessibility impacted</w:t>
      </w:r>
      <w:r w:rsidR="00EC5B97">
        <w:t xml:space="preserve"> remote</w:t>
      </w:r>
      <w:r w:rsidRPr="003529DF">
        <w:t xml:space="preserve"> student learning due to inadequate resources for children and teachers); AFB Comments at 3 (stating that inaccessible access </w:t>
      </w:r>
      <w:r w:rsidR="007045CF">
        <w:t xml:space="preserve">to </w:t>
      </w:r>
      <w:r w:rsidRPr="003529DF" w:rsidR="00726B52">
        <w:t>a service’s</w:t>
      </w:r>
      <w:r w:rsidRPr="003529DF">
        <w:t xml:space="preserve"> chat </w:t>
      </w:r>
      <w:r w:rsidRPr="003529DF" w:rsidR="00726B52">
        <w:t xml:space="preserve">feature impeded </w:t>
      </w:r>
      <w:r w:rsidRPr="003529DF">
        <w:t>the ability of people who are blind or visually impaired to communicate privately with their healthcare providers); CTA Comments at 2-3 (“In 2021, roughly 80 percent of technology industry leaders strongly agreed that employees benefited from this hybrid work environment.”) (citing Consumer Technology Association</w:t>
      </w:r>
      <w:r w:rsidRPr="003529DF" w:rsidR="003E0687">
        <w:t xml:space="preserve"> Member Survey</w:t>
      </w:r>
      <w:r w:rsidRPr="003529DF">
        <w:t xml:space="preserve">, </w:t>
      </w:r>
      <w:r w:rsidRPr="003529DF">
        <w:rPr>
          <w:i/>
          <w:iCs/>
        </w:rPr>
        <w:t>Future of Work: 2021</w:t>
      </w:r>
      <w:r w:rsidRPr="003529DF" w:rsidR="00292D5D">
        <w:t>,</w:t>
      </w:r>
      <w:r w:rsidRPr="003529DF">
        <w:t xml:space="preserve"> at 8 (Oct. 2021), </w:t>
      </w:r>
      <w:hyperlink r:id="rId14" w:history="1">
        <w:r w:rsidRPr="003529DF">
          <w:rPr>
            <w:rStyle w:val="Hyperlink"/>
          </w:rPr>
          <w:t>https://shop.cta.tech/collections/research/products/future-of-work-2021-cta-member-survey?_ga=2.618 50028.1006895257.1647959185-462461571.1643999452</w:t>
        </w:r>
      </w:hyperlink>
      <w:r w:rsidRPr="003529DF">
        <w:t xml:space="preserve">); </w:t>
      </w:r>
      <w:r w:rsidRPr="003529DF" w:rsidR="00340A8C">
        <w:t>DHH CAO</w:t>
      </w:r>
      <w:r w:rsidRPr="003529DF">
        <w:t xml:space="preserve"> Comments at 2 (“Video conferencing platforms have become a major tool during the pandemic due to the shift to working from home, but these platforms also are plagued by ineffective captions.”).</w:t>
      </w:r>
    </w:p>
  </w:footnote>
  <w:footnote w:id="66">
    <w:p w:rsidR="002C0D50" w:rsidRPr="003529DF" w14:paraId="3990EBD4" w14:textId="77777777">
      <w:pPr>
        <w:pStyle w:val="FootnoteText"/>
      </w:pPr>
      <w:r w:rsidRPr="003529DF">
        <w:rPr>
          <w:rStyle w:val="FootnoteReference"/>
          <w:sz w:val="20"/>
        </w:rPr>
        <w:footnoteRef/>
      </w:r>
      <w:r w:rsidRPr="003529DF">
        <w:t xml:space="preserve"> CTIA Comments at 16 (citing </w:t>
      </w:r>
      <w:r w:rsidRPr="003529DF">
        <w:rPr>
          <w:i/>
          <w:iCs/>
        </w:rPr>
        <w:t>Zoom is bringing automatic closed captions to all free accounts</w:t>
      </w:r>
      <w:r w:rsidRPr="003529DF">
        <w:t>, CNET (Feb. 25, 2021), https://www.cnet.com/tech/services-and-software/zoom-is-bringing-automatic-closed-captions-to-all-free-accounts; Abrar Al-</w:t>
      </w:r>
      <w:r w:rsidRPr="003529DF">
        <w:t>Heeti</w:t>
      </w:r>
      <w:r w:rsidRPr="003529DF">
        <w:t xml:space="preserve">, </w:t>
      </w:r>
      <w:r w:rsidRPr="003529DF">
        <w:rPr>
          <w:i/>
          <w:iCs/>
        </w:rPr>
        <w:t xml:space="preserve">Android updates </w:t>
      </w:r>
      <w:r w:rsidRPr="003529DF">
        <w:rPr>
          <w:i/>
          <w:iCs/>
        </w:rPr>
        <w:t>TalkBack</w:t>
      </w:r>
      <w:r w:rsidRPr="003529DF">
        <w:rPr>
          <w:i/>
          <w:iCs/>
        </w:rPr>
        <w:t xml:space="preserve"> screen reader with new voice commands, language options</w:t>
      </w:r>
      <w:r w:rsidRPr="003529DF">
        <w:t xml:space="preserve">, CNET (Feb. 23, 2021), </w:t>
      </w:r>
      <w:hyperlink r:id="rId15" w:history="1">
        <w:r w:rsidRPr="003529DF">
          <w:rPr>
            <w:rStyle w:val="Hyperlink"/>
          </w:rPr>
          <w:t>https://www.cnet.com/tech/tech-industry/android-updates-talkback-screen-reader-with-new-voice-commands-language-options</w:t>
        </w:r>
      </w:hyperlink>
      <w:r w:rsidRPr="003529DF">
        <w:t xml:space="preserve">); CTA Comments at 4 (“Americans have come to rely on innovative technology for their everyday lives. From remote video conferencing to telehealth, we have embraced technology like never before. The next generation of innovation can also help prepare communities for the next public health emergency.”). </w:t>
      </w:r>
    </w:p>
  </w:footnote>
  <w:footnote w:id="67">
    <w:p w:rsidR="0005702A" w:rsidRPr="003529DF" w:rsidP="0005702A" w14:paraId="75C1966F" w14:textId="77777777">
      <w:pPr>
        <w:pStyle w:val="FootnoteText"/>
      </w:pPr>
      <w:r w:rsidRPr="003529DF">
        <w:rPr>
          <w:rStyle w:val="FootnoteReference"/>
          <w:sz w:val="20"/>
        </w:rPr>
        <w:footnoteRef/>
      </w:r>
      <w:r w:rsidRPr="003529DF">
        <w:t xml:space="preserve"> CTIA Comments at 16.</w:t>
      </w:r>
    </w:p>
  </w:footnote>
  <w:footnote w:id="68">
    <w:p w:rsidR="0005702A" w:rsidRPr="003529DF" w:rsidP="0005702A" w14:paraId="1EB51ECE" w14:textId="77777777">
      <w:pPr>
        <w:pStyle w:val="FootnoteText"/>
      </w:pPr>
      <w:r w:rsidRPr="003529DF">
        <w:rPr>
          <w:rStyle w:val="FootnoteReference"/>
          <w:sz w:val="20"/>
        </w:rPr>
        <w:footnoteRef/>
      </w:r>
      <w:r w:rsidRPr="003529DF">
        <w:t xml:space="preserve"> CTIA Comments at 13 (“When a participant speaks (verbally or by using sign language) or you tap [their] tile, that tile moves to the front and becomes more prominent.”) (citing </w:t>
      </w:r>
      <w:r w:rsidRPr="003529DF">
        <w:rPr>
          <w:i/>
          <w:iCs/>
        </w:rPr>
        <w:t>Make a Group FaceTime Call on iPhone</w:t>
      </w:r>
      <w:r w:rsidRPr="003529DF">
        <w:t xml:space="preserve">, Apple (last visited Mar. 17, 2022), </w:t>
      </w:r>
      <w:hyperlink r:id="rId16" w:history="1">
        <w:r w:rsidRPr="003529DF">
          <w:rPr>
            <w:rStyle w:val="Hyperlink"/>
          </w:rPr>
          <w:t>https://support.apple.com/en-za/guide/iphone/iph405ab67de/14.0/ios/14.0</w:t>
        </w:r>
      </w:hyperlink>
      <w:r w:rsidRPr="003529DF">
        <w:t xml:space="preserve">).  </w:t>
      </w:r>
    </w:p>
  </w:footnote>
  <w:footnote w:id="69">
    <w:p w:rsidR="0005702A" w:rsidRPr="003529DF" w:rsidP="0005702A" w14:paraId="256B8FB1" w14:textId="77777777">
      <w:pPr>
        <w:pStyle w:val="FootnoteText"/>
      </w:pPr>
      <w:r w:rsidRPr="003529DF">
        <w:rPr>
          <w:rStyle w:val="FootnoteReference"/>
          <w:sz w:val="20"/>
        </w:rPr>
        <w:footnoteRef/>
      </w:r>
      <w:r w:rsidRPr="003529DF">
        <w:t xml:space="preserve"> CTA Comments at 3.</w:t>
      </w:r>
    </w:p>
  </w:footnote>
  <w:footnote w:id="70">
    <w:p w:rsidR="002C0D50" w:rsidRPr="003529DF" w14:paraId="1DFC394B" w14:textId="578552DA">
      <w:pPr>
        <w:pStyle w:val="FootnoteText"/>
      </w:pPr>
      <w:r w:rsidRPr="003529DF">
        <w:rPr>
          <w:rStyle w:val="FootnoteReference"/>
          <w:sz w:val="20"/>
        </w:rPr>
        <w:footnoteRef/>
      </w:r>
      <w:r w:rsidRPr="003529DF">
        <w:t xml:space="preserve"> </w:t>
      </w:r>
      <w:r w:rsidRPr="003529DF" w:rsidR="00340A8C">
        <w:t>DHH CAO</w:t>
      </w:r>
      <w:r w:rsidRPr="003529DF">
        <w:t xml:space="preserve"> Comments at 9-10.</w:t>
      </w:r>
    </w:p>
  </w:footnote>
  <w:footnote w:id="71">
    <w:p w:rsidR="002C0D50" w:rsidRPr="003529DF" w14:paraId="702EC5DD" w14:textId="310B76FA">
      <w:pPr>
        <w:pStyle w:val="FootnoteText"/>
      </w:pPr>
      <w:r w:rsidRPr="003529DF">
        <w:rPr>
          <w:rStyle w:val="FootnoteReference"/>
          <w:sz w:val="20"/>
        </w:rPr>
        <w:footnoteRef/>
      </w:r>
      <w:r w:rsidRPr="003529DF">
        <w:t xml:space="preserve"> </w:t>
      </w:r>
      <w:r w:rsidRPr="003529DF" w:rsidR="00340A8C">
        <w:t>DHH CAO</w:t>
      </w:r>
      <w:r w:rsidRPr="003529DF">
        <w:t xml:space="preserve"> Comments at 10 (citing Christina Claus, </w:t>
      </w:r>
      <w:r w:rsidRPr="003529DF">
        <w:rPr>
          <w:i/>
          <w:iCs/>
        </w:rPr>
        <w:t>How to Mitigate Accessibility &amp; Digital Inclusion Obstacles for the Deaf Community</w:t>
      </w:r>
      <w:r w:rsidRPr="003529DF">
        <w:t xml:space="preserve">, </w:t>
      </w:r>
      <w:r w:rsidRPr="003529DF" w:rsidR="00D15AE0">
        <w:t>Inclusion Hub</w:t>
      </w:r>
      <w:r w:rsidRPr="003529DF">
        <w:t xml:space="preserve"> (Mar. 29, 2022), </w:t>
      </w:r>
      <w:hyperlink r:id="rId17" w:history="1">
        <w:r w:rsidRPr="003529DF">
          <w:rPr>
            <w:rStyle w:val="Hyperlink"/>
          </w:rPr>
          <w:t>https://www.inclusionhub.com/articles/mitigate-obstacles-for-deaf-community</w:t>
        </w:r>
      </w:hyperlink>
      <w:r w:rsidRPr="003529DF">
        <w:t>).</w:t>
      </w:r>
    </w:p>
  </w:footnote>
  <w:footnote w:id="72">
    <w:p w:rsidR="002C0D50" w:rsidRPr="003529DF" w14:paraId="4D69A466" w14:textId="26632C7E">
      <w:pPr>
        <w:pStyle w:val="FootnoteText"/>
      </w:pPr>
      <w:r w:rsidRPr="003529DF">
        <w:rPr>
          <w:rStyle w:val="FootnoteReference"/>
          <w:sz w:val="20"/>
        </w:rPr>
        <w:footnoteRef/>
      </w:r>
      <w:r w:rsidRPr="003529DF">
        <w:t xml:space="preserve"> </w:t>
      </w:r>
      <w:r w:rsidRPr="003529DF" w:rsidR="00340A8C">
        <w:t>DHH CAO</w:t>
      </w:r>
      <w:r w:rsidRPr="003529DF">
        <w:t xml:space="preserve"> Comments at 9 n.21 (Mark Ray, </w:t>
      </w:r>
      <w:r w:rsidRPr="003529DF">
        <w:rPr>
          <w:i/>
          <w:iCs/>
        </w:rPr>
        <w:t>Why Remote Work Can Be Hard For Hard-Of-Hearing People</w:t>
      </w:r>
      <w:r w:rsidRPr="003529DF">
        <w:t xml:space="preserve">, </w:t>
      </w:r>
      <w:r w:rsidRPr="003529DF" w:rsidR="00D15AE0">
        <w:t>Forbes</w:t>
      </w:r>
      <w:r w:rsidRPr="003529DF">
        <w:t xml:space="preserve"> (Mar. </w:t>
      </w:r>
      <w:r w:rsidRPr="003529DF" w:rsidR="0AAE952A">
        <w:t xml:space="preserve">29, 2022), </w:t>
      </w:r>
      <w:hyperlink r:id="rId18" w:history="1">
        <w:r w:rsidRPr="003529DF" w:rsidR="0AAE952A">
          <w:rPr>
            <w:rStyle w:val="Hyperlink"/>
          </w:rPr>
          <w:t>https://www.forbes.com/sites/nextavenue/2021/09/02/why-remote-work-can-be-hard-for-hard-of-hearing-people/?sh=76a3d4c46d71</w:t>
        </w:r>
      </w:hyperlink>
      <w:r w:rsidRPr="003529DF" w:rsidR="0AAE952A">
        <w:t>).</w:t>
      </w:r>
    </w:p>
  </w:footnote>
  <w:footnote w:id="73">
    <w:p w:rsidR="002C0D50" w:rsidRPr="003529DF" w14:paraId="6DA7AC56" w14:textId="77777777">
      <w:pPr>
        <w:pStyle w:val="FootnoteText"/>
      </w:pPr>
      <w:r w:rsidRPr="003529DF">
        <w:rPr>
          <w:rStyle w:val="FootnoteReference"/>
          <w:sz w:val="20"/>
        </w:rPr>
        <w:footnoteRef/>
      </w:r>
      <w:r w:rsidRPr="003529DF">
        <w:t xml:space="preserve"> AFB Comments at 3, 5</w:t>
      </w:r>
      <w:r w:rsidRPr="003529DF" w:rsidR="00F556AF">
        <w:t>.</w:t>
      </w:r>
    </w:p>
  </w:footnote>
  <w:footnote w:id="74">
    <w:p w:rsidR="002C0D50" w:rsidRPr="003529DF" w14:paraId="2A4ACD11" w14:textId="60885347">
      <w:pPr>
        <w:pStyle w:val="FootnoteText"/>
      </w:pPr>
      <w:r w:rsidRPr="003529DF">
        <w:rPr>
          <w:rStyle w:val="FootnoteReference"/>
          <w:sz w:val="20"/>
        </w:rPr>
        <w:footnoteRef/>
      </w:r>
      <w:r w:rsidRPr="003529DF">
        <w:t xml:space="preserve"> </w:t>
      </w:r>
      <w:r w:rsidRPr="003529DF" w:rsidR="00887A78">
        <w:t>AFB Comments at 3</w:t>
      </w:r>
      <w:r w:rsidR="00887A78">
        <w:t xml:space="preserve"> (stating that </w:t>
      </w:r>
      <w:r w:rsidRPr="59D05614" w:rsidR="00887A78">
        <w:t>WebEx’s chat feature was difficult or impossible to use and that, in Teams, screen readers cannot find the last chat message in the chat screen</w:t>
      </w:r>
      <w:r w:rsidR="00887A78">
        <w:t xml:space="preserve">); </w:t>
      </w:r>
      <w:r w:rsidR="00887A78">
        <w:rPr>
          <w:i/>
          <w:iCs/>
        </w:rPr>
        <w:t xml:space="preserve">see </w:t>
      </w:r>
      <w:r w:rsidR="00887A78">
        <w:t>id. (</w:t>
      </w:r>
      <w:r w:rsidRPr="59D05614" w:rsidR="00887A78">
        <w:t>stati</w:t>
      </w:r>
      <w:r w:rsidR="00887A78">
        <w:t>ng</w:t>
      </w:r>
      <w:r w:rsidRPr="59D05614" w:rsidR="00887A78">
        <w:t xml:space="preserve"> that many screen readers cannot use the desktop version of Slac</w:t>
      </w:r>
      <w:r w:rsidR="00887A78">
        <w:t>k).</w:t>
      </w:r>
    </w:p>
  </w:footnote>
  <w:footnote w:id="75">
    <w:p w:rsidR="00736817" w:rsidRPr="003529DF" w14:paraId="3DAC3CCF" w14:textId="77777777">
      <w:pPr>
        <w:pStyle w:val="FootnoteText"/>
      </w:pPr>
      <w:r w:rsidRPr="003529DF">
        <w:rPr>
          <w:rStyle w:val="FootnoteReference"/>
          <w:sz w:val="20"/>
        </w:rPr>
        <w:footnoteRef/>
      </w:r>
      <w:r w:rsidRPr="003529DF">
        <w:t xml:space="preserve"> </w:t>
      </w:r>
      <w:bookmarkStart w:id="6" w:name="_Hlk102304247"/>
      <w:r w:rsidRPr="003529DF">
        <w:t>AFB Comments at 3.</w:t>
      </w:r>
      <w:bookmarkEnd w:id="6"/>
    </w:p>
  </w:footnote>
  <w:footnote w:id="76">
    <w:p w:rsidR="00736817" w:rsidRPr="003529DF" w:rsidP="003529DF" w14:paraId="13A5A0A1" w14:textId="0BA72679">
      <w:pPr>
        <w:spacing w:after="120"/>
        <w:rPr>
          <w:sz w:val="20"/>
        </w:rPr>
      </w:pPr>
      <w:r w:rsidRPr="003529DF">
        <w:rPr>
          <w:rStyle w:val="FootnoteReference"/>
          <w:sz w:val="20"/>
        </w:rPr>
        <w:footnoteRef/>
      </w:r>
      <w:r w:rsidRPr="003529DF">
        <w:rPr>
          <w:sz w:val="20"/>
        </w:rPr>
        <w:t xml:space="preserve"> AFB Comments at 3.</w:t>
      </w:r>
      <w:r w:rsidRPr="003529DF" w:rsidR="00B022D3">
        <w:rPr>
          <w:sz w:val="20"/>
        </w:rPr>
        <w:t xml:space="preserve">  The verbosity setting affects the amount of spoken feedback the application will provide when you are using the program.</w:t>
      </w:r>
      <w:r w:rsidRPr="003529DF" w:rsidR="00BF47AD">
        <w:rPr>
          <w:sz w:val="20"/>
        </w:rPr>
        <w:t xml:space="preserve">  </w:t>
      </w:r>
      <w:r w:rsidRPr="003529DF" w:rsidR="00BD47F0">
        <w:rPr>
          <w:i/>
          <w:iCs/>
          <w:color w:val="000000"/>
          <w:sz w:val="20"/>
          <w:shd w:val="clear" w:color="auto" w:fill="FFFFFF"/>
        </w:rPr>
        <w:t>See, e.g.</w:t>
      </w:r>
      <w:r w:rsidRPr="003529DF" w:rsidR="00BD47F0">
        <w:rPr>
          <w:color w:val="000000"/>
          <w:sz w:val="20"/>
          <w:shd w:val="clear" w:color="auto" w:fill="FFFFFF"/>
        </w:rPr>
        <w:t>, Apple, </w:t>
      </w:r>
      <w:r w:rsidRPr="003529DF" w:rsidR="00BD47F0">
        <w:rPr>
          <w:i/>
          <w:iCs/>
          <w:color w:val="000000"/>
          <w:spacing w:val="2"/>
          <w:sz w:val="20"/>
          <w:shd w:val="clear" w:color="auto" w:fill="FFFFFF"/>
        </w:rPr>
        <w:t>Change your VoiceOver settings on iPhone</w:t>
      </w:r>
      <w:r w:rsidRPr="003529DF" w:rsidR="00BD47F0">
        <w:rPr>
          <w:color w:val="000000"/>
          <w:spacing w:val="2"/>
          <w:sz w:val="20"/>
          <w:shd w:val="clear" w:color="auto" w:fill="FFFFFF"/>
        </w:rPr>
        <w:t>, </w:t>
      </w:r>
      <w:hyperlink r:id="rId19" w:tgtFrame="_blank" w:history="1">
        <w:r w:rsidRPr="003529DF" w:rsidR="00BD47F0">
          <w:rPr>
            <w:rStyle w:val="Hyperlink"/>
            <w:sz w:val="20"/>
            <w:shd w:val="clear" w:color="auto" w:fill="FFFFFF"/>
          </w:rPr>
          <w:t>https://support.apple.com/guide/iphone/iphfa3d32c50</w:t>
        </w:r>
      </w:hyperlink>
      <w:r w:rsidRPr="003529DF" w:rsidR="00BD47F0">
        <w:rPr>
          <w:color w:val="000000"/>
          <w:spacing w:val="2"/>
          <w:sz w:val="20"/>
          <w:shd w:val="clear" w:color="auto" w:fill="FFFFFF"/>
        </w:rPr>
        <w:t> (last visited May 6, 2022).</w:t>
      </w:r>
    </w:p>
  </w:footnote>
  <w:footnote w:id="77">
    <w:p w:rsidR="002C0D50" w:rsidRPr="003529DF" w:rsidP="003529DF" w14:paraId="540FEFEB" w14:textId="77777777">
      <w:pPr>
        <w:pStyle w:val="FootnoteText"/>
      </w:pPr>
      <w:r w:rsidRPr="003529DF">
        <w:rPr>
          <w:rStyle w:val="FootnoteReference"/>
          <w:sz w:val="20"/>
        </w:rPr>
        <w:footnoteRef/>
      </w:r>
      <w:r w:rsidRPr="003529DF">
        <w:t xml:space="preserve"> AFB Comments at 3.</w:t>
      </w:r>
    </w:p>
  </w:footnote>
  <w:footnote w:id="78">
    <w:p w:rsidR="0029719E" w14:paraId="5081DAB5" w14:textId="230BD9EC">
      <w:pPr>
        <w:pStyle w:val="FootnoteText"/>
      </w:pPr>
      <w:r>
        <w:rPr>
          <w:rStyle w:val="FootnoteReference"/>
        </w:rPr>
        <w:footnoteRef/>
      </w:r>
      <w:r>
        <w:t xml:space="preserve"> AFB Comments at 3-4</w:t>
      </w:r>
      <w:r w:rsidR="00865CCB">
        <w:t xml:space="preserve"> (noting that work collaboration tools include video conferencing, voice calls, and chat)</w:t>
      </w:r>
      <w:r>
        <w:t>.</w:t>
      </w:r>
    </w:p>
  </w:footnote>
  <w:footnote w:id="79">
    <w:p w:rsidR="00AE4A4C" w14:paraId="3FCF54B4" w14:textId="610B6A19">
      <w:pPr>
        <w:pStyle w:val="FootnoteText"/>
      </w:pPr>
      <w:r>
        <w:rPr>
          <w:rStyle w:val="FootnoteReference"/>
        </w:rPr>
        <w:footnoteRef/>
      </w:r>
      <w:r>
        <w:t xml:space="preserve"> AFB Comments at 4.</w:t>
      </w:r>
    </w:p>
  </w:footnote>
  <w:footnote w:id="80">
    <w:p w:rsidR="002C0D50" w:rsidRPr="003529DF" w14:paraId="32E71EB6" w14:textId="06836949">
      <w:pPr>
        <w:pStyle w:val="FootnoteText"/>
      </w:pPr>
      <w:r w:rsidRPr="003529DF">
        <w:rPr>
          <w:rStyle w:val="FootnoteReference"/>
          <w:sz w:val="20"/>
        </w:rPr>
        <w:footnoteRef/>
      </w:r>
      <w:r w:rsidRPr="003529DF">
        <w:t xml:space="preserve"> </w:t>
      </w:r>
      <w:r w:rsidRPr="003529DF" w:rsidR="00340A8C">
        <w:t>DHH CAO</w:t>
      </w:r>
      <w:r w:rsidRPr="003529DF">
        <w:t xml:space="preserve"> Comments at 3 n.35</w:t>
      </w:r>
      <w:r w:rsidRPr="003529DF" w:rsidR="00796581">
        <w:t xml:space="preserve"> </w:t>
      </w:r>
      <w:r w:rsidRPr="003529DF">
        <w:t xml:space="preserve">(stating that poor video quality can “absolutely produce delays for American Sign Language communicators”) (citing </w:t>
      </w:r>
      <w:r w:rsidRPr="003529DF">
        <w:rPr>
          <w:i/>
          <w:iCs/>
        </w:rPr>
        <w:t>Making Telehealth Equitable for Deaf and Hard of Hearing Communities</w:t>
      </w:r>
      <w:r w:rsidRPr="003529DF">
        <w:t xml:space="preserve">, </w:t>
      </w:r>
      <w:r w:rsidRPr="003529DF" w:rsidR="00D01F0E">
        <w:t>University of Kentucky College of Health Sciences</w:t>
      </w:r>
      <w:r w:rsidRPr="003529DF">
        <w:t xml:space="preserve"> (Mar. </w:t>
      </w:r>
      <w:r w:rsidRPr="003529DF" w:rsidR="0AAE952A">
        <w:t xml:space="preserve">29, 2022), </w:t>
      </w:r>
      <w:hyperlink r:id="rId20" w:history="1">
        <w:r w:rsidRPr="003529DF" w:rsidR="0AAE952A">
          <w:rPr>
            <w:rStyle w:val="Hyperlink"/>
          </w:rPr>
          <w:t>https://www.uky.edu/chs/about/news/making-telehealth-equitable-for-deaf-and-hard-hearing-communities</w:t>
        </w:r>
      </w:hyperlink>
      <w:r w:rsidRPr="003529DF">
        <w:t>)</w:t>
      </w:r>
      <w:r w:rsidRPr="003529DF" w:rsidR="00755BB5">
        <w:t xml:space="preserve">; </w:t>
      </w:r>
      <w:r w:rsidRPr="003529DF" w:rsidR="00755BB5">
        <w:rPr>
          <w:i/>
          <w:iCs/>
        </w:rPr>
        <w:t xml:space="preserve">see </w:t>
      </w:r>
      <w:r w:rsidRPr="003529DF" w:rsidR="00755BB5">
        <w:t>id at 3 (noting that a “screen could end up blurry and impossible for the other person to translate”).</w:t>
      </w:r>
    </w:p>
  </w:footnote>
  <w:footnote w:id="81">
    <w:p w:rsidR="002C0D50" w:rsidRPr="003529DF" w14:paraId="67920C7A" w14:textId="3F353638">
      <w:pPr>
        <w:pStyle w:val="FootnoteText"/>
      </w:pPr>
      <w:r w:rsidRPr="003529DF">
        <w:rPr>
          <w:rStyle w:val="FootnoteReference"/>
          <w:sz w:val="20"/>
        </w:rPr>
        <w:footnoteRef/>
      </w:r>
      <w:r w:rsidRPr="003529DF">
        <w:t xml:space="preserve"> </w:t>
      </w:r>
      <w:r w:rsidRPr="003529DF" w:rsidR="00340A8C">
        <w:t>DHH CAO</w:t>
      </w:r>
      <w:r w:rsidRPr="003529DF">
        <w:t xml:space="preserve"> Comments at 8-9</w:t>
      </w:r>
      <w:r w:rsidR="00432223">
        <w:t xml:space="preserve"> (pointing to </w:t>
      </w:r>
      <w:r w:rsidRPr="59D05614" w:rsidR="00432223">
        <w:t>Zoom</w:t>
      </w:r>
      <w:r w:rsidR="00432223">
        <w:t xml:space="preserve"> and Microsoft Teams as examples).</w:t>
      </w:r>
    </w:p>
  </w:footnote>
  <w:footnote w:id="82">
    <w:p w:rsidR="002C0D50" w:rsidRPr="003529DF" w14:paraId="68F5856D" w14:textId="282AD575">
      <w:pPr>
        <w:pStyle w:val="FootnoteText"/>
      </w:pPr>
      <w:r w:rsidRPr="003529DF">
        <w:rPr>
          <w:rStyle w:val="FootnoteReference"/>
          <w:sz w:val="20"/>
        </w:rPr>
        <w:footnoteRef/>
      </w:r>
      <w:r w:rsidRPr="003529DF">
        <w:t xml:space="preserve"> </w:t>
      </w:r>
      <w:r w:rsidRPr="003529DF" w:rsidR="00340A8C">
        <w:t>DHH CAO</w:t>
      </w:r>
      <w:r w:rsidRPr="003529DF">
        <w:t xml:space="preserve"> Comments at 10 n.3 (citing Michele Hurley, </w:t>
      </w:r>
      <w:r w:rsidRPr="003529DF">
        <w:t>Au.D</w:t>
      </w:r>
      <w:r w:rsidRPr="003529DF">
        <w:t xml:space="preserve">., Video conferencing tips for people with hearing loss, </w:t>
      </w:r>
      <w:r w:rsidRPr="003529DF" w:rsidR="0AAE952A">
        <w:t>Starkey, (Mar.</w:t>
      </w:r>
      <w:r w:rsidRPr="003529DF">
        <w:t xml:space="preserve"> 29, 2022), https://www.starkey.com/blog/articles/2020/04/22/13/19/videoconferencing-with-hearing-loss#:~:text=When%20using%20video%20conferencing%20tools,garbled%20mess%20for%20t he%20listener).</w:t>
      </w:r>
    </w:p>
  </w:footnote>
  <w:footnote w:id="83">
    <w:p w:rsidR="002C0D50" w:rsidRPr="003529DF" w:rsidP="00D62AD4" w14:paraId="2E0C9006" w14:textId="77777777">
      <w:pPr>
        <w:pStyle w:val="FootnoteText"/>
      </w:pPr>
      <w:r w:rsidRPr="003529DF">
        <w:rPr>
          <w:rStyle w:val="FootnoteReference"/>
          <w:sz w:val="20"/>
        </w:rPr>
        <w:footnoteRef/>
      </w:r>
      <w:r w:rsidRPr="003529DF">
        <w:t xml:space="preserve"> CTIA Comments at 9-10 (stating that “providers including Carolina West, Union Wireless, Cellular One, and Consumer Cellular offered more data at no cost to the consumer”).</w:t>
      </w:r>
    </w:p>
  </w:footnote>
  <w:footnote w:id="84">
    <w:p w:rsidR="002C0D50" w:rsidRPr="003529DF" w14:paraId="32FDFF76" w14:textId="77777777">
      <w:pPr>
        <w:pStyle w:val="FootnoteText"/>
      </w:pPr>
      <w:r w:rsidRPr="003529DF">
        <w:rPr>
          <w:rStyle w:val="FootnoteReference"/>
          <w:sz w:val="20"/>
        </w:rPr>
        <w:footnoteRef/>
      </w:r>
      <w:r w:rsidRPr="003529DF">
        <w:t xml:space="preserve"> CTIA Comments at 10 n.25 (citing </w:t>
      </w:r>
      <w:r w:rsidRPr="003529DF">
        <w:rPr>
          <w:i/>
          <w:iCs/>
        </w:rPr>
        <w:t>Disability Employment Statistics</w:t>
      </w:r>
      <w:r w:rsidRPr="003529DF">
        <w:t xml:space="preserve">, </w:t>
      </w:r>
      <w:r w:rsidRPr="003529DF" w:rsidR="00F005F8">
        <w:t>U.S. Dept of Labor</w:t>
      </w:r>
      <w:r w:rsidRPr="003529DF">
        <w:t xml:space="preserve"> </w:t>
      </w:r>
      <w:r w:rsidRPr="003529DF" w:rsidR="00C215E6">
        <w:t>(</w:t>
      </w:r>
      <w:r w:rsidRPr="003529DF" w:rsidR="00F005F8">
        <w:t>Mar. 30, 2022)</w:t>
      </w:r>
      <w:r w:rsidRPr="003529DF" w:rsidR="00C215E6">
        <w:t>,</w:t>
      </w:r>
      <w:r w:rsidRPr="003529DF" w:rsidR="00F005F8">
        <w:t xml:space="preserve"> </w:t>
      </w:r>
      <w:hyperlink r:id="rId21" w:history="1">
        <w:r w:rsidRPr="003529DF" w:rsidR="0AAE952A">
          <w:rPr>
            <w:rStyle w:val="Hyperlink"/>
          </w:rPr>
          <w:t>https://www.dol.gov/agencies/odep/research-evaluation/statistics</w:t>
        </w:r>
      </w:hyperlink>
      <w:r w:rsidRPr="003529DF" w:rsidR="0AAE952A">
        <w:t xml:space="preserve">) </w:t>
      </w:r>
      <w:r w:rsidRPr="003529DF">
        <w:t>(comparing the unemployment rate for people without disabilities – 4.0 percent – with the unemployment rate for people with disabilities – 9.7 percent)</w:t>
      </w:r>
      <w:r w:rsidRPr="003529DF" w:rsidR="00755BB5">
        <w:t>)</w:t>
      </w:r>
      <w:r w:rsidRPr="003529DF">
        <w:t xml:space="preserve">; </w:t>
      </w:r>
      <w:r w:rsidRPr="003529DF">
        <w:rPr>
          <w:i/>
          <w:iCs/>
        </w:rPr>
        <w:t>Median Household Income of People with and without Disabilities with Earnings</w:t>
      </w:r>
      <w:r w:rsidRPr="003529DF">
        <w:t xml:space="preserve">, </w:t>
      </w:r>
      <w:r w:rsidRPr="003529DF">
        <w:rPr>
          <w:i/>
          <w:iCs/>
        </w:rPr>
        <w:t>Age 21 to 64</w:t>
      </w:r>
      <w:r w:rsidRPr="003529DF">
        <w:t xml:space="preserve">, ADA </w:t>
      </w:r>
      <w:r w:rsidRPr="003529DF" w:rsidR="00C215E6">
        <w:t>Participatory Action Consortium (2016</w:t>
      </w:r>
      <w:r w:rsidRPr="003529DF" w:rsidR="00CF0123">
        <w:t>),</w:t>
      </w:r>
      <w:r w:rsidRPr="003529DF">
        <w:t xml:space="preserve"> </w:t>
      </w:r>
      <w:hyperlink r:id="rId22" w:history="1">
        <w:r w:rsidRPr="003529DF" w:rsidR="0AAE952A">
          <w:rPr>
            <w:rStyle w:val="Hyperlink"/>
          </w:rPr>
          <w:t>https://www.centerondisability.org/ada_parc/utils/indicators.php?id=32</w:t>
        </w:r>
      </w:hyperlink>
      <w:r w:rsidRPr="003529DF">
        <w:t xml:space="preserve"> (comparing the median household income of people without disabilities – $68,700 – with the median household income of people with disabilities – $43,300).   </w:t>
      </w:r>
    </w:p>
  </w:footnote>
  <w:footnote w:id="85">
    <w:p w:rsidR="001B284C" w:rsidRPr="003529DF" w14:paraId="553E1E11" w14:textId="7DCDBAFB">
      <w:pPr>
        <w:pStyle w:val="FootnoteText"/>
      </w:pPr>
      <w:r w:rsidRPr="003529DF">
        <w:rPr>
          <w:rStyle w:val="FootnoteReference"/>
          <w:sz w:val="20"/>
        </w:rPr>
        <w:footnoteRef/>
      </w:r>
      <w:r w:rsidRPr="003529DF">
        <w:t xml:space="preserve"> AFB Comments at </w:t>
      </w:r>
      <w:r w:rsidRPr="003529DF" w:rsidR="00B8576E">
        <w:t xml:space="preserve">2 (Rhoads, C.R., Bleach, K., Chatfield, S. &amp; Camarilla, P.M. (2022). The Journey Forward: Impact of COVID-19 on Blind, Low Vision, and Deafblind U.S. Adults [Unpublished manuscript]. American Foundation for the Blind. Report to be published at </w:t>
      </w:r>
      <w:hyperlink r:id="rId23" w:history="1">
        <w:r w:rsidRPr="003529DF" w:rsidR="00B8576E">
          <w:rPr>
            <w:rStyle w:val="Hyperlink"/>
          </w:rPr>
          <w:t>https://www.afb.org/research-and-initiatives/flatten-inaccessibility-survey/journey-forward</w:t>
        </w:r>
      </w:hyperlink>
      <w:r w:rsidRPr="003529DF" w:rsidR="00B8576E">
        <w:t xml:space="preserve">); </w:t>
      </w:r>
      <w:r w:rsidRPr="003529DF" w:rsidR="00340A8C">
        <w:t>DHH CAO</w:t>
      </w:r>
      <w:r w:rsidRPr="003529DF" w:rsidR="00B8576E">
        <w:t xml:space="preserve"> Comments at 2 (stating that “[t]</w:t>
      </w:r>
      <w:r w:rsidRPr="003529DF" w:rsidR="00B8576E">
        <w:t>elehealth</w:t>
      </w:r>
      <w:r w:rsidRPr="003529DF" w:rsidR="00B8576E">
        <w:t xml:space="preserve"> services, which have become crucial during the pandemic, remain inadequate, as platforms often lack interpreters or captions”)</w:t>
      </w:r>
      <w:r w:rsidRPr="003529DF" w:rsidR="00BD68ED">
        <w:t>; CTA Comments at 6 n.26.</w:t>
      </w:r>
    </w:p>
  </w:footnote>
  <w:footnote w:id="86">
    <w:p w:rsidR="002D19D3" w:rsidRPr="003529DF" w14:paraId="4B1467F6" w14:textId="77777777">
      <w:pPr>
        <w:pStyle w:val="FootnoteText"/>
      </w:pPr>
      <w:r w:rsidRPr="003529DF">
        <w:rPr>
          <w:rStyle w:val="FootnoteReference"/>
          <w:sz w:val="20"/>
        </w:rPr>
        <w:footnoteRef/>
      </w:r>
      <w:r w:rsidRPr="003529DF">
        <w:t xml:space="preserve"> AFB Comments at 2-3 (citing Rhoads, C.R., Bleach, K., Chatfield, S. &amp; Camarilla, P.M., </w:t>
      </w:r>
      <w:r w:rsidRPr="003529DF" w:rsidR="00E91536">
        <w:rPr>
          <w:i/>
          <w:iCs/>
        </w:rPr>
        <w:t>The Journey Forward: Impact of COVID-19 on Blind, Low Vision, and Deafblind U.S. Adults</w:t>
      </w:r>
      <w:r w:rsidRPr="003529DF">
        <w:t xml:space="preserve"> </w:t>
      </w:r>
      <w:r w:rsidRPr="003529DF" w:rsidR="00303AA7">
        <w:t xml:space="preserve">(2022) </w:t>
      </w:r>
      <w:r w:rsidRPr="003529DF">
        <w:t>[Unpublished manuscript</w:t>
      </w:r>
      <w:r w:rsidRPr="003529DF" w:rsidR="004F3C7A">
        <w:t xml:space="preserve">], </w:t>
      </w:r>
      <w:r w:rsidRPr="003529DF">
        <w:t xml:space="preserve">Report to be published at </w:t>
      </w:r>
      <w:hyperlink r:id="rId23" w:history="1">
        <w:r w:rsidRPr="003529DF">
          <w:rPr>
            <w:rStyle w:val="Hyperlink"/>
          </w:rPr>
          <w:t>https://www.afb.org/research-and-initiatives/flatten-inaccessibility-survey/journey-forward</w:t>
        </w:r>
      </w:hyperlink>
      <w:r w:rsidRPr="003529DF" w:rsidR="00303AA7">
        <w:t>).</w:t>
      </w:r>
    </w:p>
  </w:footnote>
  <w:footnote w:id="87">
    <w:p w:rsidR="004F3C7A" w:rsidRPr="003529DF" w14:paraId="68E536E2" w14:textId="7631D4EC">
      <w:pPr>
        <w:pStyle w:val="FootnoteText"/>
      </w:pPr>
      <w:r w:rsidRPr="003529DF">
        <w:rPr>
          <w:rStyle w:val="FootnoteReference"/>
          <w:sz w:val="20"/>
        </w:rPr>
        <w:footnoteRef/>
      </w:r>
      <w:r w:rsidRPr="003529DF">
        <w:t xml:space="preserve"> </w:t>
      </w:r>
      <w:r w:rsidRPr="003529DF">
        <w:rPr>
          <w:i/>
          <w:iCs/>
        </w:rPr>
        <w:t xml:space="preserve">See </w:t>
      </w:r>
      <w:r w:rsidRPr="003529DF">
        <w:t>id.  In a Flatten Inaccessibility study, AFB states that, of 285 blind and low vision participants who had used telehealth to meet with their healthcare provider, 21% reported the telehealth platform was not accessible with their</w:t>
      </w:r>
      <w:r w:rsidR="005007BE">
        <w:t xml:space="preserve"> respective</w:t>
      </w:r>
      <w:r w:rsidRPr="003529DF">
        <w:t xml:space="preserve"> assistive technolog</w:t>
      </w:r>
      <w:r w:rsidR="005007BE">
        <w:t>ies</w:t>
      </w:r>
      <w:r w:rsidRPr="003529DF">
        <w:t xml:space="preserve">. </w:t>
      </w:r>
      <w:r w:rsidRPr="003529DF">
        <w:rPr>
          <w:i/>
          <w:iCs/>
        </w:rPr>
        <w:t xml:space="preserve">See </w:t>
      </w:r>
      <w:r w:rsidRPr="003529DF">
        <w:t xml:space="preserve">id. at 2 (citing Rosenblum, L. P., </w:t>
      </w:r>
      <w:r w:rsidRPr="003529DF">
        <w:t>Chanes</w:t>
      </w:r>
      <w:r w:rsidRPr="003529DF">
        <w:t xml:space="preserve">-Mora, P., McBride, C. R., </w:t>
      </w:r>
      <w:r w:rsidRPr="003529DF">
        <w:t>Flewellen</w:t>
      </w:r>
      <w:r w:rsidRPr="003529DF">
        <w:t xml:space="preserve">, J., Nagarajan, N., Nave </w:t>
      </w:r>
      <w:r w:rsidRPr="003529DF">
        <w:t>Stawaz</w:t>
      </w:r>
      <w:r w:rsidRPr="003529DF">
        <w:t xml:space="preserve">, R., &amp; </w:t>
      </w:r>
      <w:r w:rsidRPr="003529DF">
        <w:t>Swenor</w:t>
      </w:r>
      <w:r w:rsidRPr="003529DF">
        <w:t xml:space="preserve">, B, </w:t>
      </w:r>
      <w:r w:rsidRPr="003529DF" w:rsidR="00E91536">
        <w:rPr>
          <w:i/>
          <w:iCs/>
        </w:rPr>
        <w:t>Flatten Inaccessibility: Impact of COVID-19 on Adults Who Are Blind or Have Low Vision in the United States</w:t>
      </w:r>
      <w:r w:rsidRPr="003529DF">
        <w:t xml:space="preserve"> (2020), </w:t>
      </w:r>
      <w:hyperlink r:id="rId24" w:history="1">
        <w:r w:rsidRPr="003529DF">
          <w:rPr>
            <w:rStyle w:val="Hyperlink"/>
          </w:rPr>
          <w:t>www.afb.org/FlattenInaccessibility</w:t>
        </w:r>
      </w:hyperlink>
      <w:r w:rsidRPr="003529DF">
        <w:rPr>
          <w:rStyle w:val="Hyperlink"/>
        </w:rPr>
        <w:t>.</w:t>
      </w:r>
    </w:p>
  </w:footnote>
  <w:footnote w:id="88">
    <w:p w:rsidR="006C207B" w:rsidRPr="003529DF" w14:paraId="3C77793B" w14:textId="3703B4B2">
      <w:pPr>
        <w:pStyle w:val="FootnoteText"/>
      </w:pPr>
      <w:r w:rsidRPr="003529DF">
        <w:rPr>
          <w:rStyle w:val="FootnoteReference"/>
          <w:sz w:val="20"/>
        </w:rPr>
        <w:footnoteRef/>
      </w:r>
      <w:r w:rsidRPr="003529DF">
        <w:t xml:space="preserve"> </w:t>
      </w:r>
      <w:r w:rsidRPr="003529DF" w:rsidR="00340A8C">
        <w:t>DHH CAO</w:t>
      </w:r>
      <w:r w:rsidRPr="003529DF">
        <w:t xml:space="preserve"> Comments at 12 n. 37 (citing </w:t>
      </w:r>
      <w:r w:rsidRPr="003529DF">
        <w:rPr>
          <w:i/>
          <w:iCs/>
        </w:rPr>
        <w:t>Speech Reading</w:t>
      </w:r>
      <w:r w:rsidRPr="003529DF">
        <w:t>, Centers for Disease Control and Prevention (Mar. 29, 2022), (</w:t>
      </w:r>
      <w:hyperlink r:id="rId25" w:anchor=":~:text=About%2040%25%20of%20the%20sounds,for%20yourself%20in%20a%20mirror" w:history="1">
        <w:r w:rsidRPr="003529DF">
          <w:rPr>
            <w:rStyle w:val="Hyperlink"/>
          </w:rPr>
          <w:t>https://www.cdc.gov/ncbddd/hearingloss/parentsguide/building/speech-reading.html#:~:text=About%2040%25%20of%20the%20sounds,for%20yourself%20in%20a%20mirror</w:t>
        </w:r>
      </w:hyperlink>
      <w:r w:rsidRPr="003529DF">
        <w:t xml:space="preserve">).     </w:t>
      </w:r>
    </w:p>
  </w:footnote>
  <w:footnote w:id="89">
    <w:p w:rsidR="001B284C" w:rsidRPr="003529DF" w14:paraId="4E72B34F" w14:textId="642A4021">
      <w:pPr>
        <w:pStyle w:val="FootnoteText"/>
      </w:pPr>
      <w:r w:rsidRPr="003529DF">
        <w:rPr>
          <w:rStyle w:val="FootnoteReference"/>
          <w:sz w:val="20"/>
        </w:rPr>
        <w:footnoteRef/>
      </w:r>
      <w:r w:rsidRPr="003529DF">
        <w:t xml:space="preserve"> </w:t>
      </w:r>
      <w:r w:rsidRPr="003529DF" w:rsidR="003529DF">
        <w:t>DHH CAO</w:t>
      </w:r>
      <w:r w:rsidRPr="003529DF">
        <w:t xml:space="preserve"> Comments at 11.</w:t>
      </w:r>
    </w:p>
  </w:footnote>
  <w:footnote w:id="90">
    <w:p w:rsidR="001B284C" w:rsidRPr="003529DF" w14:paraId="2155C69A" w14:textId="43EB29B9">
      <w:pPr>
        <w:pStyle w:val="FootnoteText"/>
      </w:pPr>
      <w:r w:rsidRPr="003529DF">
        <w:rPr>
          <w:rStyle w:val="FootnoteReference"/>
          <w:sz w:val="20"/>
        </w:rPr>
        <w:footnoteRef/>
      </w:r>
      <w:r w:rsidRPr="003529DF">
        <w:t xml:space="preserve"> </w:t>
      </w:r>
      <w:r w:rsidRPr="003529DF" w:rsidR="00340A8C">
        <w:t>DHH CAO</w:t>
      </w:r>
      <w:r w:rsidRPr="003529DF">
        <w:t xml:space="preserve"> Comments at 11 n.32 (citing Ashley Mussallem, Tiffany L Panko, </w:t>
      </w:r>
      <w:r w:rsidRPr="003529DF" w:rsidR="00E91536">
        <w:rPr>
          <w:i/>
          <w:iCs/>
        </w:rPr>
        <w:t>Making virtual health care accessible to the deaf community: Findings from the telehealth surve</w:t>
      </w:r>
      <w:r w:rsidRPr="003529DF">
        <w:t xml:space="preserve">y, Sage Journals: Journal of Telemedicine </w:t>
      </w:r>
      <w:r w:rsidRPr="003529DF" w:rsidR="00B8576E">
        <w:t>a</w:t>
      </w:r>
      <w:r w:rsidRPr="003529DF">
        <w:t>nd Telecare, (Mar. 29, 202), https://journals.sagepub.com/doi/10.1177/1357633X221074863.</w:t>
      </w:r>
    </w:p>
  </w:footnote>
  <w:footnote w:id="91">
    <w:p w:rsidR="00BD68ED" w:rsidRPr="003529DF" w14:paraId="72B0C0CF" w14:textId="77777777">
      <w:pPr>
        <w:pStyle w:val="FootnoteText"/>
      </w:pPr>
      <w:r w:rsidRPr="003529DF">
        <w:rPr>
          <w:rStyle w:val="FootnoteReference"/>
          <w:sz w:val="20"/>
        </w:rPr>
        <w:footnoteRef/>
      </w:r>
      <w:r w:rsidRPr="003529DF">
        <w:t xml:space="preserve"> CTA Comments at 6 n.36.  </w:t>
      </w:r>
    </w:p>
  </w:footnote>
  <w:footnote w:id="92">
    <w:p w:rsidR="00BD68ED" w:rsidRPr="003529DF" w14:paraId="01E1AE41" w14:textId="77777777">
      <w:pPr>
        <w:pStyle w:val="FootnoteText"/>
      </w:pPr>
      <w:r w:rsidRPr="003529DF">
        <w:rPr>
          <w:rStyle w:val="FootnoteReference"/>
          <w:sz w:val="20"/>
        </w:rPr>
        <w:footnoteRef/>
      </w:r>
      <w:r w:rsidRPr="003529DF">
        <w:t xml:space="preserve"> CTA Comments at 6 (Consumer Technology Association, </w:t>
      </w:r>
      <w:r w:rsidRPr="003529DF" w:rsidR="00E91536">
        <w:rPr>
          <w:i/>
          <w:iCs/>
        </w:rPr>
        <w:t xml:space="preserve">Guiding Principles on Virtual Care </w:t>
      </w:r>
      <w:r w:rsidRPr="003529DF">
        <w:t xml:space="preserve">(Mar. 2020), </w:t>
      </w:r>
      <w:hyperlink r:id="rId26" w:history="1">
        <w:r w:rsidRPr="003529DF">
          <w:rPr>
            <w:rStyle w:val="Hyperlink"/>
          </w:rPr>
          <w:t>https://shop.cta.tech/products/guiding-principles-on-virtual-care?_ga=2.253839560.1365709638.1644 164805 -574097665.1584113335</w:t>
        </w:r>
      </w:hyperlink>
      <w:r w:rsidRPr="003529DF">
        <w:t>).</w:t>
      </w:r>
    </w:p>
  </w:footnote>
  <w:footnote w:id="93">
    <w:p w:rsidR="00B3773C" w:rsidRPr="00B3773C" w14:paraId="36DFE385" w14:textId="1BD679BB">
      <w:pPr>
        <w:pStyle w:val="FootnoteText"/>
      </w:pPr>
      <w:r>
        <w:rPr>
          <w:rStyle w:val="FootnoteReference"/>
        </w:rPr>
        <w:footnoteRef/>
      </w:r>
      <w:r>
        <w:t xml:space="preserve"> 47 USC </w:t>
      </w:r>
      <w:r w:rsidRPr="003529DF">
        <w:t>§</w:t>
      </w:r>
      <w:r>
        <w:t xml:space="preserve"> 618(a)(3)(A) (“</w:t>
      </w:r>
      <w:r w:rsidRPr="00B3773C">
        <w:t>Any person alleging a violation of section 255, 617, or 619 of this title by a manufacturer of equipment or provider of service subject to such sections may file a formal or informal complaint with the Commission.</w:t>
      </w:r>
      <w:r>
        <w:t xml:space="preserve">”); </w:t>
      </w:r>
      <w:r>
        <w:rPr>
          <w:i/>
          <w:iCs/>
        </w:rPr>
        <w:t>see also</w:t>
      </w:r>
      <w:r w:rsidR="009B47F5">
        <w:t xml:space="preserve"> 47 USC </w:t>
      </w:r>
      <w:r w:rsidRPr="003529DF" w:rsidR="009B47F5">
        <w:t>§</w:t>
      </w:r>
      <w:r w:rsidR="009B47F5">
        <w:t xml:space="preserve"> 618(a)(3)(B) (requiring the Commission to investigate informal complaints and determine if a violation occurred).</w:t>
      </w:r>
    </w:p>
  </w:footnote>
  <w:footnote w:id="94">
    <w:p w:rsidR="009B3D02" w:rsidRPr="003529DF" w:rsidP="009B3D02" w14:paraId="2EB68546" w14:textId="77777777">
      <w:pPr>
        <w:autoSpaceDE w:val="0"/>
        <w:autoSpaceDN w:val="0"/>
        <w:adjustRightInd w:val="0"/>
        <w:spacing w:after="120"/>
        <w:rPr>
          <w:sz w:val="20"/>
        </w:rPr>
      </w:pPr>
      <w:r w:rsidRPr="003529DF">
        <w:rPr>
          <w:rStyle w:val="FootnoteReference"/>
          <w:sz w:val="20"/>
        </w:rPr>
        <w:footnoteRef/>
      </w:r>
      <w:r w:rsidRPr="003529DF">
        <w:rPr>
          <w:sz w:val="20"/>
        </w:rPr>
        <w:t xml:space="preserve"> </w:t>
      </w:r>
      <w:r w:rsidRPr="003529DF">
        <w:rPr>
          <w:i/>
          <w:sz w:val="20"/>
        </w:rPr>
        <w:t>See</w:t>
      </w:r>
      <w:r w:rsidRPr="003529DF">
        <w:rPr>
          <w:sz w:val="20"/>
        </w:rPr>
        <w:t xml:space="preserve"> 47 CFR §§ 14.32 (consumer dispute assistance), 14.34-14.37 (informal complaints), 14.38-14.52 (formal complaints); </w:t>
      </w:r>
      <w:r w:rsidRPr="003529DF">
        <w:rPr>
          <w:i/>
          <w:sz w:val="20"/>
        </w:rPr>
        <w:t>see also New Procedures for Telecommunications and Advanced Communications Accessibility Complaints</w:t>
      </w:r>
      <w:r w:rsidRPr="003529DF">
        <w:rPr>
          <w:sz w:val="20"/>
        </w:rPr>
        <w:t>, Public Notice, 28 FCC Rcd 15712</w:t>
      </w:r>
      <w:r w:rsidRPr="003529DF">
        <w:rPr>
          <w:i/>
          <w:sz w:val="20"/>
        </w:rPr>
        <w:t xml:space="preserve"> </w:t>
      </w:r>
      <w:r w:rsidRPr="003529DF">
        <w:rPr>
          <w:sz w:val="20"/>
        </w:rPr>
        <w:t>(CGB 2013).  A consumer also may file a formal complaint with the Enforcement Bureau without first submitting an RDA or an informal complaint. 47 CFR §§ 14.38-14.52.</w:t>
      </w:r>
    </w:p>
  </w:footnote>
  <w:footnote w:id="95">
    <w:p w:rsidR="009B3D02" w:rsidRPr="003529DF" w:rsidP="009B3D02" w14:paraId="2B23AABE" w14:textId="77777777">
      <w:pPr>
        <w:pStyle w:val="FootnoteText"/>
        <w:widowControl w:val="0"/>
        <w:rPr>
          <w:b/>
        </w:rPr>
      </w:pPr>
      <w:r w:rsidRPr="003529DF">
        <w:rPr>
          <w:rStyle w:val="FootnoteReference"/>
          <w:sz w:val="20"/>
        </w:rPr>
        <w:footnoteRef/>
      </w:r>
      <w:r w:rsidRPr="003529DF">
        <w:t xml:space="preserve"> 47 CFR § 14.32(e); </w:t>
      </w:r>
      <w:r w:rsidRPr="003529DF">
        <w:rPr>
          <w:i/>
        </w:rPr>
        <w:t>see also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Pr="003529DF">
        <w:t xml:space="preserve">, Report and Order and Further Notice of Proposed Rulemaking, 26 </w:t>
      </w:r>
      <w:r w:rsidRPr="003529DF">
        <w:rPr>
          <w:bCs/>
        </w:rPr>
        <w:t>FCC Rcd 14557, 14658, para. 237</w:t>
      </w:r>
      <w:r w:rsidRPr="003529DF">
        <w:t xml:space="preserve"> (2011).  </w:t>
      </w:r>
    </w:p>
  </w:footnote>
  <w:footnote w:id="96">
    <w:p w:rsidR="009B3D02" w:rsidRPr="003529DF" w:rsidP="009B3D02" w14:paraId="125A0C79" w14:textId="77777777">
      <w:pPr>
        <w:pStyle w:val="FootnoteText"/>
        <w:widowControl w:val="0"/>
      </w:pPr>
      <w:r w:rsidRPr="003529DF">
        <w:rPr>
          <w:rStyle w:val="FootnoteReference"/>
          <w:sz w:val="20"/>
        </w:rPr>
        <w:footnoteRef/>
      </w:r>
      <w:r w:rsidRPr="003529DF">
        <w:t xml:space="preserve"> 47 CFR § 14.35(a).  </w:t>
      </w:r>
    </w:p>
  </w:footnote>
  <w:footnote w:id="97">
    <w:p w:rsidR="009B3D02" w:rsidRPr="003529DF" w:rsidP="009B3D02" w14:paraId="239D4272" w14:textId="77777777">
      <w:pPr>
        <w:pStyle w:val="FootnoteText"/>
        <w:widowControl w:val="0"/>
      </w:pPr>
      <w:r w:rsidRPr="003529DF">
        <w:rPr>
          <w:rStyle w:val="FootnoteReference"/>
          <w:sz w:val="20"/>
        </w:rPr>
        <w:footnoteRef/>
      </w:r>
      <w:r w:rsidRPr="003529DF">
        <w:t xml:space="preserve"> 47 CFR § 14.36(b)-(c).  The complainant may then file a reply.  47 CFR § 14.36(d).</w:t>
      </w:r>
    </w:p>
  </w:footnote>
  <w:footnote w:id="98">
    <w:p w:rsidR="009B3D02" w:rsidRPr="003529DF" w:rsidP="009B3D02" w14:paraId="630AC3A3" w14:textId="77777777">
      <w:pPr>
        <w:tabs>
          <w:tab w:val="left" w:pos="360"/>
        </w:tabs>
        <w:spacing w:after="120"/>
        <w:rPr>
          <w:sz w:val="20"/>
        </w:rPr>
      </w:pPr>
      <w:r w:rsidRPr="003529DF">
        <w:rPr>
          <w:rStyle w:val="FootnoteReference"/>
          <w:sz w:val="20"/>
        </w:rPr>
        <w:footnoteRef/>
      </w:r>
      <w:r w:rsidRPr="003529DF">
        <w:rPr>
          <w:sz w:val="20"/>
        </w:rPr>
        <w:t xml:space="preserve"> 47 U.S.C. § 618(a)(3)(B), (a)(4); </w:t>
      </w:r>
      <w:r w:rsidRPr="003529DF">
        <w:rPr>
          <w:i/>
          <w:sz w:val="20"/>
        </w:rPr>
        <w:t>see also</w:t>
      </w:r>
      <w:r w:rsidRPr="003529DF">
        <w:rPr>
          <w:sz w:val="20"/>
        </w:rPr>
        <w:t xml:space="preserve"> 47 CFR § 14.37(a). </w:t>
      </w:r>
    </w:p>
  </w:footnote>
  <w:footnote w:id="99">
    <w:p w:rsidR="009B3D02" w:rsidRPr="003529DF" w:rsidP="009B3D02" w14:paraId="2F003535" w14:textId="003F57E1">
      <w:pPr>
        <w:pStyle w:val="FootnoteText"/>
        <w:widowControl w:val="0"/>
      </w:pPr>
      <w:r w:rsidRPr="003529DF">
        <w:rPr>
          <w:rStyle w:val="FootnoteReference"/>
          <w:sz w:val="20"/>
        </w:rPr>
        <w:footnoteRef/>
      </w:r>
      <w:r w:rsidRPr="003529DF">
        <w:t xml:space="preserve"> 47 U.S.C. § 618(a)(3)(B)(</w:t>
      </w:r>
      <w:r w:rsidRPr="003529DF">
        <w:t>i</w:t>
      </w:r>
      <w:r w:rsidRPr="003529DF">
        <w:t xml:space="preserve">); </w:t>
      </w:r>
      <w:r w:rsidRPr="003529DF">
        <w:rPr>
          <w:i/>
        </w:rPr>
        <w:t>see also</w:t>
      </w:r>
      <w:r w:rsidRPr="003529DF">
        <w:t xml:space="preserve"> 47 CFR § 14.37(b). </w:t>
      </w:r>
      <w:r w:rsidR="00CE60A6">
        <w:t xml:space="preserve"> </w:t>
      </w:r>
      <w:r w:rsidRPr="003529DF">
        <w:t xml:space="preserve">Any manufacturer or service provider that is the subject of such order has a reasonable opportunity to comment on the Commission’s proposed remedial action before the Commission issues a final order with respect to that action. </w:t>
      </w:r>
      <w:r w:rsidR="00CE60A6">
        <w:t xml:space="preserve"> </w:t>
      </w:r>
      <w:r w:rsidRPr="003529DF">
        <w:t xml:space="preserve">47 U.S.C. § 618(a)(4); </w:t>
      </w:r>
      <w:r w:rsidRPr="003529DF">
        <w:rPr>
          <w:i/>
        </w:rPr>
        <w:t>see also</w:t>
      </w:r>
      <w:r w:rsidRPr="003529DF">
        <w:t xml:space="preserve"> 47 CFR § 14.37(c).</w:t>
      </w:r>
    </w:p>
  </w:footnote>
  <w:footnote w:id="100">
    <w:p w:rsidR="002C0D50" w:rsidRPr="003529DF" w:rsidP="00D62AD4" w14:paraId="360608CC" w14:textId="77777777">
      <w:pPr>
        <w:pStyle w:val="FootnoteText"/>
        <w:widowControl w:val="0"/>
      </w:pPr>
      <w:r w:rsidRPr="003529DF">
        <w:rPr>
          <w:rStyle w:val="FootnoteReference"/>
          <w:sz w:val="20"/>
        </w:rPr>
        <w:footnoteRef/>
      </w:r>
      <w:r w:rsidRPr="003529DF">
        <w:t xml:space="preserve"> We note that while consumers filed an additional 295 requests for dispute assistance during this period, DRO determined that these requests were not eligible for the RDA process because they did not allege violations of section 255, 716, or 718 of the Act.  These requests are therefore not counted or discussed in this Report.  DRO treats such complaints as informal complaints for further DRO processing (if they are related to accessibility) or refers them to the FCC’s Consumer Inquiries and Complaints Division for processing (if they are unrelated to accessibility).  For requests alleging violations of statutes outside of the Commission’s jurisdiction, DRO provides these complaints to the relevant federal agencies (such as the Department of Justice for complaints alleging violations of the Americans with Disabilities Act).</w:t>
      </w:r>
    </w:p>
  </w:footnote>
  <w:footnote w:id="101">
    <w:p w:rsidR="00A72F16" w:rsidRPr="00E83069" w14:paraId="3C772C24" w14:textId="3F68F01B">
      <w:pPr>
        <w:pStyle w:val="FootnoteText"/>
      </w:pPr>
      <w:r>
        <w:rPr>
          <w:rStyle w:val="FootnoteReference"/>
        </w:rPr>
        <w:footnoteRef/>
      </w:r>
      <w:r>
        <w:t xml:space="preserve"> </w:t>
      </w:r>
      <w:r w:rsidRPr="00A72F16">
        <w:t xml:space="preserve">Randy </w:t>
      </w:r>
      <w:r w:rsidRPr="00A72F16">
        <w:t>Cassingham</w:t>
      </w:r>
      <w:r>
        <w:t xml:space="preserve">, </w:t>
      </w:r>
      <w:r w:rsidRPr="00D554F7" w:rsidR="00E83069">
        <w:rPr>
          <w:i/>
          <w:iCs/>
        </w:rPr>
        <w:t>The Dvorak Keyboard: the Basics</w:t>
      </w:r>
      <w:r w:rsidR="00E83069">
        <w:rPr>
          <w:i/>
          <w:iCs/>
        </w:rPr>
        <w:t xml:space="preserve"> </w:t>
      </w:r>
      <w:r w:rsidR="00E2274B">
        <w:t>(</w:t>
      </w:r>
      <w:r w:rsidRPr="00E2274B" w:rsidR="00E2274B">
        <w:t>12 Sep</w:t>
      </w:r>
      <w:r w:rsidR="00E2274B">
        <w:t>t. 12, 20</w:t>
      </w:r>
      <w:r w:rsidRPr="00E2274B" w:rsidR="00E2274B">
        <w:t>20</w:t>
      </w:r>
      <w:r w:rsidR="00E2274B">
        <w:t xml:space="preserve">), </w:t>
      </w:r>
      <w:hyperlink r:id="rId27" w:history="1">
        <w:r w:rsidRPr="0041193F" w:rsidR="007B33D8">
          <w:rPr>
            <w:rStyle w:val="Hyperlink"/>
          </w:rPr>
          <w:t>https://dvorak-keyboard.com/</w:t>
        </w:r>
      </w:hyperlink>
      <w:r w:rsidR="007B33D8">
        <w:t xml:space="preserve"> (</w:t>
      </w:r>
      <w:r w:rsidR="000969A9">
        <w:t>“</w:t>
      </w:r>
      <w:r w:rsidRPr="00AE3844" w:rsidR="00AE3844">
        <w:t xml:space="preserve">The Dvorak keyboard is an ergonomic alternative to the layout commonly found on typewriters and computers known as </w:t>
      </w:r>
      <w:r w:rsidR="000969A9">
        <w:t>‘</w:t>
      </w:r>
      <w:r w:rsidRPr="00AE3844" w:rsidR="00AE3844">
        <w:t>Qwerty</w:t>
      </w:r>
      <w:r w:rsidR="004E1599">
        <w:t>’</w:t>
      </w:r>
      <w:r w:rsidRPr="00AE3844" w:rsidR="00AE3844">
        <w:t>”</w:t>
      </w:r>
      <w:r w:rsidR="004E1599">
        <w:t>)</w:t>
      </w:r>
      <w:r w:rsidRPr="00AE3844" w:rsidR="00AE3844">
        <w:t>.</w:t>
      </w:r>
    </w:p>
  </w:footnote>
  <w:footnote w:id="102">
    <w:p w:rsidR="002C0D50" w:rsidRPr="003529DF" w:rsidP="008907B0" w14:paraId="208C4C15" w14:textId="0E1829BE">
      <w:pPr>
        <w:spacing w:after="120"/>
        <w:rPr>
          <w:i/>
          <w:iCs/>
          <w:sz w:val="20"/>
        </w:rPr>
      </w:pPr>
      <w:r w:rsidRPr="003529DF">
        <w:rPr>
          <w:rStyle w:val="FootnoteReference"/>
          <w:sz w:val="20"/>
        </w:rPr>
        <w:footnoteRef/>
      </w:r>
      <w:r w:rsidRPr="003529DF">
        <w:rPr>
          <w:sz w:val="20"/>
        </w:rPr>
        <w:t xml:space="preserve"> </w:t>
      </w:r>
      <w:r w:rsidRPr="003529DF">
        <w:rPr>
          <w:i/>
          <w:iCs/>
          <w:sz w:val="20"/>
        </w:rPr>
        <w:t>ViaTalk, LLC Informal Complaint Regarding Access to Telecommunications Services</w:t>
      </w:r>
      <w:r w:rsidRPr="003529DF">
        <w:rPr>
          <w:sz w:val="20"/>
        </w:rPr>
        <w:t>, Order, FCC No. 21-96</w:t>
      </w:r>
      <w:r w:rsidR="006900FB">
        <w:rPr>
          <w:sz w:val="20"/>
        </w:rPr>
        <w:t xml:space="preserve">, </w:t>
      </w:r>
      <w:r w:rsidR="007819DB">
        <w:rPr>
          <w:sz w:val="20"/>
        </w:rPr>
        <w:t>36 FCC Rcd 12968</w:t>
      </w:r>
      <w:r w:rsidRPr="003529DF">
        <w:rPr>
          <w:sz w:val="20"/>
        </w:rPr>
        <w:t xml:space="preserve"> (rel. Aug. 18, 2021) </w:t>
      </w:r>
      <w:r w:rsidR="00E37424">
        <w:rPr>
          <w:sz w:val="20"/>
        </w:rPr>
        <w:t xml:space="preserve">(on file in EB-TCD-21-0032021) </w:t>
      </w:r>
      <w:r w:rsidRPr="007073A1">
        <w:rPr>
          <w:i/>
          <w:iCs/>
          <w:sz w:val="20"/>
        </w:rPr>
        <w:t xml:space="preserve">(ViaTalk </w:t>
      </w:r>
      <w:r w:rsidR="004B53EC">
        <w:rPr>
          <w:i/>
          <w:iCs/>
          <w:sz w:val="20"/>
        </w:rPr>
        <w:t xml:space="preserve">EB </w:t>
      </w:r>
      <w:r w:rsidRPr="007073A1">
        <w:rPr>
          <w:i/>
          <w:iCs/>
          <w:sz w:val="20"/>
        </w:rPr>
        <w:t>Order</w:t>
      </w:r>
      <w:r w:rsidRPr="003529DF">
        <w:rPr>
          <w:sz w:val="20"/>
        </w:rPr>
        <w:t>).</w:t>
      </w:r>
    </w:p>
  </w:footnote>
  <w:footnote w:id="103">
    <w:p w:rsidR="0AAE952A" w:rsidRPr="003529DF" w:rsidP="008907B0" w14:paraId="24686F26" w14:textId="31807D88">
      <w:pPr>
        <w:spacing w:after="120"/>
        <w:rPr>
          <w:rFonts w:ascii="Roboto" w:eastAsia="Roboto" w:hAnsi="Roboto" w:cs="Roboto"/>
          <w:color w:val="BDC1C6"/>
          <w:sz w:val="20"/>
        </w:rPr>
      </w:pPr>
      <w:r w:rsidRPr="003529DF">
        <w:rPr>
          <w:rStyle w:val="FootnoteReference"/>
          <w:sz w:val="20"/>
        </w:rPr>
        <w:footnoteRef/>
      </w:r>
      <w:r w:rsidRPr="003529DF">
        <w:rPr>
          <w:sz w:val="20"/>
        </w:rPr>
        <w:t xml:space="preserve"> </w:t>
      </w:r>
      <w:bookmarkStart w:id="9" w:name="_Hlk102739473"/>
      <w:r w:rsidRPr="007073A1">
        <w:rPr>
          <w:i/>
          <w:iCs/>
          <w:sz w:val="20"/>
        </w:rPr>
        <w:t xml:space="preserve">ViaTalk </w:t>
      </w:r>
      <w:r w:rsidR="004B53EC">
        <w:rPr>
          <w:i/>
          <w:iCs/>
          <w:sz w:val="20"/>
        </w:rPr>
        <w:t xml:space="preserve">EB </w:t>
      </w:r>
      <w:r w:rsidRPr="007073A1">
        <w:rPr>
          <w:i/>
          <w:iCs/>
          <w:sz w:val="20"/>
        </w:rPr>
        <w:t xml:space="preserve">Citation </w:t>
      </w:r>
      <w:r w:rsidR="00931FEC">
        <w:rPr>
          <w:i/>
          <w:iCs/>
          <w:sz w:val="20"/>
        </w:rPr>
        <w:t xml:space="preserve">and </w:t>
      </w:r>
      <w:r w:rsidRPr="007073A1">
        <w:rPr>
          <w:i/>
          <w:iCs/>
          <w:sz w:val="20"/>
        </w:rPr>
        <w:t>Order</w:t>
      </w:r>
      <w:r w:rsidRPr="003529DF">
        <w:rPr>
          <w:sz w:val="20"/>
        </w:rPr>
        <w:t xml:space="preserve">, </w:t>
      </w:r>
      <w:r w:rsidR="00931FEC">
        <w:rPr>
          <w:sz w:val="20"/>
        </w:rPr>
        <w:t>Failure to Ensure Access to Information; Failure to File Annual Compliance Certifications</w:t>
      </w:r>
      <w:r w:rsidR="00CF00C8">
        <w:rPr>
          <w:sz w:val="20"/>
        </w:rPr>
        <w:t>, DA</w:t>
      </w:r>
      <w:r w:rsidR="008A7FBA">
        <w:rPr>
          <w:sz w:val="20"/>
        </w:rPr>
        <w:t xml:space="preserve"> </w:t>
      </w:r>
      <w:r w:rsidR="00CF00C8">
        <w:rPr>
          <w:sz w:val="20"/>
        </w:rPr>
        <w:t xml:space="preserve">21-1010, </w:t>
      </w:r>
      <w:r w:rsidR="00AD5536">
        <w:rPr>
          <w:sz w:val="20"/>
        </w:rPr>
        <w:t xml:space="preserve">36 FCC Rcd 12634, </w:t>
      </w:r>
      <w:r w:rsidRPr="003529DF">
        <w:rPr>
          <w:sz w:val="20"/>
        </w:rPr>
        <w:t>para. 16</w:t>
      </w:r>
      <w:r w:rsidR="00DA2245">
        <w:rPr>
          <w:sz w:val="20"/>
        </w:rPr>
        <w:t xml:space="preserve"> (rel. Aug. 18, 2021) (on file in EB-TCD-21-00032632) (</w:t>
      </w:r>
      <w:r w:rsidR="00DA2245">
        <w:rPr>
          <w:i/>
          <w:iCs/>
          <w:sz w:val="20"/>
        </w:rPr>
        <w:t>ViaTalk EB Citation and Order</w:t>
      </w:r>
      <w:r w:rsidR="00DA2245">
        <w:rPr>
          <w:sz w:val="20"/>
        </w:rPr>
        <w:t>).</w:t>
      </w:r>
      <w:r w:rsidRPr="003529DF">
        <w:rPr>
          <w:rFonts w:ascii="Roboto" w:eastAsia="Roboto" w:hAnsi="Roboto" w:cs="Roboto"/>
          <w:color w:val="BDC1C6"/>
          <w:sz w:val="20"/>
        </w:rPr>
        <w:t xml:space="preserve"> </w:t>
      </w:r>
      <w:bookmarkEnd w:id="9"/>
    </w:p>
  </w:footnote>
  <w:footnote w:id="104">
    <w:p w:rsidR="002C0D50" w:rsidRPr="003529DF" w:rsidP="008907B0" w14:paraId="30934757" w14:textId="737D78FC">
      <w:pPr>
        <w:spacing w:after="120"/>
        <w:rPr>
          <w:i/>
          <w:sz w:val="20"/>
        </w:rPr>
      </w:pPr>
      <w:r w:rsidRPr="003529DF">
        <w:rPr>
          <w:rStyle w:val="FootnoteReference"/>
          <w:sz w:val="20"/>
        </w:rPr>
        <w:footnoteRef/>
      </w:r>
      <w:r w:rsidRPr="003529DF">
        <w:rPr>
          <w:sz w:val="20"/>
        </w:rPr>
        <w:t xml:space="preserve"> </w:t>
      </w:r>
      <w:r w:rsidRPr="003529DF">
        <w:rPr>
          <w:i/>
          <w:iCs/>
          <w:sz w:val="20"/>
        </w:rPr>
        <w:t>ViaTalk, LLC Informal Complaint Regarding Access to Telecommunications Services</w:t>
      </w:r>
      <w:r w:rsidRPr="003529DF">
        <w:rPr>
          <w:sz w:val="20"/>
        </w:rPr>
        <w:t>, Order, DA No. 21-1478 (rel. Nov. 29, 2021) (</w:t>
      </w:r>
      <w:r w:rsidRPr="007073A1">
        <w:rPr>
          <w:i/>
          <w:iCs/>
          <w:sz w:val="20"/>
        </w:rPr>
        <w:t xml:space="preserve">ViaTalk </w:t>
      </w:r>
      <w:r w:rsidR="004B53EC">
        <w:rPr>
          <w:i/>
          <w:iCs/>
          <w:sz w:val="20"/>
        </w:rPr>
        <w:t xml:space="preserve">EB </w:t>
      </w:r>
      <w:r w:rsidRPr="007073A1">
        <w:rPr>
          <w:i/>
          <w:iCs/>
          <w:sz w:val="20"/>
        </w:rPr>
        <w:t>Remedy Order</w:t>
      </w:r>
      <w:r w:rsidRPr="003529DF">
        <w:rPr>
          <w:sz w:val="20"/>
        </w:rPr>
        <w:t>).</w:t>
      </w:r>
    </w:p>
  </w:footnote>
  <w:footnote w:id="105">
    <w:p w:rsidR="0AAE952A" w:rsidRPr="003529DF" w:rsidP="008907B0" w14:paraId="1D24AFCC" w14:textId="6DC63778">
      <w:pPr>
        <w:spacing w:after="120"/>
        <w:rPr>
          <w:sz w:val="20"/>
        </w:rPr>
      </w:pPr>
      <w:r w:rsidRPr="003529DF">
        <w:rPr>
          <w:rStyle w:val="FootnoteReference"/>
          <w:sz w:val="20"/>
        </w:rPr>
        <w:footnoteRef/>
      </w:r>
      <w:r w:rsidRPr="003529DF">
        <w:rPr>
          <w:sz w:val="20"/>
        </w:rPr>
        <w:t xml:space="preserve"> </w:t>
      </w:r>
      <w:r w:rsidRPr="007073A1">
        <w:rPr>
          <w:i/>
          <w:iCs/>
          <w:sz w:val="20"/>
        </w:rPr>
        <w:t xml:space="preserve">ViaTalk </w:t>
      </w:r>
      <w:r w:rsidR="00C66AB4">
        <w:rPr>
          <w:i/>
          <w:iCs/>
          <w:sz w:val="20"/>
        </w:rPr>
        <w:t xml:space="preserve">EB </w:t>
      </w:r>
      <w:r w:rsidRPr="007073A1">
        <w:rPr>
          <w:i/>
          <w:iCs/>
          <w:sz w:val="20"/>
        </w:rPr>
        <w:t>Remedy Order</w:t>
      </w:r>
      <w:r w:rsidRPr="003529DF">
        <w:rPr>
          <w:sz w:val="20"/>
        </w:rPr>
        <w:t>, para. 3.</w:t>
      </w:r>
    </w:p>
  </w:footnote>
  <w:footnote w:id="106">
    <w:p w:rsidR="00CB41EA" w:rsidRPr="005F79FA" w14:paraId="0C920E2B" w14:textId="6BDD6304">
      <w:pPr>
        <w:pStyle w:val="FootnoteText"/>
      </w:pPr>
      <w:r>
        <w:rPr>
          <w:rStyle w:val="FootnoteReference"/>
        </w:rPr>
        <w:footnoteRef/>
      </w:r>
      <w:r>
        <w:t xml:space="preserve"> </w:t>
      </w:r>
      <w:r w:rsidR="00DE457D">
        <w:rPr>
          <w:i/>
          <w:iCs/>
        </w:rPr>
        <w:t>Cellco</w:t>
      </w:r>
      <w:r w:rsidR="00DE457D">
        <w:rPr>
          <w:i/>
          <w:iCs/>
        </w:rPr>
        <w:t xml:space="preserve"> Partnership D/B/A Verizon Wireless Informal Complaint Regarding Access to Telecommunications Services, </w:t>
      </w:r>
      <w:r w:rsidR="00DE457D">
        <w:t xml:space="preserve">Order, </w:t>
      </w:r>
      <w:r w:rsidR="0041692A">
        <w:t>DA No.</w:t>
      </w:r>
      <w:r w:rsidRPr="00E07E65" w:rsidR="00E07E65">
        <w:t xml:space="preserve"> 22-622</w:t>
      </w:r>
      <w:r w:rsidR="00637F77">
        <w:t>, paras. 7-8</w:t>
      </w:r>
      <w:r w:rsidR="0041692A">
        <w:t xml:space="preserve"> (rel. June </w:t>
      </w:r>
      <w:r w:rsidR="00E07E65">
        <w:t>9</w:t>
      </w:r>
      <w:r w:rsidR="00DE1058">
        <w:t>, 2022)</w:t>
      </w:r>
      <w:r w:rsidR="005F79FA">
        <w:t xml:space="preserve"> </w:t>
      </w:r>
      <w:r w:rsidR="00DE1058">
        <w:t>(</w:t>
      </w:r>
      <w:r w:rsidR="00B540EA">
        <w:rPr>
          <w:i/>
          <w:iCs/>
        </w:rPr>
        <w:t>Verizon EB</w:t>
      </w:r>
      <w:r w:rsidR="00CB4324">
        <w:rPr>
          <w:i/>
          <w:iCs/>
        </w:rPr>
        <w:t xml:space="preserve"> Order</w:t>
      </w:r>
      <w:r w:rsidR="005F79FA">
        <w:t>).</w:t>
      </w:r>
    </w:p>
  </w:footnote>
  <w:footnote w:id="107">
    <w:p w:rsidR="005976C3" w:rsidRPr="005976C3" w14:paraId="0390D421" w14:textId="6439787E">
      <w:pPr>
        <w:pStyle w:val="FootnoteText"/>
      </w:pPr>
      <w:r>
        <w:rPr>
          <w:rStyle w:val="FootnoteReference"/>
        </w:rPr>
        <w:footnoteRef/>
      </w:r>
      <w:r>
        <w:t xml:space="preserve"> </w:t>
      </w:r>
      <w:r>
        <w:rPr>
          <w:i/>
          <w:iCs/>
        </w:rPr>
        <w:t>Verizon EB Order</w:t>
      </w:r>
      <w:r>
        <w:t xml:space="preserve">, para. </w:t>
      </w:r>
      <w:r w:rsidR="0078248E">
        <w:t>2.</w:t>
      </w:r>
    </w:p>
  </w:footnote>
  <w:footnote w:id="108">
    <w:p w:rsidR="00C7733F" w:rsidRPr="00C7733F" w14:paraId="31D9D974" w14:textId="6482D590">
      <w:pPr>
        <w:pStyle w:val="FootnoteText"/>
      </w:pPr>
      <w:r>
        <w:rPr>
          <w:rStyle w:val="FootnoteReference"/>
        </w:rPr>
        <w:footnoteRef/>
      </w:r>
      <w:r>
        <w:t xml:space="preserve"> </w:t>
      </w:r>
      <w:r>
        <w:rPr>
          <w:i/>
          <w:iCs/>
        </w:rPr>
        <w:t>Verizon EB Order</w:t>
      </w:r>
      <w:r>
        <w:t>, para. 20.</w:t>
      </w:r>
    </w:p>
  </w:footnote>
  <w:footnote w:id="109">
    <w:p w:rsidR="002C0D50" w:rsidRPr="003529DF" w:rsidP="008907B0" w14:paraId="2378DAC3" w14:textId="7D14A6CC">
      <w:pPr>
        <w:spacing w:after="120"/>
        <w:rPr>
          <w:sz w:val="20"/>
        </w:rPr>
      </w:pPr>
      <w:r w:rsidRPr="003529DF">
        <w:rPr>
          <w:rStyle w:val="FootnoteReference"/>
          <w:sz w:val="20"/>
        </w:rPr>
        <w:footnoteRef/>
      </w:r>
      <w:r w:rsidRPr="003529DF">
        <w:rPr>
          <w:sz w:val="20"/>
        </w:rPr>
        <w:t xml:space="preserve"> 47 USC § 618(a)(3)(B).</w:t>
      </w:r>
      <w:r w:rsidR="00AC123E">
        <w:rPr>
          <w:sz w:val="20"/>
        </w:rPr>
        <w:t xml:space="preserve"> </w:t>
      </w:r>
      <w:r w:rsidR="00D44181">
        <w:rPr>
          <w:i/>
          <w:iCs/>
          <w:sz w:val="20"/>
        </w:rPr>
        <w:t xml:space="preserve">See </w:t>
      </w:r>
      <w:r w:rsidRPr="00737D0D" w:rsidR="00D44181">
        <w:rPr>
          <w:i/>
          <w:iCs/>
          <w:sz w:val="20"/>
        </w:rPr>
        <w:t>V</w:t>
      </w:r>
      <w:r w:rsidRPr="00737D0D" w:rsidR="00226F93">
        <w:rPr>
          <w:i/>
          <w:iCs/>
          <w:sz w:val="20"/>
        </w:rPr>
        <w:t xml:space="preserve">iaTalk </w:t>
      </w:r>
      <w:r w:rsidR="00DC43B2">
        <w:rPr>
          <w:i/>
          <w:iCs/>
          <w:sz w:val="20"/>
        </w:rPr>
        <w:t xml:space="preserve">EB </w:t>
      </w:r>
      <w:r w:rsidRPr="00737D0D" w:rsidR="00226F93">
        <w:rPr>
          <w:i/>
          <w:iCs/>
          <w:sz w:val="20"/>
        </w:rPr>
        <w:t>Order</w:t>
      </w:r>
      <w:r w:rsidR="00EF7F44">
        <w:rPr>
          <w:sz w:val="20"/>
        </w:rPr>
        <w:t>;</w:t>
      </w:r>
      <w:r w:rsidR="00EF7F44">
        <w:rPr>
          <w:sz w:val="20"/>
        </w:rPr>
        <w:t xml:space="preserve"> </w:t>
      </w:r>
      <w:r w:rsidR="00DC43B2">
        <w:rPr>
          <w:i/>
          <w:iCs/>
          <w:sz w:val="20"/>
        </w:rPr>
        <w:t>Verizon EB Order</w:t>
      </w:r>
      <w:r w:rsidR="00226F93">
        <w:rPr>
          <w:sz w:val="20"/>
        </w:rPr>
        <w:t>.</w:t>
      </w:r>
    </w:p>
  </w:footnote>
  <w:footnote w:id="110">
    <w:p w:rsidR="002C0D50" w:rsidRPr="003529DF" w:rsidP="001003B4" w14:paraId="6E6D2069" w14:textId="77777777">
      <w:pPr>
        <w:pStyle w:val="FootnoteText"/>
      </w:pPr>
      <w:r w:rsidRPr="003529DF">
        <w:rPr>
          <w:rStyle w:val="FootnoteReference"/>
          <w:sz w:val="20"/>
        </w:rPr>
        <w:footnoteRef/>
      </w:r>
      <w:r w:rsidRPr="003529DF">
        <w:t xml:space="preserve"> 47 U.S.C. § 618(b)(1)(G).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50" w:rsidRPr="009838BC" w:rsidP="00D62AD4" w14:paraId="67A0CF0A" w14:textId="47059F29">
    <w:pPr>
      <w:tabs>
        <w:tab w:val="center" w:pos="4680"/>
        <w:tab w:val="right" w:pos="9360"/>
      </w:tabs>
    </w:pPr>
    <w:r w:rsidRPr="009838BC">
      <w:rPr>
        <w:b/>
      </w:rPr>
      <w:tab/>
      <w:t>Federal Communications Commission</w:t>
    </w:r>
    <w:r w:rsidRPr="009838BC">
      <w:rPr>
        <w:b/>
      </w:rPr>
      <w:tab/>
    </w:r>
    <w:r w:rsidRPr="0085214F">
      <w:rPr>
        <w:b/>
      </w:rPr>
      <w:t xml:space="preserve">DA </w:t>
    </w:r>
    <w:r w:rsidRPr="006E2825">
      <w:rPr>
        <w:b/>
      </w:rPr>
      <w:t>2</w:t>
    </w:r>
    <w:r>
      <w:rPr>
        <w:b/>
      </w:rPr>
      <w:t>2</w:t>
    </w:r>
    <w:r w:rsidRPr="00543D90">
      <w:rPr>
        <w:b/>
      </w:rPr>
      <w:t>-</w:t>
    </w:r>
    <w:r w:rsidR="002E4A8F">
      <w:rPr>
        <w:b/>
      </w:rPr>
      <w:t>661</w:t>
    </w:r>
  </w:p>
  <w:p w:rsidR="002C0D50" w:rsidRPr="009838BC" w:rsidP="00D62AD4" w14:paraId="1F339E62" w14:textId="70540D4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2C0D50" w:rsidRPr="009838BC" w:rsidP="00D62AD4" w14:paraId="1A4FD0B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50" w:rsidRPr="009838BC" w:rsidP="00D62AD4" w14:paraId="3C4BEC9A" w14:textId="77777777">
    <w:pPr>
      <w:pStyle w:val="Header"/>
      <w:rPr>
        <w:sz w:val="20"/>
      </w:rPr>
    </w:pPr>
    <w:r>
      <w:rPr>
        <w:noProof/>
        <w:snapToGrid/>
      </w:rPr>
      <w:drawing>
        <wp:inline distT="0" distB="0" distL="0" distR="0">
          <wp:extent cx="5943600" cy="142875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Text&#10;&#10;Description automatically generated with medium confidenc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6A3" w14:paraId="159C13B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6CFC5A11" w14:textId="27518887">
    <w:pPr>
      <w:tabs>
        <w:tab w:val="center" w:pos="4680"/>
        <w:tab w:val="right" w:pos="9360"/>
      </w:tabs>
    </w:pPr>
    <w:r>
      <w:rPr>
        <w:b/>
      </w:rPr>
      <w:tab/>
      <w:t>Federal Communications Commission</w:t>
    </w:r>
    <w:r>
      <w:rPr>
        <w:b/>
      </w:rPr>
      <w:tab/>
    </w:r>
    <w:r w:rsidR="00EB7228">
      <w:rPr>
        <w:b/>
      </w:rPr>
      <w:t>DA 22-</w:t>
    </w:r>
    <w:r w:rsidR="002E4A8F">
      <w:rPr>
        <w:b/>
      </w:rPr>
      <w:t>661</w:t>
    </w:r>
  </w:p>
  <w:p w:rsidR="00F665A4" w14:paraId="28183876" w14:textId="3066A8A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F665A4" w14:paraId="443ACB20" w14:textId="77777777">
    <w:pPr>
      <w:spacing w:before="40"/>
      <w:rPr>
        <w:rFonts w:ascii="Arial" w:hAnsi="Arial" w:cs="Arial"/>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5A4" w14:paraId="2333DB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D95407C6"/>
    <w:lvl w:ilvl="0">
      <w:start w:val="1"/>
      <w:numFmt w:val="decimal"/>
      <w:lvlText w:val="%1."/>
      <w:lvlJc w:val="left"/>
      <w:pPr>
        <w:ind w:left="0" w:firstLine="720"/>
      </w:pPr>
      <w:rPr>
        <w:b w:val="0"/>
        <w:bCs w:val="0"/>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CB657A"/>
    <w:multiLevelType w:val="hybridMultilevel"/>
    <w:tmpl w:val="6A76A0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9821228"/>
    <w:multiLevelType w:val="hybridMultilevel"/>
    <w:tmpl w:val="9934C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9"/>
  </w:num>
  <w:num w:numId="5">
    <w:abstractNumId w:val="5"/>
  </w:num>
  <w:num w:numId="6">
    <w:abstractNumId w:val="2"/>
  </w:num>
  <w:num w:numId="7">
    <w:abstractNumId w:val="8"/>
  </w:num>
  <w:num w:numId="8">
    <w:abstractNumId w:val="11"/>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76"/>
    <w:rsid w:val="00000742"/>
    <w:rsid w:val="00001367"/>
    <w:rsid w:val="00003B78"/>
    <w:rsid w:val="00005BB5"/>
    <w:rsid w:val="00007024"/>
    <w:rsid w:val="00007FC6"/>
    <w:rsid w:val="00011EF3"/>
    <w:rsid w:val="0001365A"/>
    <w:rsid w:val="00014526"/>
    <w:rsid w:val="0002353C"/>
    <w:rsid w:val="00024D1E"/>
    <w:rsid w:val="000264B2"/>
    <w:rsid w:val="00031ECB"/>
    <w:rsid w:val="000335D3"/>
    <w:rsid w:val="00034588"/>
    <w:rsid w:val="00034691"/>
    <w:rsid w:val="00036E23"/>
    <w:rsid w:val="00044AF7"/>
    <w:rsid w:val="000456BF"/>
    <w:rsid w:val="0004621B"/>
    <w:rsid w:val="000520C3"/>
    <w:rsid w:val="000527BE"/>
    <w:rsid w:val="00056BAC"/>
    <w:rsid w:val="0005702A"/>
    <w:rsid w:val="000575E2"/>
    <w:rsid w:val="00057792"/>
    <w:rsid w:val="000611C8"/>
    <w:rsid w:val="000611F2"/>
    <w:rsid w:val="00061E83"/>
    <w:rsid w:val="000665EC"/>
    <w:rsid w:val="000755AA"/>
    <w:rsid w:val="0008672F"/>
    <w:rsid w:val="00087F44"/>
    <w:rsid w:val="000901E5"/>
    <w:rsid w:val="00090FF9"/>
    <w:rsid w:val="000925E0"/>
    <w:rsid w:val="00093422"/>
    <w:rsid w:val="0009659A"/>
    <w:rsid w:val="000969A9"/>
    <w:rsid w:val="000A051C"/>
    <w:rsid w:val="000A0B62"/>
    <w:rsid w:val="000A203E"/>
    <w:rsid w:val="000A2123"/>
    <w:rsid w:val="000A2D54"/>
    <w:rsid w:val="000A4427"/>
    <w:rsid w:val="000A502D"/>
    <w:rsid w:val="000A703E"/>
    <w:rsid w:val="000B02EE"/>
    <w:rsid w:val="000B08C0"/>
    <w:rsid w:val="000B3A61"/>
    <w:rsid w:val="000B589F"/>
    <w:rsid w:val="000B7625"/>
    <w:rsid w:val="000C1BF2"/>
    <w:rsid w:val="000C6B0A"/>
    <w:rsid w:val="000C7B3B"/>
    <w:rsid w:val="000D06F0"/>
    <w:rsid w:val="000D1A7A"/>
    <w:rsid w:val="000D550B"/>
    <w:rsid w:val="000E26DA"/>
    <w:rsid w:val="000E2AF4"/>
    <w:rsid w:val="000E6CC4"/>
    <w:rsid w:val="000F2D1A"/>
    <w:rsid w:val="000F3B70"/>
    <w:rsid w:val="000F5CC5"/>
    <w:rsid w:val="000F6FC4"/>
    <w:rsid w:val="001003B4"/>
    <w:rsid w:val="0010094E"/>
    <w:rsid w:val="001055BC"/>
    <w:rsid w:val="00117E48"/>
    <w:rsid w:val="0012382B"/>
    <w:rsid w:val="001322FD"/>
    <w:rsid w:val="00136267"/>
    <w:rsid w:val="00137681"/>
    <w:rsid w:val="00146DB5"/>
    <w:rsid w:val="00147E40"/>
    <w:rsid w:val="0015007C"/>
    <w:rsid w:val="001523F9"/>
    <w:rsid w:val="001537CF"/>
    <w:rsid w:val="00162501"/>
    <w:rsid w:val="00163F92"/>
    <w:rsid w:val="00164F25"/>
    <w:rsid w:val="00172BBF"/>
    <w:rsid w:val="00172BF8"/>
    <w:rsid w:val="0017681A"/>
    <w:rsid w:val="001815D4"/>
    <w:rsid w:val="00183577"/>
    <w:rsid w:val="00186F33"/>
    <w:rsid w:val="0019173E"/>
    <w:rsid w:val="001932CA"/>
    <w:rsid w:val="00195310"/>
    <w:rsid w:val="001953D9"/>
    <w:rsid w:val="00195BA3"/>
    <w:rsid w:val="001964B7"/>
    <w:rsid w:val="00197E0F"/>
    <w:rsid w:val="001A13DF"/>
    <w:rsid w:val="001A356A"/>
    <w:rsid w:val="001A6F0D"/>
    <w:rsid w:val="001B284C"/>
    <w:rsid w:val="001B3747"/>
    <w:rsid w:val="001B7311"/>
    <w:rsid w:val="001C0D39"/>
    <w:rsid w:val="001C2963"/>
    <w:rsid w:val="001C3AC5"/>
    <w:rsid w:val="001C459A"/>
    <w:rsid w:val="001C45ED"/>
    <w:rsid w:val="001D3339"/>
    <w:rsid w:val="001D46A3"/>
    <w:rsid w:val="001D66EB"/>
    <w:rsid w:val="001D7B1D"/>
    <w:rsid w:val="001E412A"/>
    <w:rsid w:val="001E70BD"/>
    <w:rsid w:val="001F15B9"/>
    <w:rsid w:val="001F57C2"/>
    <w:rsid w:val="001F7F39"/>
    <w:rsid w:val="002010CA"/>
    <w:rsid w:val="00201690"/>
    <w:rsid w:val="0020261A"/>
    <w:rsid w:val="002029E1"/>
    <w:rsid w:val="00202EE7"/>
    <w:rsid w:val="00205FA3"/>
    <w:rsid w:val="00206962"/>
    <w:rsid w:val="00207106"/>
    <w:rsid w:val="00210962"/>
    <w:rsid w:val="002133B0"/>
    <w:rsid w:val="00213740"/>
    <w:rsid w:val="0021597E"/>
    <w:rsid w:val="00223AE0"/>
    <w:rsid w:val="00223F1F"/>
    <w:rsid w:val="00225C9B"/>
    <w:rsid w:val="00226F93"/>
    <w:rsid w:val="00233B77"/>
    <w:rsid w:val="002353D2"/>
    <w:rsid w:val="00243F0F"/>
    <w:rsid w:val="00246D55"/>
    <w:rsid w:val="002546AC"/>
    <w:rsid w:val="002730A0"/>
    <w:rsid w:val="002735FC"/>
    <w:rsid w:val="00274474"/>
    <w:rsid w:val="00275231"/>
    <w:rsid w:val="00281852"/>
    <w:rsid w:val="00284F7B"/>
    <w:rsid w:val="002850ED"/>
    <w:rsid w:val="00285DA3"/>
    <w:rsid w:val="00292D5D"/>
    <w:rsid w:val="0029719E"/>
    <w:rsid w:val="002A1046"/>
    <w:rsid w:val="002A21B5"/>
    <w:rsid w:val="002A2889"/>
    <w:rsid w:val="002B09EF"/>
    <w:rsid w:val="002B0AF5"/>
    <w:rsid w:val="002B28A2"/>
    <w:rsid w:val="002B43AB"/>
    <w:rsid w:val="002B7B48"/>
    <w:rsid w:val="002C0D50"/>
    <w:rsid w:val="002C52FF"/>
    <w:rsid w:val="002D0C01"/>
    <w:rsid w:val="002D19D3"/>
    <w:rsid w:val="002D537A"/>
    <w:rsid w:val="002D6318"/>
    <w:rsid w:val="002D63CA"/>
    <w:rsid w:val="002D727F"/>
    <w:rsid w:val="002D7D40"/>
    <w:rsid w:val="002E1A8F"/>
    <w:rsid w:val="002E33D4"/>
    <w:rsid w:val="002E4A8F"/>
    <w:rsid w:val="002F320E"/>
    <w:rsid w:val="002F43BA"/>
    <w:rsid w:val="002F4E35"/>
    <w:rsid w:val="00300A98"/>
    <w:rsid w:val="00301561"/>
    <w:rsid w:val="003023A0"/>
    <w:rsid w:val="00303AA7"/>
    <w:rsid w:val="0030782E"/>
    <w:rsid w:val="00314841"/>
    <w:rsid w:val="00315797"/>
    <w:rsid w:val="00316099"/>
    <w:rsid w:val="003209F9"/>
    <w:rsid w:val="00320B14"/>
    <w:rsid w:val="00335C27"/>
    <w:rsid w:val="00340A8C"/>
    <w:rsid w:val="0034198A"/>
    <w:rsid w:val="00342102"/>
    <w:rsid w:val="00343F84"/>
    <w:rsid w:val="0034461B"/>
    <w:rsid w:val="00344CED"/>
    <w:rsid w:val="00345F5E"/>
    <w:rsid w:val="003465DE"/>
    <w:rsid w:val="003476F5"/>
    <w:rsid w:val="0034795C"/>
    <w:rsid w:val="00350169"/>
    <w:rsid w:val="003506C8"/>
    <w:rsid w:val="003514FB"/>
    <w:rsid w:val="00352379"/>
    <w:rsid w:val="003529DF"/>
    <w:rsid w:val="00353A7F"/>
    <w:rsid w:val="00363486"/>
    <w:rsid w:val="003644C9"/>
    <w:rsid w:val="00365EEB"/>
    <w:rsid w:val="00367B72"/>
    <w:rsid w:val="0037011B"/>
    <w:rsid w:val="00370D4D"/>
    <w:rsid w:val="003832B6"/>
    <w:rsid w:val="00383C35"/>
    <w:rsid w:val="00385FD4"/>
    <w:rsid w:val="0038702A"/>
    <w:rsid w:val="00392E07"/>
    <w:rsid w:val="00394A8E"/>
    <w:rsid w:val="003961D2"/>
    <w:rsid w:val="00396FBF"/>
    <w:rsid w:val="00397201"/>
    <w:rsid w:val="003A012C"/>
    <w:rsid w:val="003A27D3"/>
    <w:rsid w:val="003A3F4A"/>
    <w:rsid w:val="003A58FD"/>
    <w:rsid w:val="003A7BB3"/>
    <w:rsid w:val="003B0645"/>
    <w:rsid w:val="003B1258"/>
    <w:rsid w:val="003B4562"/>
    <w:rsid w:val="003B6DDC"/>
    <w:rsid w:val="003B70F8"/>
    <w:rsid w:val="003B7276"/>
    <w:rsid w:val="003C323F"/>
    <w:rsid w:val="003C5C49"/>
    <w:rsid w:val="003D0098"/>
    <w:rsid w:val="003D7141"/>
    <w:rsid w:val="003E0687"/>
    <w:rsid w:val="003F0003"/>
    <w:rsid w:val="003F431E"/>
    <w:rsid w:val="00405C7D"/>
    <w:rsid w:val="00406445"/>
    <w:rsid w:val="0041193F"/>
    <w:rsid w:val="00414FB7"/>
    <w:rsid w:val="00415AF7"/>
    <w:rsid w:val="0041692A"/>
    <w:rsid w:val="00421438"/>
    <w:rsid w:val="00425C11"/>
    <w:rsid w:val="004266A8"/>
    <w:rsid w:val="0042690D"/>
    <w:rsid w:val="004306AF"/>
    <w:rsid w:val="00432223"/>
    <w:rsid w:val="00434165"/>
    <w:rsid w:val="00435DAD"/>
    <w:rsid w:val="00442323"/>
    <w:rsid w:val="00442C1C"/>
    <w:rsid w:val="0044630A"/>
    <w:rsid w:val="0044631E"/>
    <w:rsid w:val="00460856"/>
    <w:rsid w:val="004611A6"/>
    <w:rsid w:val="004664A3"/>
    <w:rsid w:val="00471A68"/>
    <w:rsid w:val="0047687C"/>
    <w:rsid w:val="004800FC"/>
    <w:rsid w:val="00483B19"/>
    <w:rsid w:val="0049022A"/>
    <w:rsid w:val="00490A18"/>
    <w:rsid w:val="00492980"/>
    <w:rsid w:val="00495640"/>
    <w:rsid w:val="004966AF"/>
    <w:rsid w:val="004966D7"/>
    <w:rsid w:val="00496C42"/>
    <w:rsid w:val="00497779"/>
    <w:rsid w:val="004A2FBE"/>
    <w:rsid w:val="004A32F6"/>
    <w:rsid w:val="004A340A"/>
    <w:rsid w:val="004A4E62"/>
    <w:rsid w:val="004A5049"/>
    <w:rsid w:val="004A7988"/>
    <w:rsid w:val="004B00E6"/>
    <w:rsid w:val="004B53EC"/>
    <w:rsid w:val="004B7A1A"/>
    <w:rsid w:val="004C4CFF"/>
    <w:rsid w:val="004D11AC"/>
    <w:rsid w:val="004D608E"/>
    <w:rsid w:val="004D6A17"/>
    <w:rsid w:val="004E1599"/>
    <w:rsid w:val="004E17B8"/>
    <w:rsid w:val="004E437E"/>
    <w:rsid w:val="004F3596"/>
    <w:rsid w:val="004F3C7A"/>
    <w:rsid w:val="004F4EA1"/>
    <w:rsid w:val="004F51CD"/>
    <w:rsid w:val="005007BE"/>
    <w:rsid w:val="0050083F"/>
    <w:rsid w:val="00502B4D"/>
    <w:rsid w:val="00506828"/>
    <w:rsid w:val="005073D6"/>
    <w:rsid w:val="0051064A"/>
    <w:rsid w:val="00511352"/>
    <w:rsid w:val="0051566B"/>
    <w:rsid w:val="005210B1"/>
    <w:rsid w:val="00525741"/>
    <w:rsid w:val="00525F99"/>
    <w:rsid w:val="00527CE7"/>
    <w:rsid w:val="00533E70"/>
    <w:rsid w:val="00534665"/>
    <w:rsid w:val="0053490B"/>
    <w:rsid w:val="00534BAC"/>
    <w:rsid w:val="0053546E"/>
    <w:rsid w:val="0053725D"/>
    <w:rsid w:val="00537A6E"/>
    <w:rsid w:val="005408E2"/>
    <w:rsid w:val="00540AA3"/>
    <w:rsid w:val="00541E0B"/>
    <w:rsid w:val="00543D90"/>
    <w:rsid w:val="00544955"/>
    <w:rsid w:val="00544C20"/>
    <w:rsid w:val="00545B6D"/>
    <w:rsid w:val="005469F7"/>
    <w:rsid w:val="005528E0"/>
    <w:rsid w:val="00556DC8"/>
    <w:rsid w:val="0056055F"/>
    <w:rsid w:val="005624B3"/>
    <w:rsid w:val="00565B28"/>
    <w:rsid w:val="00565F9F"/>
    <w:rsid w:val="005674B9"/>
    <w:rsid w:val="00573938"/>
    <w:rsid w:val="00580533"/>
    <w:rsid w:val="00580873"/>
    <w:rsid w:val="00580B1D"/>
    <w:rsid w:val="00583746"/>
    <w:rsid w:val="00584733"/>
    <w:rsid w:val="005859AC"/>
    <w:rsid w:val="00585E1F"/>
    <w:rsid w:val="00586CB8"/>
    <w:rsid w:val="00587FA0"/>
    <w:rsid w:val="00590978"/>
    <w:rsid w:val="00595886"/>
    <w:rsid w:val="005976C3"/>
    <w:rsid w:val="00597762"/>
    <w:rsid w:val="005A67B5"/>
    <w:rsid w:val="005A7209"/>
    <w:rsid w:val="005A7538"/>
    <w:rsid w:val="005B0D97"/>
    <w:rsid w:val="005B17EB"/>
    <w:rsid w:val="005B616E"/>
    <w:rsid w:val="005C1F02"/>
    <w:rsid w:val="005C2ABC"/>
    <w:rsid w:val="005C4959"/>
    <w:rsid w:val="005D00CC"/>
    <w:rsid w:val="005E0E4E"/>
    <w:rsid w:val="005E32F9"/>
    <w:rsid w:val="005E681F"/>
    <w:rsid w:val="005E691E"/>
    <w:rsid w:val="005E7DEE"/>
    <w:rsid w:val="005F21FB"/>
    <w:rsid w:val="005F4ECE"/>
    <w:rsid w:val="005F79FA"/>
    <w:rsid w:val="00600214"/>
    <w:rsid w:val="006011A2"/>
    <w:rsid w:val="006024D2"/>
    <w:rsid w:val="00606044"/>
    <w:rsid w:val="00606A56"/>
    <w:rsid w:val="00607E7B"/>
    <w:rsid w:val="0061277B"/>
    <w:rsid w:val="00615477"/>
    <w:rsid w:val="006222AD"/>
    <w:rsid w:val="006225ED"/>
    <w:rsid w:val="006228FB"/>
    <w:rsid w:val="00624966"/>
    <w:rsid w:val="0063046E"/>
    <w:rsid w:val="006318B2"/>
    <w:rsid w:val="00633477"/>
    <w:rsid w:val="006336DE"/>
    <w:rsid w:val="00635E8C"/>
    <w:rsid w:val="00637F77"/>
    <w:rsid w:val="00642BFA"/>
    <w:rsid w:val="006528E9"/>
    <w:rsid w:val="00652DA6"/>
    <w:rsid w:val="00653EFE"/>
    <w:rsid w:val="00654B4F"/>
    <w:rsid w:val="006667B9"/>
    <w:rsid w:val="0067370D"/>
    <w:rsid w:val="006757E4"/>
    <w:rsid w:val="00683212"/>
    <w:rsid w:val="006879F2"/>
    <w:rsid w:val="00687E8E"/>
    <w:rsid w:val="006900FB"/>
    <w:rsid w:val="00690E65"/>
    <w:rsid w:val="00691D6F"/>
    <w:rsid w:val="006953B7"/>
    <w:rsid w:val="0069748A"/>
    <w:rsid w:val="006A0504"/>
    <w:rsid w:val="006A58AB"/>
    <w:rsid w:val="006A5C84"/>
    <w:rsid w:val="006B0F31"/>
    <w:rsid w:val="006B57A6"/>
    <w:rsid w:val="006B605E"/>
    <w:rsid w:val="006B683E"/>
    <w:rsid w:val="006C207B"/>
    <w:rsid w:val="006C64AE"/>
    <w:rsid w:val="006D2DF0"/>
    <w:rsid w:val="006D5866"/>
    <w:rsid w:val="006E16D7"/>
    <w:rsid w:val="006E1A2E"/>
    <w:rsid w:val="006E2825"/>
    <w:rsid w:val="006E4CB7"/>
    <w:rsid w:val="006E5BE2"/>
    <w:rsid w:val="006E63E0"/>
    <w:rsid w:val="006E77EC"/>
    <w:rsid w:val="006F3B69"/>
    <w:rsid w:val="006F7770"/>
    <w:rsid w:val="00702B1D"/>
    <w:rsid w:val="007045CF"/>
    <w:rsid w:val="007053A9"/>
    <w:rsid w:val="007073A1"/>
    <w:rsid w:val="00707AF4"/>
    <w:rsid w:val="007108AC"/>
    <w:rsid w:val="0071245E"/>
    <w:rsid w:val="007139B2"/>
    <w:rsid w:val="00713C09"/>
    <w:rsid w:val="00717796"/>
    <w:rsid w:val="00722DB7"/>
    <w:rsid w:val="00724483"/>
    <w:rsid w:val="00725719"/>
    <w:rsid w:val="0072654D"/>
    <w:rsid w:val="00726B52"/>
    <w:rsid w:val="007314E0"/>
    <w:rsid w:val="0073260B"/>
    <w:rsid w:val="00736817"/>
    <w:rsid w:val="007370C0"/>
    <w:rsid w:val="00737D0D"/>
    <w:rsid w:val="007435F9"/>
    <w:rsid w:val="007458E6"/>
    <w:rsid w:val="00745E70"/>
    <w:rsid w:val="00747B7B"/>
    <w:rsid w:val="007557D3"/>
    <w:rsid w:val="00755BB5"/>
    <w:rsid w:val="007563E3"/>
    <w:rsid w:val="0076468E"/>
    <w:rsid w:val="00764E8F"/>
    <w:rsid w:val="00765471"/>
    <w:rsid w:val="00767BEF"/>
    <w:rsid w:val="00770B55"/>
    <w:rsid w:val="00780C63"/>
    <w:rsid w:val="00781297"/>
    <w:rsid w:val="007819DB"/>
    <w:rsid w:val="00781A97"/>
    <w:rsid w:val="0078248E"/>
    <w:rsid w:val="00782EBF"/>
    <w:rsid w:val="0078619F"/>
    <w:rsid w:val="007906E0"/>
    <w:rsid w:val="00796581"/>
    <w:rsid w:val="00796D66"/>
    <w:rsid w:val="00797C6F"/>
    <w:rsid w:val="007A09F3"/>
    <w:rsid w:val="007A0B8E"/>
    <w:rsid w:val="007A1612"/>
    <w:rsid w:val="007A1BD9"/>
    <w:rsid w:val="007A5989"/>
    <w:rsid w:val="007A6178"/>
    <w:rsid w:val="007B0323"/>
    <w:rsid w:val="007B25B2"/>
    <w:rsid w:val="007B2929"/>
    <w:rsid w:val="007B33A4"/>
    <w:rsid w:val="007B33D8"/>
    <w:rsid w:val="007B3DE7"/>
    <w:rsid w:val="007B4E71"/>
    <w:rsid w:val="007B5AE8"/>
    <w:rsid w:val="007B7ED8"/>
    <w:rsid w:val="007C0D7F"/>
    <w:rsid w:val="007C5EF2"/>
    <w:rsid w:val="007D30FF"/>
    <w:rsid w:val="007E0278"/>
    <w:rsid w:val="007E32B9"/>
    <w:rsid w:val="007E3DAE"/>
    <w:rsid w:val="007F29E0"/>
    <w:rsid w:val="007F48DD"/>
    <w:rsid w:val="007F62FD"/>
    <w:rsid w:val="00800321"/>
    <w:rsid w:val="0080404E"/>
    <w:rsid w:val="00807CB7"/>
    <w:rsid w:val="00810D2B"/>
    <w:rsid w:val="008113C2"/>
    <w:rsid w:val="00814536"/>
    <w:rsid w:val="008163B5"/>
    <w:rsid w:val="00821923"/>
    <w:rsid w:val="008239B4"/>
    <w:rsid w:val="00830222"/>
    <w:rsid w:val="008360BD"/>
    <w:rsid w:val="00837690"/>
    <w:rsid w:val="00837F2B"/>
    <w:rsid w:val="00844A9B"/>
    <w:rsid w:val="00845693"/>
    <w:rsid w:val="00850B1A"/>
    <w:rsid w:val="0085214F"/>
    <w:rsid w:val="008612FD"/>
    <w:rsid w:val="00865CCB"/>
    <w:rsid w:val="008665CF"/>
    <w:rsid w:val="008746FC"/>
    <w:rsid w:val="008868CD"/>
    <w:rsid w:val="00886C0D"/>
    <w:rsid w:val="00887A78"/>
    <w:rsid w:val="008907B0"/>
    <w:rsid w:val="00891FD1"/>
    <w:rsid w:val="008939E6"/>
    <w:rsid w:val="008A1DD0"/>
    <w:rsid w:val="008A649C"/>
    <w:rsid w:val="008A7FBA"/>
    <w:rsid w:val="008B2946"/>
    <w:rsid w:val="008B2CE5"/>
    <w:rsid w:val="008B616E"/>
    <w:rsid w:val="008B71A8"/>
    <w:rsid w:val="008D09F6"/>
    <w:rsid w:val="008D0E2B"/>
    <w:rsid w:val="008D4CD2"/>
    <w:rsid w:val="008E16CE"/>
    <w:rsid w:val="008E237A"/>
    <w:rsid w:val="008F230C"/>
    <w:rsid w:val="008F2DC1"/>
    <w:rsid w:val="0090701C"/>
    <w:rsid w:val="00915031"/>
    <w:rsid w:val="00930E10"/>
    <w:rsid w:val="00930ECF"/>
    <w:rsid w:val="00931912"/>
    <w:rsid w:val="00931C78"/>
    <w:rsid w:val="00931FEC"/>
    <w:rsid w:val="0093383A"/>
    <w:rsid w:val="00934CAF"/>
    <w:rsid w:val="00941C55"/>
    <w:rsid w:val="00943BAF"/>
    <w:rsid w:val="009523D4"/>
    <w:rsid w:val="00954A00"/>
    <w:rsid w:val="00955148"/>
    <w:rsid w:val="00955A9A"/>
    <w:rsid w:val="009572AE"/>
    <w:rsid w:val="00957B96"/>
    <w:rsid w:val="0096483E"/>
    <w:rsid w:val="009676C5"/>
    <w:rsid w:val="00967C82"/>
    <w:rsid w:val="00970B5D"/>
    <w:rsid w:val="009759FA"/>
    <w:rsid w:val="009773C6"/>
    <w:rsid w:val="00980128"/>
    <w:rsid w:val="00980909"/>
    <w:rsid w:val="00983793"/>
    <w:rsid w:val="009838BC"/>
    <w:rsid w:val="0099246D"/>
    <w:rsid w:val="00992B2D"/>
    <w:rsid w:val="00994DFC"/>
    <w:rsid w:val="009958A7"/>
    <w:rsid w:val="00996C2D"/>
    <w:rsid w:val="009A1898"/>
    <w:rsid w:val="009A5554"/>
    <w:rsid w:val="009A6AFF"/>
    <w:rsid w:val="009B1258"/>
    <w:rsid w:val="009B14C6"/>
    <w:rsid w:val="009B254C"/>
    <w:rsid w:val="009B3D02"/>
    <w:rsid w:val="009B47F5"/>
    <w:rsid w:val="009B792A"/>
    <w:rsid w:val="009C41EC"/>
    <w:rsid w:val="009C4440"/>
    <w:rsid w:val="009C5520"/>
    <w:rsid w:val="009C64C9"/>
    <w:rsid w:val="009C681F"/>
    <w:rsid w:val="009D33EE"/>
    <w:rsid w:val="009D70FD"/>
    <w:rsid w:val="009E176F"/>
    <w:rsid w:val="009E18E8"/>
    <w:rsid w:val="009E22D0"/>
    <w:rsid w:val="009E250C"/>
    <w:rsid w:val="009E2F92"/>
    <w:rsid w:val="009E709C"/>
    <w:rsid w:val="009F1DBD"/>
    <w:rsid w:val="009F2E23"/>
    <w:rsid w:val="009F3BA4"/>
    <w:rsid w:val="009F3D27"/>
    <w:rsid w:val="009F70AB"/>
    <w:rsid w:val="00A038E7"/>
    <w:rsid w:val="00A22A88"/>
    <w:rsid w:val="00A238F6"/>
    <w:rsid w:val="00A24846"/>
    <w:rsid w:val="00A3027D"/>
    <w:rsid w:val="00A30A04"/>
    <w:rsid w:val="00A347EA"/>
    <w:rsid w:val="00A364BD"/>
    <w:rsid w:val="00A4365E"/>
    <w:rsid w:val="00A4553A"/>
    <w:rsid w:val="00A53999"/>
    <w:rsid w:val="00A55AAD"/>
    <w:rsid w:val="00A5795D"/>
    <w:rsid w:val="00A642BA"/>
    <w:rsid w:val="00A647A5"/>
    <w:rsid w:val="00A65D34"/>
    <w:rsid w:val="00A6734B"/>
    <w:rsid w:val="00A6789C"/>
    <w:rsid w:val="00A72998"/>
    <w:rsid w:val="00A72F16"/>
    <w:rsid w:val="00A73072"/>
    <w:rsid w:val="00A74BF9"/>
    <w:rsid w:val="00A75800"/>
    <w:rsid w:val="00A85963"/>
    <w:rsid w:val="00A9076D"/>
    <w:rsid w:val="00A92982"/>
    <w:rsid w:val="00A9453F"/>
    <w:rsid w:val="00A952FB"/>
    <w:rsid w:val="00AA3FDB"/>
    <w:rsid w:val="00AA4D0E"/>
    <w:rsid w:val="00AA6636"/>
    <w:rsid w:val="00AB6388"/>
    <w:rsid w:val="00AC123E"/>
    <w:rsid w:val="00AC1BB3"/>
    <w:rsid w:val="00AC2675"/>
    <w:rsid w:val="00AC2C37"/>
    <w:rsid w:val="00AC316E"/>
    <w:rsid w:val="00AC6303"/>
    <w:rsid w:val="00AD009D"/>
    <w:rsid w:val="00AD188B"/>
    <w:rsid w:val="00AD38F6"/>
    <w:rsid w:val="00AD4E9C"/>
    <w:rsid w:val="00AD5536"/>
    <w:rsid w:val="00AE09B5"/>
    <w:rsid w:val="00AE0EA2"/>
    <w:rsid w:val="00AE201A"/>
    <w:rsid w:val="00AE35EB"/>
    <w:rsid w:val="00AE3844"/>
    <w:rsid w:val="00AE4732"/>
    <w:rsid w:val="00AE4A4C"/>
    <w:rsid w:val="00AF2314"/>
    <w:rsid w:val="00AF584E"/>
    <w:rsid w:val="00AF704E"/>
    <w:rsid w:val="00AF7D5E"/>
    <w:rsid w:val="00B00F96"/>
    <w:rsid w:val="00B02122"/>
    <w:rsid w:val="00B022D3"/>
    <w:rsid w:val="00B158EF"/>
    <w:rsid w:val="00B25B5D"/>
    <w:rsid w:val="00B25D28"/>
    <w:rsid w:val="00B310FA"/>
    <w:rsid w:val="00B3507B"/>
    <w:rsid w:val="00B3773C"/>
    <w:rsid w:val="00B37E9C"/>
    <w:rsid w:val="00B449D3"/>
    <w:rsid w:val="00B455DF"/>
    <w:rsid w:val="00B47843"/>
    <w:rsid w:val="00B540EA"/>
    <w:rsid w:val="00B61922"/>
    <w:rsid w:val="00B757B3"/>
    <w:rsid w:val="00B80CAD"/>
    <w:rsid w:val="00B8576E"/>
    <w:rsid w:val="00B915BA"/>
    <w:rsid w:val="00B91D34"/>
    <w:rsid w:val="00B938FF"/>
    <w:rsid w:val="00B95F39"/>
    <w:rsid w:val="00B96C90"/>
    <w:rsid w:val="00BB1B52"/>
    <w:rsid w:val="00BB3CEB"/>
    <w:rsid w:val="00BB61E5"/>
    <w:rsid w:val="00BC1EDD"/>
    <w:rsid w:val="00BC2E4B"/>
    <w:rsid w:val="00BC3659"/>
    <w:rsid w:val="00BC6488"/>
    <w:rsid w:val="00BD4572"/>
    <w:rsid w:val="00BD47F0"/>
    <w:rsid w:val="00BD67CB"/>
    <w:rsid w:val="00BD68ED"/>
    <w:rsid w:val="00BE37EB"/>
    <w:rsid w:val="00BE3E44"/>
    <w:rsid w:val="00BF191E"/>
    <w:rsid w:val="00BF47AD"/>
    <w:rsid w:val="00BF51F9"/>
    <w:rsid w:val="00BF5312"/>
    <w:rsid w:val="00C00A36"/>
    <w:rsid w:val="00C04551"/>
    <w:rsid w:val="00C055C8"/>
    <w:rsid w:val="00C062D3"/>
    <w:rsid w:val="00C06C78"/>
    <w:rsid w:val="00C06D8A"/>
    <w:rsid w:val="00C0760F"/>
    <w:rsid w:val="00C11A8B"/>
    <w:rsid w:val="00C127CB"/>
    <w:rsid w:val="00C1423F"/>
    <w:rsid w:val="00C146A6"/>
    <w:rsid w:val="00C14C67"/>
    <w:rsid w:val="00C15F8E"/>
    <w:rsid w:val="00C20EFD"/>
    <w:rsid w:val="00C215E6"/>
    <w:rsid w:val="00C21BA8"/>
    <w:rsid w:val="00C22B21"/>
    <w:rsid w:val="00C26580"/>
    <w:rsid w:val="00C3084F"/>
    <w:rsid w:val="00C30AFA"/>
    <w:rsid w:val="00C3216F"/>
    <w:rsid w:val="00C33287"/>
    <w:rsid w:val="00C35287"/>
    <w:rsid w:val="00C41E8D"/>
    <w:rsid w:val="00C42822"/>
    <w:rsid w:val="00C431AD"/>
    <w:rsid w:val="00C44E84"/>
    <w:rsid w:val="00C45016"/>
    <w:rsid w:val="00C47642"/>
    <w:rsid w:val="00C503F5"/>
    <w:rsid w:val="00C50AC8"/>
    <w:rsid w:val="00C54655"/>
    <w:rsid w:val="00C556C9"/>
    <w:rsid w:val="00C615C7"/>
    <w:rsid w:val="00C64E18"/>
    <w:rsid w:val="00C65693"/>
    <w:rsid w:val="00C66AB4"/>
    <w:rsid w:val="00C714C0"/>
    <w:rsid w:val="00C71854"/>
    <w:rsid w:val="00C7194D"/>
    <w:rsid w:val="00C72DDC"/>
    <w:rsid w:val="00C7733F"/>
    <w:rsid w:val="00C81224"/>
    <w:rsid w:val="00C83076"/>
    <w:rsid w:val="00C84BE9"/>
    <w:rsid w:val="00C92601"/>
    <w:rsid w:val="00C9308B"/>
    <w:rsid w:val="00C95982"/>
    <w:rsid w:val="00CA4330"/>
    <w:rsid w:val="00CA61AA"/>
    <w:rsid w:val="00CA7D58"/>
    <w:rsid w:val="00CB1749"/>
    <w:rsid w:val="00CB41EA"/>
    <w:rsid w:val="00CB4248"/>
    <w:rsid w:val="00CB4324"/>
    <w:rsid w:val="00CC2E32"/>
    <w:rsid w:val="00CD0AF8"/>
    <w:rsid w:val="00CD6223"/>
    <w:rsid w:val="00CD6660"/>
    <w:rsid w:val="00CE1C56"/>
    <w:rsid w:val="00CE51C0"/>
    <w:rsid w:val="00CE60A6"/>
    <w:rsid w:val="00CF00C8"/>
    <w:rsid w:val="00CF0123"/>
    <w:rsid w:val="00CF6371"/>
    <w:rsid w:val="00D01F0E"/>
    <w:rsid w:val="00D05C13"/>
    <w:rsid w:val="00D062DA"/>
    <w:rsid w:val="00D1143C"/>
    <w:rsid w:val="00D129F6"/>
    <w:rsid w:val="00D1450C"/>
    <w:rsid w:val="00D15298"/>
    <w:rsid w:val="00D15AE0"/>
    <w:rsid w:val="00D213E4"/>
    <w:rsid w:val="00D31078"/>
    <w:rsid w:val="00D331F4"/>
    <w:rsid w:val="00D3375A"/>
    <w:rsid w:val="00D3616F"/>
    <w:rsid w:val="00D42C39"/>
    <w:rsid w:val="00D43A01"/>
    <w:rsid w:val="00D44181"/>
    <w:rsid w:val="00D47EA1"/>
    <w:rsid w:val="00D50725"/>
    <w:rsid w:val="00D50B12"/>
    <w:rsid w:val="00D53B42"/>
    <w:rsid w:val="00D554F7"/>
    <w:rsid w:val="00D55659"/>
    <w:rsid w:val="00D57990"/>
    <w:rsid w:val="00D57EF8"/>
    <w:rsid w:val="00D619F2"/>
    <w:rsid w:val="00D62AD4"/>
    <w:rsid w:val="00D72A4A"/>
    <w:rsid w:val="00D7509B"/>
    <w:rsid w:val="00D759E2"/>
    <w:rsid w:val="00D77600"/>
    <w:rsid w:val="00D81A78"/>
    <w:rsid w:val="00D82F4B"/>
    <w:rsid w:val="00D860AD"/>
    <w:rsid w:val="00D87C58"/>
    <w:rsid w:val="00D91814"/>
    <w:rsid w:val="00D91FBD"/>
    <w:rsid w:val="00D93CB3"/>
    <w:rsid w:val="00D95DFB"/>
    <w:rsid w:val="00D97AE3"/>
    <w:rsid w:val="00DA02D6"/>
    <w:rsid w:val="00DA0DEE"/>
    <w:rsid w:val="00DA12C2"/>
    <w:rsid w:val="00DA2245"/>
    <w:rsid w:val="00DA3427"/>
    <w:rsid w:val="00DB0CA9"/>
    <w:rsid w:val="00DB2E6E"/>
    <w:rsid w:val="00DB4BE4"/>
    <w:rsid w:val="00DB626B"/>
    <w:rsid w:val="00DC08E5"/>
    <w:rsid w:val="00DC1F36"/>
    <w:rsid w:val="00DC43B2"/>
    <w:rsid w:val="00DC472B"/>
    <w:rsid w:val="00DC4BFA"/>
    <w:rsid w:val="00DC4DD0"/>
    <w:rsid w:val="00DC52D2"/>
    <w:rsid w:val="00DC6BE0"/>
    <w:rsid w:val="00DD075A"/>
    <w:rsid w:val="00DD1F25"/>
    <w:rsid w:val="00DD223F"/>
    <w:rsid w:val="00DD2909"/>
    <w:rsid w:val="00DD2FAC"/>
    <w:rsid w:val="00DD4825"/>
    <w:rsid w:val="00DE1058"/>
    <w:rsid w:val="00DE1680"/>
    <w:rsid w:val="00DE1A0A"/>
    <w:rsid w:val="00DE25A2"/>
    <w:rsid w:val="00DE457D"/>
    <w:rsid w:val="00DE7E54"/>
    <w:rsid w:val="00DF120D"/>
    <w:rsid w:val="00DF3F3B"/>
    <w:rsid w:val="00E02155"/>
    <w:rsid w:val="00E03F3B"/>
    <w:rsid w:val="00E046A5"/>
    <w:rsid w:val="00E0654B"/>
    <w:rsid w:val="00E07E65"/>
    <w:rsid w:val="00E10F81"/>
    <w:rsid w:val="00E136D9"/>
    <w:rsid w:val="00E14F6F"/>
    <w:rsid w:val="00E152E5"/>
    <w:rsid w:val="00E15554"/>
    <w:rsid w:val="00E1636E"/>
    <w:rsid w:val="00E17735"/>
    <w:rsid w:val="00E20E82"/>
    <w:rsid w:val="00E21607"/>
    <w:rsid w:val="00E2274B"/>
    <w:rsid w:val="00E24640"/>
    <w:rsid w:val="00E27892"/>
    <w:rsid w:val="00E31AEA"/>
    <w:rsid w:val="00E34F44"/>
    <w:rsid w:val="00E37424"/>
    <w:rsid w:val="00E4181B"/>
    <w:rsid w:val="00E43E66"/>
    <w:rsid w:val="00E4709A"/>
    <w:rsid w:val="00E51275"/>
    <w:rsid w:val="00E52CB0"/>
    <w:rsid w:val="00E536BD"/>
    <w:rsid w:val="00E53ED6"/>
    <w:rsid w:val="00E57034"/>
    <w:rsid w:val="00E6594F"/>
    <w:rsid w:val="00E71015"/>
    <w:rsid w:val="00E802C8"/>
    <w:rsid w:val="00E82868"/>
    <w:rsid w:val="00E83069"/>
    <w:rsid w:val="00E838D2"/>
    <w:rsid w:val="00E858EB"/>
    <w:rsid w:val="00E85E05"/>
    <w:rsid w:val="00E91536"/>
    <w:rsid w:val="00E920AC"/>
    <w:rsid w:val="00E95D14"/>
    <w:rsid w:val="00EA0463"/>
    <w:rsid w:val="00EA13C3"/>
    <w:rsid w:val="00EA28D5"/>
    <w:rsid w:val="00EA60F7"/>
    <w:rsid w:val="00EB4AA8"/>
    <w:rsid w:val="00EB7228"/>
    <w:rsid w:val="00EC0E95"/>
    <w:rsid w:val="00EC10FE"/>
    <w:rsid w:val="00EC1925"/>
    <w:rsid w:val="00EC41AA"/>
    <w:rsid w:val="00EC5B97"/>
    <w:rsid w:val="00ED2C29"/>
    <w:rsid w:val="00ED4017"/>
    <w:rsid w:val="00ED41CF"/>
    <w:rsid w:val="00EF5A7C"/>
    <w:rsid w:val="00EF609C"/>
    <w:rsid w:val="00EF711B"/>
    <w:rsid w:val="00EF7F44"/>
    <w:rsid w:val="00F005F8"/>
    <w:rsid w:val="00F0259A"/>
    <w:rsid w:val="00F03096"/>
    <w:rsid w:val="00F04647"/>
    <w:rsid w:val="00F05466"/>
    <w:rsid w:val="00F12987"/>
    <w:rsid w:val="00F130BC"/>
    <w:rsid w:val="00F154BB"/>
    <w:rsid w:val="00F15D7D"/>
    <w:rsid w:val="00F1633C"/>
    <w:rsid w:val="00F17AE4"/>
    <w:rsid w:val="00F20E7C"/>
    <w:rsid w:val="00F26E38"/>
    <w:rsid w:val="00F32756"/>
    <w:rsid w:val="00F33B8E"/>
    <w:rsid w:val="00F4411A"/>
    <w:rsid w:val="00F44BE9"/>
    <w:rsid w:val="00F4765D"/>
    <w:rsid w:val="00F50EEC"/>
    <w:rsid w:val="00F51168"/>
    <w:rsid w:val="00F51783"/>
    <w:rsid w:val="00F53951"/>
    <w:rsid w:val="00F556AF"/>
    <w:rsid w:val="00F55C6A"/>
    <w:rsid w:val="00F55CF3"/>
    <w:rsid w:val="00F5733E"/>
    <w:rsid w:val="00F6179F"/>
    <w:rsid w:val="00F63049"/>
    <w:rsid w:val="00F6397A"/>
    <w:rsid w:val="00F665A4"/>
    <w:rsid w:val="00F66C79"/>
    <w:rsid w:val="00F67D2B"/>
    <w:rsid w:val="00F72800"/>
    <w:rsid w:val="00F72EE0"/>
    <w:rsid w:val="00F73CA4"/>
    <w:rsid w:val="00F76006"/>
    <w:rsid w:val="00F7697A"/>
    <w:rsid w:val="00F778AC"/>
    <w:rsid w:val="00F85123"/>
    <w:rsid w:val="00F93EE7"/>
    <w:rsid w:val="00FA082B"/>
    <w:rsid w:val="00FA5601"/>
    <w:rsid w:val="00FB1399"/>
    <w:rsid w:val="00FC3CD8"/>
    <w:rsid w:val="00FC43B0"/>
    <w:rsid w:val="00FC5BE6"/>
    <w:rsid w:val="00FD4059"/>
    <w:rsid w:val="00FE10E7"/>
    <w:rsid w:val="00FE251C"/>
    <w:rsid w:val="00FE4AC8"/>
    <w:rsid w:val="00FE4F1E"/>
    <w:rsid w:val="00FE5025"/>
    <w:rsid w:val="00FE57A9"/>
    <w:rsid w:val="00FF1939"/>
    <w:rsid w:val="00FF210C"/>
    <w:rsid w:val="00FF29A5"/>
    <w:rsid w:val="00FF4262"/>
    <w:rsid w:val="00FF761C"/>
    <w:rsid w:val="00FF7F4B"/>
    <w:rsid w:val="03589727"/>
    <w:rsid w:val="037EDF32"/>
    <w:rsid w:val="03D99B60"/>
    <w:rsid w:val="04E1353C"/>
    <w:rsid w:val="05AD71E1"/>
    <w:rsid w:val="05E73F72"/>
    <w:rsid w:val="072914CF"/>
    <w:rsid w:val="07E4F16D"/>
    <w:rsid w:val="07EE9BB6"/>
    <w:rsid w:val="0879D1BB"/>
    <w:rsid w:val="08E40380"/>
    <w:rsid w:val="0AAE952A"/>
    <w:rsid w:val="0CFA607F"/>
    <w:rsid w:val="0D7F2DF6"/>
    <w:rsid w:val="0E2F30D2"/>
    <w:rsid w:val="0F481C99"/>
    <w:rsid w:val="1170D854"/>
    <w:rsid w:val="12255DB0"/>
    <w:rsid w:val="1328C7E3"/>
    <w:rsid w:val="13EE6F7A"/>
    <w:rsid w:val="1478E563"/>
    <w:rsid w:val="16372458"/>
    <w:rsid w:val="16982617"/>
    <w:rsid w:val="1725EA7A"/>
    <w:rsid w:val="17E7E817"/>
    <w:rsid w:val="1A5DB0FE"/>
    <w:rsid w:val="1B9F538A"/>
    <w:rsid w:val="1CCBD1F1"/>
    <w:rsid w:val="1E97491C"/>
    <w:rsid w:val="1FB2ACBC"/>
    <w:rsid w:val="20012CEC"/>
    <w:rsid w:val="20712000"/>
    <w:rsid w:val="21CD72F3"/>
    <w:rsid w:val="22324733"/>
    <w:rsid w:val="232ABA05"/>
    <w:rsid w:val="235462CA"/>
    <w:rsid w:val="26A14AD5"/>
    <w:rsid w:val="26EB2A37"/>
    <w:rsid w:val="272BB167"/>
    <w:rsid w:val="282F1B9A"/>
    <w:rsid w:val="29B29EFD"/>
    <w:rsid w:val="2A52F2B1"/>
    <w:rsid w:val="2D3677C8"/>
    <w:rsid w:val="2F1252EC"/>
    <w:rsid w:val="2F16AA83"/>
    <w:rsid w:val="2F360B14"/>
    <w:rsid w:val="32CA9C32"/>
    <w:rsid w:val="336153B9"/>
    <w:rsid w:val="33DB1CF4"/>
    <w:rsid w:val="357773B7"/>
    <w:rsid w:val="35A54C98"/>
    <w:rsid w:val="367ADDEA"/>
    <w:rsid w:val="37AB12CE"/>
    <w:rsid w:val="3A0ED790"/>
    <w:rsid w:val="3A19AEE4"/>
    <w:rsid w:val="3B80D7B4"/>
    <w:rsid w:val="3BE5DE1A"/>
    <w:rsid w:val="3D9386E4"/>
    <w:rsid w:val="3F0F4635"/>
    <w:rsid w:val="40DA4846"/>
    <w:rsid w:val="41D0681E"/>
    <w:rsid w:val="43C33607"/>
    <w:rsid w:val="44DB717E"/>
    <w:rsid w:val="46806679"/>
    <w:rsid w:val="46B54862"/>
    <w:rsid w:val="478BB513"/>
    <w:rsid w:val="47EA15BC"/>
    <w:rsid w:val="4848864F"/>
    <w:rsid w:val="49EC51AC"/>
    <w:rsid w:val="4A7DC76E"/>
    <w:rsid w:val="4BF82C91"/>
    <w:rsid w:val="4D6FD9C9"/>
    <w:rsid w:val="502CDB62"/>
    <w:rsid w:val="54095403"/>
    <w:rsid w:val="56CD767B"/>
    <w:rsid w:val="59D05614"/>
    <w:rsid w:val="5B257210"/>
    <w:rsid w:val="5D57A1A1"/>
    <w:rsid w:val="5D9572FD"/>
    <w:rsid w:val="5E9B7605"/>
    <w:rsid w:val="5F6C21B8"/>
    <w:rsid w:val="60A8DE27"/>
    <w:rsid w:val="65DF41F2"/>
    <w:rsid w:val="67154C0E"/>
    <w:rsid w:val="67680315"/>
    <w:rsid w:val="6782CD08"/>
    <w:rsid w:val="67DAC0D4"/>
    <w:rsid w:val="6906F1B2"/>
    <w:rsid w:val="6AECD50A"/>
    <w:rsid w:val="6B088DE5"/>
    <w:rsid w:val="6B438360"/>
    <w:rsid w:val="6BF60691"/>
    <w:rsid w:val="6DCFDD75"/>
    <w:rsid w:val="6E5C4600"/>
    <w:rsid w:val="6FD6B1DB"/>
    <w:rsid w:val="70831E86"/>
    <w:rsid w:val="729BC6B4"/>
    <w:rsid w:val="748A6EDC"/>
    <w:rsid w:val="7575DFA2"/>
    <w:rsid w:val="796E8459"/>
    <w:rsid w:val="7A10D86F"/>
    <w:rsid w:val="7CB8A299"/>
    <w:rsid w:val="7E111799"/>
    <w:rsid w:val="7FC61057"/>
    <w:rsid w:val="7FE2434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92C1EE3"/>
  <w15:docId w15:val="{2B162B0F-E02F-4C44-AB74-CDB092CA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91536"/>
    <w:pPr>
      <w:widowControl w:val="0"/>
    </w:pPr>
    <w:rPr>
      <w:snapToGrid w:val="0"/>
      <w:kern w:val="28"/>
      <w:sz w:val="22"/>
    </w:rPr>
  </w:style>
  <w:style w:type="paragraph" w:styleId="Heading1">
    <w:name w:val="heading 1"/>
    <w:basedOn w:val="Normal"/>
    <w:next w:val="ParaNum"/>
    <w:link w:val="Heading1Char"/>
    <w:qFormat/>
    <w:rsid w:val="00E91536"/>
    <w:pPr>
      <w:keepNext/>
      <w:numPr>
        <w:numId w:val="17"/>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91536"/>
    <w:pPr>
      <w:keepNext/>
      <w:numPr>
        <w:ilvl w:val="1"/>
        <w:numId w:val="17"/>
      </w:numPr>
      <w:spacing w:after="120"/>
      <w:outlineLvl w:val="1"/>
    </w:pPr>
    <w:rPr>
      <w:b/>
    </w:rPr>
  </w:style>
  <w:style w:type="paragraph" w:styleId="Heading3">
    <w:name w:val="heading 3"/>
    <w:basedOn w:val="Normal"/>
    <w:next w:val="ParaNum"/>
    <w:qFormat/>
    <w:rsid w:val="00E91536"/>
    <w:pPr>
      <w:keepNext/>
      <w:numPr>
        <w:ilvl w:val="2"/>
        <w:numId w:val="17"/>
      </w:numPr>
      <w:tabs>
        <w:tab w:val="left" w:pos="2160"/>
      </w:tabs>
      <w:spacing w:after="120"/>
      <w:outlineLvl w:val="2"/>
    </w:pPr>
    <w:rPr>
      <w:b/>
    </w:rPr>
  </w:style>
  <w:style w:type="paragraph" w:styleId="Heading4">
    <w:name w:val="heading 4"/>
    <w:basedOn w:val="Normal"/>
    <w:next w:val="ParaNum"/>
    <w:qFormat/>
    <w:rsid w:val="00E91536"/>
    <w:pPr>
      <w:keepNext/>
      <w:numPr>
        <w:ilvl w:val="3"/>
        <w:numId w:val="17"/>
      </w:numPr>
      <w:tabs>
        <w:tab w:val="left" w:pos="2880"/>
      </w:tabs>
      <w:spacing w:after="120"/>
      <w:outlineLvl w:val="3"/>
    </w:pPr>
    <w:rPr>
      <w:b/>
    </w:rPr>
  </w:style>
  <w:style w:type="paragraph" w:styleId="Heading5">
    <w:name w:val="heading 5"/>
    <w:basedOn w:val="Normal"/>
    <w:next w:val="ParaNum"/>
    <w:qFormat/>
    <w:rsid w:val="00E91536"/>
    <w:pPr>
      <w:keepNext/>
      <w:numPr>
        <w:ilvl w:val="4"/>
        <w:numId w:val="17"/>
      </w:numPr>
      <w:tabs>
        <w:tab w:val="left" w:pos="3600"/>
      </w:tabs>
      <w:suppressAutoHyphens/>
      <w:spacing w:after="120"/>
      <w:outlineLvl w:val="4"/>
    </w:pPr>
    <w:rPr>
      <w:b/>
    </w:rPr>
  </w:style>
  <w:style w:type="paragraph" w:styleId="Heading6">
    <w:name w:val="heading 6"/>
    <w:basedOn w:val="Normal"/>
    <w:next w:val="ParaNum"/>
    <w:qFormat/>
    <w:rsid w:val="00E91536"/>
    <w:pPr>
      <w:numPr>
        <w:ilvl w:val="5"/>
        <w:numId w:val="17"/>
      </w:numPr>
      <w:tabs>
        <w:tab w:val="left" w:pos="4320"/>
      </w:tabs>
      <w:spacing w:after="120"/>
      <w:outlineLvl w:val="5"/>
    </w:pPr>
    <w:rPr>
      <w:b/>
    </w:rPr>
  </w:style>
  <w:style w:type="paragraph" w:styleId="Heading7">
    <w:name w:val="heading 7"/>
    <w:basedOn w:val="Normal"/>
    <w:next w:val="ParaNum"/>
    <w:qFormat/>
    <w:rsid w:val="00E91536"/>
    <w:pPr>
      <w:numPr>
        <w:ilvl w:val="6"/>
        <w:numId w:val="17"/>
      </w:numPr>
      <w:tabs>
        <w:tab w:val="left" w:pos="5040"/>
      </w:tabs>
      <w:spacing w:after="120"/>
      <w:outlineLvl w:val="6"/>
    </w:pPr>
    <w:rPr>
      <w:b/>
    </w:rPr>
  </w:style>
  <w:style w:type="paragraph" w:styleId="Heading8">
    <w:name w:val="heading 8"/>
    <w:basedOn w:val="Normal"/>
    <w:next w:val="ParaNum"/>
    <w:qFormat/>
    <w:rsid w:val="00E91536"/>
    <w:pPr>
      <w:numPr>
        <w:ilvl w:val="7"/>
        <w:numId w:val="17"/>
      </w:numPr>
      <w:tabs>
        <w:tab w:val="left" w:pos="5760"/>
      </w:tabs>
      <w:spacing w:after="120"/>
      <w:outlineLvl w:val="7"/>
    </w:pPr>
    <w:rPr>
      <w:b/>
    </w:rPr>
  </w:style>
  <w:style w:type="paragraph" w:styleId="Heading9">
    <w:name w:val="heading 9"/>
    <w:basedOn w:val="Normal"/>
    <w:next w:val="ParaNum"/>
    <w:qFormat/>
    <w:rsid w:val="00E91536"/>
    <w:pPr>
      <w:numPr>
        <w:ilvl w:val="8"/>
        <w:numId w:val="17"/>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91536"/>
    <w:pPr>
      <w:numPr>
        <w:numId w:val="2"/>
      </w:numPr>
      <w:spacing w:after="120"/>
    </w:pPr>
  </w:style>
  <w:style w:type="paragraph" w:styleId="EndnoteText">
    <w:name w:val="endnote text"/>
    <w:basedOn w:val="Normal"/>
    <w:semiHidden/>
    <w:rsid w:val="00E91536"/>
    <w:rPr>
      <w:sz w:val="20"/>
    </w:rPr>
  </w:style>
  <w:style w:type="character" w:styleId="EndnoteReference">
    <w:name w:val="endnote reference"/>
    <w:semiHidden/>
    <w:rsid w:val="00E91536"/>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uiPriority w:val="99"/>
    <w:rsid w:val="00E91536"/>
    <w:pPr>
      <w:spacing w:after="120"/>
    </w:pPr>
  </w:style>
  <w:style w:type="character" w:styleId="FootnoteReference">
    <w:name w:val="footnote reference"/>
    <w:semiHidden/>
    <w:rsid w:val="00E91536"/>
    <w:rPr>
      <w:rFonts w:ascii="Times New Roman" w:hAnsi="Times New Roman"/>
      <w:dstrike w:val="0"/>
      <w:color w:val="auto"/>
      <w:sz w:val="22"/>
      <w:vertAlign w:val="superscript"/>
    </w:rPr>
  </w:style>
  <w:style w:type="paragraph" w:styleId="TOC1">
    <w:name w:val="toc 1"/>
    <w:basedOn w:val="Normal"/>
    <w:next w:val="Normal"/>
    <w:uiPriority w:val="39"/>
    <w:rsid w:val="00E915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91536"/>
    <w:pPr>
      <w:tabs>
        <w:tab w:val="left" w:pos="720"/>
        <w:tab w:val="right" w:leader="dot" w:pos="9360"/>
      </w:tabs>
      <w:suppressAutoHyphens/>
      <w:ind w:left="720" w:right="720" w:hanging="360"/>
    </w:pPr>
    <w:rPr>
      <w:noProof/>
    </w:rPr>
  </w:style>
  <w:style w:type="paragraph" w:styleId="TOC3">
    <w:name w:val="toc 3"/>
    <w:basedOn w:val="Normal"/>
    <w:next w:val="Normal"/>
    <w:semiHidden/>
    <w:rsid w:val="00E915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15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15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15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15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15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15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1536"/>
    <w:pPr>
      <w:tabs>
        <w:tab w:val="right" w:pos="9360"/>
      </w:tabs>
      <w:suppressAutoHyphens/>
    </w:pPr>
  </w:style>
  <w:style w:type="character" w:customStyle="1" w:styleId="EquationCaption">
    <w:name w:val="_Equation Caption"/>
    <w:rsid w:val="00E91536"/>
  </w:style>
  <w:style w:type="paragraph" w:styleId="Header">
    <w:name w:val="header"/>
    <w:basedOn w:val="Normal"/>
    <w:link w:val="HeaderChar"/>
    <w:autoRedefine/>
    <w:uiPriority w:val="99"/>
    <w:rsid w:val="00E91536"/>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E91536"/>
    <w:pPr>
      <w:tabs>
        <w:tab w:val="center" w:pos="4320"/>
        <w:tab w:val="right" w:pos="8640"/>
      </w:tabs>
    </w:pPr>
  </w:style>
  <w:style w:type="character" w:styleId="PageNumber">
    <w:name w:val="page number"/>
    <w:basedOn w:val="DefaultParagraphFont"/>
    <w:rsid w:val="00E91536"/>
  </w:style>
  <w:style w:type="paragraph" w:styleId="BlockText">
    <w:name w:val="Block Text"/>
    <w:basedOn w:val="Normal"/>
    <w:rsid w:val="00E91536"/>
    <w:pPr>
      <w:spacing w:after="240"/>
      <w:ind w:left="1440" w:right="1440"/>
    </w:pPr>
  </w:style>
  <w:style w:type="paragraph" w:customStyle="1" w:styleId="Paratitle">
    <w:name w:val="Para title"/>
    <w:basedOn w:val="Normal"/>
    <w:rsid w:val="00E91536"/>
    <w:pPr>
      <w:tabs>
        <w:tab w:val="center" w:pos="9270"/>
      </w:tabs>
      <w:spacing w:after="240"/>
    </w:pPr>
    <w:rPr>
      <w:spacing w:val="-2"/>
    </w:rPr>
  </w:style>
  <w:style w:type="paragraph" w:customStyle="1" w:styleId="Bullet">
    <w:name w:val="Bullet"/>
    <w:basedOn w:val="Normal"/>
    <w:rsid w:val="00E91536"/>
    <w:pPr>
      <w:numPr>
        <w:numId w:val="1"/>
      </w:numPr>
      <w:tabs>
        <w:tab w:val="clear" w:pos="360"/>
        <w:tab w:val="left" w:pos="2160"/>
      </w:tabs>
      <w:spacing w:after="220"/>
    </w:pPr>
  </w:style>
  <w:style w:type="paragraph" w:customStyle="1" w:styleId="TableFormat">
    <w:name w:val="TableFormat"/>
    <w:basedOn w:val="Bullet"/>
    <w:rsid w:val="00E91536"/>
    <w:pPr>
      <w:numPr>
        <w:numId w:val="0"/>
      </w:numPr>
      <w:tabs>
        <w:tab w:val="clear" w:pos="2160"/>
        <w:tab w:val="left" w:pos="5040"/>
      </w:tabs>
      <w:ind w:left="5040" w:hanging="3600"/>
    </w:pPr>
  </w:style>
  <w:style w:type="paragraph" w:customStyle="1" w:styleId="TOCTitle">
    <w:name w:val="TOC Title"/>
    <w:basedOn w:val="Normal"/>
    <w:rsid w:val="00E915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1536"/>
    <w:pPr>
      <w:jc w:val="center"/>
    </w:pPr>
    <w:rPr>
      <w:rFonts w:ascii="Times New Roman Bold" w:hAnsi="Times New Roman Bold"/>
      <w:b/>
      <w:bCs/>
      <w:caps/>
      <w:szCs w:val="22"/>
    </w:rPr>
  </w:style>
  <w:style w:type="character" w:styleId="Hyperlink">
    <w:name w:val="Hyperlink"/>
    <w:rsid w:val="00E91536"/>
    <w:rPr>
      <w:color w:val="0000FF"/>
      <w:u w:val="single"/>
    </w:rPr>
  </w:style>
  <w:style w:type="character" w:customStyle="1" w:styleId="FooterChar">
    <w:name w:val="Footer Char"/>
    <w:link w:val="Footer"/>
    <w:uiPriority w:val="99"/>
    <w:rsid w:val="00E91536"/>
    <w:rPr>
      <w:snapToGrid w:val="0"/>
      <w:kern w:val="28"/>
      <w:sz w:val="22"/>
    </w:rPr>
  </w:style>
  <w:style w:type="character" w:customStyle="1" w:styleId="UnresolvedMention1">
    <w:name w:val="Unresolved Mention1"/>
    <w:uiPriority w:val="99"/>
    <w:semiHidden/>
    <w:unhideWhenUsed/>
    <w:rsid w:val="00E91536"/>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uiPriority w:val="99"/>
    <w:rsid w:val="00C83076"/>
  </w:style>
  <w:style w:type="character" w:customStyle="1" w:styleId="FootnoteTextCharCharCharChar1Char">
    <w:name w:val="Footnote Text Char Char Char Char1 Char"/>
    <w:aliases w:val="Footnote Text Char Char1 Char Char Char Char Char,Footnote Text Char1 Char Char1 Char Char Char,Footnote Text Char2 Char1 Char Char,Footnote Text Char3 Char Char"/>
    <w:uiPriority w:val="99"/>
    <w:rsid w:val="001D46A3"/>
  </w:style>
  <w:style w:type="paragraph" w:styleId="CommentText">
    <w:name w:val="annotation text"/>
    <w:basedOn w:val="Normal"/>
    <w:link w:val="CommentTextChar"/>
    <w:uiPriority w:val="99"/>
    <w:rsid w:val="001D46A3"/>
    <w:rPr>
      <w:sz w:val="20"/>
    </w:rPr>
  </w:style>
  <w:style w:type="character" w:customStyle="1" w:styleId="CommentTextChar">
    <w:name w:val="Comment Text Char"/>
    <w:basedOn w:val="DefaultParagraphFont"/>
    <w:link w:val="CommentText"/>
    <w:uiPriority w:val="99"/>
    <w:rsid w:val="001D46A3"/>
    <w:rPr>
      <w:snapToGrid w:val="0"/>
      <w:kern w:val="28"/>
    </w:rPr>
  </w:style>
  <w:style w:type="paragraph" w:styleId="ListParagraph">
    <w:name w:val="List Paragraph"/>
    <w:basedOn w:val="Normal"/>
    <w:uiPriority w:val="34"/>
    <w:qFormat/>
    <w:rsid w:val="001D46A3"/>
    <w:pPr>
      <w:widowControl/>
      <w:ind w:left="720"/>
      <w:contextualSpacing/>
    </w:pPr>
    <w:rPr>
      <w:snapToGrid/>
      <w:kern w:val="0"/>
    </w:rPr>
  </w:style>
  <w:style w:type="character" w:customStyle="1" w:styleId="HeaderChar">
    <w:name w:val="Header Char"/>
    <w:basedOn w:val="DefaultParagraphFont"/>
    <w:link w:val="Header"/>
    <w:uiPriority w:val="99"/>
    <w:rsid w:val="002C0D50"/>
    <w:rPr>
      <w:rFonts w:ascii="Arial" w:hAnsi="Arial" w:cs="Arial"/>
      <w:b/>
      <w:snapToGrid w:val="0"/>
      <w:kern w:val="28"/>
      <w:sz w:val="96"/>
      <w:szCs w:val="96"/>
    </w:rPr>
  </w:style>
  <w:style w:type="character" w:customStyle="1" w:styleId="Heading1Char">
    <w:name w:val="Heading 1 Char"/>
    <w:basedOn w:val="DefaultParagraphFont"/>
    <w:link w:val="Heading1"/>
    <w:rsid w:val="002C0D50"/>
    <w:rPr>
      <w:rFonts w:ascii="Times New Roman Bold" w:hAnsi="Times New Roman Bold"/>
      <w:b/>
      <w:caps/>
      <w:snapToGrid w:val="0"/>
      <w:kern w:val="28"/>
      <w:sz w:val="22"/>
    </w:rPr>
  </w:style>
  <w:style w:type="character" w:styleId="CommentReference">
    <w:name w:val="annotation reference"/>
    <w:basedOn w:val="DefaultParagraphFont"/>
    <w:uiPriority w:val="99"/>
    <w:semiHidden/>
    <w:unhideWhenUsed/>
    <w:rsid w:val="00954A00"/>
    <w:rPr>
      <w:sz w:val="16"/>
      <w:szCs w:val="16"/>
    </w:rPr>
  </w:style>
  <w:style w:type="paragraph" w:styleId="CommentSubject">
    <w:name w:val="annotation subject"/>
    <w:basedOn w:val="CommentText"/>
    <w:next w:val="CommentText"/>
    <w:link w:val="CommentSubjectChar"/>
    <w:uiPriority w:val="99"/>
    <w:semiHidden/>
    <w:unhideWhenUsed/>
    <w:rsid w:val="00087F44"/>
    <w:rPr>
      <w:b/>
      <w:bCs/>
    </w:rPr>
  </w:style>
  <w:style w:type="character" w:customStyle="1" w:styleId="CommentSubjectChar">
    <w:name w:val="Comment Subject Char"/>
    <w:basedOn w:val="CommentTextChar"/>
    <w:link w:val="CommentSubject"/>
    <w:uiPriority w:val="99"/>
    <w:semiHidden/>
    <w:rsid w:val="00087F44"/>
    <w:rPr>
      <w:b/>
      <w:bCs/>
      <w:snapToGrid w:val="0"/>
      <w:kern w:val="28"/>
    </w:rPr>
  </w:style>
  <w:style w:type="character" w:customStyle="1" w:styleId="UnresolvedMention2">
    <w:name w:val="Unresolved Mention2"/>
    <w:basedOn w:val="DefaultParagraphFont"/>
    <w:uiPriority w:val="99"/>
    <w:rsid w:val="00087F44"/>
    <w:rPr>
      <w:color w:val="605E5C"/>
      <w:shd w:val="clear" w:color="auto" w:fill="E1DFDD"/>
    </w:rPr>
  </w:style>
  <w:style w:type="character" w:customStyle="1" w:styleId="Mention1">
    <w:name w:val="Mention1"/>
    <w:basedOn w:val="DefaultParagraphFont"/>
    <w:uiPriority w:val="99"/>
    <w:rsid w:val="00087F44"/>
    <w:rPr>
      <w:color w:val="2B579A"/>
      <w:shd w:val="clear" w:color="auto" w:fill="E1DFDD"/>
    </w:rPr>
  </w:style>
  <w:style w:type="paragraph" w:styleId="Revision">
    <w:name w:val="Revision"/>
    <w:hidden/>
    <w:uiPriority w:val="99"/>
    <w:semiHidden/>
    <w:rsid w:val="00C055C8"/>
    <w:rPr>
      <w:snapToGrid w:val="0"/>
      <w:kern w:val="28"/>
      <w:sz w:val="22"/>
    </w:rPr>
  </w:style>
  <w:style w:type="character" w:styleId="FollowedHyperlink">
    <w:name w:val="FollowedHyperlink"/>
    <w:basedOn w:val="DefaultParagraphFont"/>
    <w:uiPriority w:val="99"/>
    <w:semiHidden/>
    <w:unhideWhenUsed/>
    <w:rsid w:val="00590978"/>
    <w:rPr>
      <w:color w:val="954F72" w:themeColor="followedHyperlink"/>
      <w:u w:val="single"/>
    </w:rPr>
  </w:style>
  <w:style w:type="paragraph" w:styleId="BalloonText">
    <w:name w:val="Balloon Text"/>
    <w:basedOn w:val="Normal"/>
    <w:link w:val="BalloonTextChar"/>
    <w:uiPriority w:val="99"/>
    <w:semiHidden/>
    <w:unhideWhenUsed/>
    <w:rsid w:val="00C71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94D"/>
    <w:rPr>
      <w:rFonts w:ascii="Segoe UI" w:hAnsi="Segoe UI" w:cs="Segoe UI"/>
      <w:snapToGrid w:val="0"/>
      <w:kern w:val="28"/>
      <w:sz w:val="18"/>
      <w:szCs w:val="18"/>
    </w:rPr>
  </w:style>
  <w:style w:type="character" w:customStyle="1" w:styleId="UnresolvedMention">
    <w:name w:val="Unresolved Mention"/>
    <w:basedOn w:val="DefaultParagraphFont"/>
    <w:uiPriority w:val="99"/>
    <w:unhideWhenUsed/>
    <w:rsid w:val="00405C7D"/>
    <w:rPr>
      <w:color w:val="605E5C"/>
      <w:shd w:val="clear" w:color="auto" w:fill="E1DFDD"/>
    </w:rPr>
  </w:style>
  <w:style w:type="character" w:customStyle="1" w:styleId="Mention">
    <w:name w:val="Mention"/>
    <w:basedOn w:val="DefaultParagraphFont"/>
    <w:uiPriority w:val="99"/>
    <w:unhideWhenUsed/>
    <w:rsid w:val="000335D3"/>
    <w:rPr>
      <w:color w:val="2B579A"/>
      <w:shd w:val="clear" w:color="auto" w:fill="E1DFDD"/>
    </w:rPr>
  </w:style>
  <w:style w:type="paragraph" w:customStyle="1" w:styleId="Default">
    <w:name w:val="Default"/>
    <w:rsid w:val="009F2E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https://www.fcc.gov/general/disability-rights-office-headlines" TargetMode="External" /><Relationship Id="rId9" Type="http://schemas.openxmlformats.org/officeDocument/2006/relationships/hyperlink" Target="mailto:Darryl.Coop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theverge.com/22649045/android-12-facial-gestures-accessibility-how-to" TargetMode="External" /><Relationship Id="rId10" Type="http://schemas.openxmlformats.org/officeDocument/2006/relationships/hyperlink" Target="https://acb-advocacy-update.pinecast.co/episode/9577ab33/accessible-tech-at-the-consumer-electronics-show" TargetMode="External" /><Relationship Id="rId11" Type="http://schemas.openxmlformats.org/officeDocument/2006/relationships/hyperlink" Target="https://standards.cta.tech/kwspub/current_projects/" TargetMode="External" /><Relationship Id="rId12" Type="http://schemas.openxmlformats.org/officeDocument/2006/relationships/hyperlink" Target="https://standards.cta.tech/kwspub/current_projects" TargetMode="External" /><Relationship Id="rId13" Type="http://schemas.openxmlformats.org/officeDocument/2006/relationships/hyperlink" Target="https://www.fcc.gov/document/pn-refresh-record-re-interoperable-video-conferencing" TargetMode="External" /><Relationship Id="rId14" Type="http://schemas.openxmlformats.org/officeDocument/2006/relationships/hyperlink" Target="https://shop.cta.tech/collections/research/products/future-of-work-2021-cta-member-survey?_ga=2.618%2050028.1006895257.1647959185-462461571.1643999452" TargetMode="External" /><Relationship Id="rId15" Type="http://schemas.openxmlformats.org/officeDocument/2006/relationships/hyperlink" Target="https://www.cnet.com/tech/tech-industry/android-updates-talkback-screen-reader-with-new-voice-commands-language-options" TargetMode="External" /><Relationship Id="rId16" Type="http://schemas.openxmlformats.org/officeDocument/2006/relationships/hyperlink" Target="https://support.apple.com/en-za/guide/iphone/iph405ab67de/14.0/ios/14.0" TargetMode="External" /><Relationship Id="rId17" Type="http://schemas.openxmlformats.org/officeDocument/2006/relationships/hyperlink" Target="https://www.inclusionhub.com/articles/mitigate-obstacles-for-deaf-community" TargetMode="External" /><Relationship Id="rId18" Type="http://schemas.openxmlformats.org/officeDocument/2006/relationships/hyperlink" Target="https://www.forbes.com/sites/nextavenue/2021/09/02/why-remote-work-can-be-hard-for-hard-of-hearing-people/?sh=76a3d4c46d71" TargetMode="External" /><Relationship Id="rId19" Type="http://schemas.openxmlformats.org/officeDocument/2006/relationships/hyperlink" Target="https://support.apple.com/guide/iphone/iphfa3d32c50" TargetMode="External" /><Relationship Id="rId2" Type="http://schemas.openxmlformats.org/officeDocument/2006/relationships/hyperlink" Target="https://support.google.com/accessibility/android/answer/11150722?hl=en" TargetMode="External" /><Relationship Id="rId20" Type="http://schemas.openxmlformats.org/officeDocument/2006/relationships/hyperlink" Target="https://www.uky.edu/chs/about/news/making-telehealth-equitable-for-deaf-and-hard-hearing-communities" TargetMode="External" /><Relationship Id="rId21" Type="http://schemas.openxmlformats.org/officeDocument/2006/relationships/hyperlink" Target="https://www.dol.gov/agencies/odep/research-evaluation/statistics" TargetMode="External" /><Relationship Id="rId22" Type="http://schemas.openxmlformats.org/officeDocument/2006/relationships/hyperlink" Target="https://www.centerondisability.org/ada_parc/utils/indicators.php?id=32" TargetMode="External" /><Relationship Id="rId23" Type="http://schemas.openxmlformats.org/officeDocument/2006/relationships/hyperlink" Target="https://www.afb.org/research-and-initiatives/flatten-inaccessibility-survey/journey-forward" TargetMode="External" /><Relationship Id="rId24" Type="http://schemas.openxmlformats.org/officeDocument/2006/relationships/hyperlink" Target="http://www.afb.org/FlattenInaccessibility" TargetMode="External" /><Relationship Id="rId25" Type="http://schemas.openxmlformats.org/officeDocument/2006/relationships/hyperlink" Target="https://www.cdc.gov/ncbddd/hearingloss/parentsguide/building/speech-reading.html" TargetMode="External" /><Relationship Id="rId26" Type="http://schemas.openxmlformats.org/officeDocument/2006/relationships/hyperlink" Target="https://shop.cta.tech/products/guiding-principles-on-virtual-care?_ga=2.253839560.1365709638.1644%20164805%20-574097665.1584113335" TargetMode="External" /><Relationship Id="rId27" Type="http://schemas.openxmlformats.org/officeDocument/2006/relationships/hyperlink" Target="https://dvorak-keyboard.com/" TargetMode="External" /><Relationship Id="rId3" Type="http://schemas.openxmlformats.org/officeDocument/2006/relationships/hyperlink" Target="https://blog.google/outreach-initiatives/accessibility/look-to-speak/" TargetMode="External" /><Relationship Id="rId4" Type="http://schemas.openxmlformats.org/officeDocument/2006/relationships/hyperlink" Target="https://afb.org/aw/22/5/17556" TargetMode="External" /><Relationship Id="rId5" Type="http://schemas.openxmlformats.org/officeDocument/2006/relationships/hyperlink" Target="https://support.google.com/accessibility/android/answer/9350862?hl=en" TargetMode="External" /><Relationship Id="rId6" Type="http://schemas.openxmlformats.org/officeDocument/2006/relationships/hyperlink" Target="https://support.google.com/accessibility/android/answer/9350862" TargetMode="External" /><Relationship Id="rId7" Type="http://schemas.openxmlformats.org/officeDocument/2006/relationships/hyperlink" Target="https://support.apple.com/en-us/HT206149" TargetMode="External" /><Relationship Id="rId8" Type="http://schemas.openxmlformats.org/officeDocument/2006/relationships/hyperlink" Target="https://broadbandbreakfast.com/2022/01/debra-berlyn-whats-new-in-2022-for-aging-and-tech/" TargetMode="External" /><Relationship Id="rId9" Type="http://schemas.openxmlformats.org/officeDocument/2006/relationships/hyperlink" Target="https://apps.fcc.gov/rccci-registry/login!input.actio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