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02109" w14:paraId="5DD6DD9E" w14:textId="77777777">
      <w:pPr>
        <w:jc w:val="center"/>
        <w:rPr>
          <w:b/>
          <w:szCs w:val="22"/>
        </w:rPr>
      </w:pPr>
      <w:r>
        <w:rPr>
          <w:b/>
          <w:szCs w:val="22"/>
        </w:rPr>
        <w:t>Before the</w:t>
      </w:r>
    </w:p>
    <w:p w:rsidR="00802109" w14:paraId="1700D6C2" w14:textId="77777777">
      <w:pPr>
        <w:jc w:val="center"/>
        <w:rPr>
          <w:b/>
          <w:szCs w:val="22"/>
        </w:rPr>
      </w:pPr>
      <w:r>
        <w:rPr>
          <w:b/>
          <w:szCs w:val="22"/>
        </w:rPr>
        <w:t>Federal Communications Commission</w:t>
      </w:r>
    </w:p>
    <w:p w:rsidR="00802109" w14:paraId="163B9A95" w14:textId="77777777">
      <w:pPr>
        <w:jc w:val="center"/>
        <w:rPr>
          <w:b/>
          <w:szCs w:val="22"/>
        </w:rPr>
      </w:pPr>
      <w:r>
        <w:rPr>
          <w:b/>
          <w:szCs w:val="22"/>
        </w:rPr>
        <w:t>Washington, D.C. 20554</w:t>
      </w:r>
    </w:p>
    <w:p w:rsidR="00802109" w14:paraId="07A61243" w14:textId="77777777">
      <w:pPr>
        <w:jc w:val="center"/>
        <w:rPr>
          <w:b/>
          <w:szCs w:val="22"/>
        </w:rPr>
      </w:pPr>
    </w:p>
    <w:tbl>
      <w:tblPr>
        <w:tblW w:w="9648" w:type="dxa"/>
        <w:tblLayout w:type="fixed"/>
        <w:tblLook w:val="0000"/>
      </w:tblPr>
      <w:tblGrid>
        <w:gridCol w:w="4698"/>
        <w:gridCol w:w="720"/>
        <w:gridCol w:w="4230"/>
      </w:tblGrid>
      <w:tr w14:paraId="3F8F6476" w14:textId="77777777">
        <w:tblPrEx>
          <w:tblW w:w="9648" w:type="dxa"/>
          <w:tblLayout w:type="fixed"/>
          <w:tblLook w:val="0000"/>
        </w:tblPrEx>
        <w:tc>
          <w:tcPr>
            <w:tcW w:w="4698" w:type="dxa"/>
          </w:tcPr>
          <w:p w:rsidR="00802109" w14:paraId="5A900C9A" w14:textId="77777777">
            <w:pPr>
              <w:ind w:right="-18"/>
              <w:rPr>
                <w:szCs w:val="22"/>
              </w:rPr>
            </w:pPr>
            <w:r>
              <w:rPr>
                <w:szCs w:val="22"/>
              </w:rPr>
              <w:t>In the Matter of</w:t>
            </w:r>
          </w:p>
          <w:p w:rsidR="00802109" w14:paraId="424DBD0E" w14:textId="516769AB">
            <w:pPr>
              <w:ind w:right="-18"/>
              <w:rPr>
                <w:spacing w:val="-2"/>
              </w:rPr>
            </w:pPr>
          </w:p>
          <w:p w:rsidR="001137EE" w14:paraId="36E4EB6C" w14:textId="63B86A48">
            <w:pPr>
              <w:ind w:right="-18"/>
              <w:rPr>
                <w:spacing w:val="-2"/>
              </w:rPr>
            </w:pPr>
            <w:r>
              <w:rPr>
                <w:spacing w:val="-2"/>
              </w:rPr>
              <w:t xml:space="preserve">Reinstating </w:t>
            </w:r>
            <w:r w:rsidR="00D14861">
              <w:rPr>
                <w:spacing w:val="-2"/>
              </w:rPr>
              <w:t>Class D FM Exemption</w:t>
            </w:r>
            <w:r w:rsidR="00660D28">
              <w:rPr>
                <w:spacing w:val="-2"/>
              </w:rPr>
              <w:t xml:space="preserve"> to Section 73.3527</w:t>
            </w:r>
            <w:r w:rsidR="00D14861">
              <w:rPr>
                <w:spacing w:val="-2"/>
              </w:rPr>
              <w:t>(e)(8)</w:t>
            </w:r>
          </w:p>
          <w:p w:rsidR="00282DA7" w:rsidRPr="00282DA7" w14:paraId="6317D9B8" w14:textId="34D2477D">
            <w:pPr>
              <w:ind w:right="-18"/>
              <w:rPr>
                <w:b/>
                <w:bCs/>
                <w:szCs w:val="22"/>
              </w:rPr>
            </w:pPr>
          </w:p>
        </w:tc>
        <w:tc>
          <w:tcPr>
            <w:tcW w:w="720" w:type="dxa"/>
          </w:tcPr>
          <w:p w:rsidR="00802109" w14:paraId="25084B33" w14:textId="77777777">
            <w:pPr>
              <w:rPr>
                <w:b/>
                <w:szCs w:val="22"/>
              </w:rPr>
            </w:pPr>
            <w:r>
              <w:rPr>
                <w:b/>
                <w:szCs w:val="22"/>
              </w:rPr>
              <w:t>)</w:t>
            </w:r>
          </w:p>
          <w:p w:rsidR="00802109" w14:paraId="4A39B7D2" w14:textId="77777777">
            <w:pPr>
              <w:rPr>
                <w:b/>
                <w:szCs w:val="22"/>
              </w:rPr>
            </w:pPr>
            <w:r>
              <w:rPr>
                <w:b/>
                <w:szCs w:val="22"/>
              </w:rPr>
              <w:t>)</w:t>
            </w:r>
          </w:p>
          <w:p w:rsidR="00802109" w14:paraId="234DDA64" w14:textId="77777777">
            <w:pPr>
              <w:rPr>
                <w:b/>
                <w:szCs w:val="22"/>
              </w:rPr>
            </w:pPr>
            <w:r>
              <w:rPr>
                <w:b/>
                <w:szCs w:val="22"/>
              </w:rPr>
              <w:t>)</w:t>
            </w:r>
          </w:p>
          <w:p w:rsidR="00802109" w14:paraId="7CC005C4" w14:textId="77777777">
            <w:pPr>
              <w:rPr>
                <w:b/>
                <w:szCs w:val="22"/>
              </w:rPr>
            </w:pPr>
            <w:r>
              <w:rPr>
                <w:b/>
                <w:szCs w:val="22"/>
              </w:rPr>
              <w:t>)</w:t>
            </w:r>
          </w:p>
          <w:p w:rsidR="00802109" w14:paraId="6DAA2F6E" w14:textId="77777777">
            <w:pPr>
              <w:rPr>
                <w:b/>
                <w:szCs w:val="22"/>
              </w:rPr>
            </w:pPr>
          </w:p>
        </w:tc>
        <w:tc>
          <w:tcPr>
            <w:tcW w:w="4230" w:type="dxa"/>
          </w:tcPr>
          <w:p w:rsidR="00802109" w14:paraId="34EA7949" w14:textId="77777777">
            <w:pPr>
              <w:rPr>
                <w:szCs w:val="22"/>
              </w:rPr>
            </w:pPr>
          </w:p>
          <w:p w:rsidR="00802109" w14:paraId="062DDD94" w14:textId="77777777">
            <w:pPr>
              <w:rPr>
                <w:szCs w:val="22"/>
              </w:rPr>
            </w:pPr>
          </w:p>
          <w:p w:rsidR="00802109" w14:paraId="289A3927" w14:textId="3AE30F75">
            <w:pPr>
              <w:rPr>
                <w:szCs w:val="22"/>
              </w:rPr>
            </w:pPr>
            <w:r>
              <w:rPr>
                <w:spacing w:val="-2"/>
              </w:rPr>
              <w:t xml:space="preserve">MB Docket No. </w:t>
            </w:r>
            <w:r w:rsidR="00D14861">
              <w:rPr>
                <w:spacing w:val="-2"/>
              </w:rPr>
              <w:t>22-</w:t>
            </w:r>
            <w:r w:rsidR="004416B4">
              <w:rPr>
                <w:spacing w:val="-2"/>
              </w:rPr>
              <w:t>240</w:t>
            </w:r>
          </w:p>
        </w:tc>
      </w:tr>
    </w:tbl>
    <w:p w:rsidR="00802109" w14:paraId="7B0DCDCB" w14:textId="77777777">
      <w:pPr>
        <w:jc w:val="center"/>
        <w:rPr>
          <w:b/>
          <w:szCs w:val="22"/>
        </w:rPr>
      </w:pPr>
      <w:r>
        <w:rPr>
          <w:b/>
          <w:szCs w:val="22"/>
        </w:rPr>
        <w:t>ORDER</w:t>
      </w:r>
    </w:p>
    <w:p w:rsidR="00802109" w14:paraId="5B9CD729" w14:textId="77777777">
      <w:pPr>
        <w:tabs>
          <w:tab w:val="left" w:pos="5760"/>
        </w:tabs>
        <w:rPr>
          <w:szCs w:val="22"/>
        </w:rPr>
      </w:pPr>
    </w:p>
    <w:p w:rsidR="00802109" w14:paraId="2AF727D2" w14:textId="0C60EE75">
      <w:pPr>
        <w:tabs>
          <w:tab w:val="left" w:pos="5760"/>
        </w:tabs>
        <w:rPr>
          <w:b/>
          <w:szCs w:val="22"/>
        </w:rPr>
      </w:pPr>
      <w:r>
        <w:rPr>
          <w:b/>
          <w:szCs w:val="22"/>
        </w:rPr>
        <w:t xml:space="preserve">Adopted:  </w:t>
      </w:r>
      <w:r w:rsidR="00FC2A59">
        <w:rPr>
          <w:b/>
          <w:szCs w:val="22"/>
        </w:rPr>
        <w:t>June 22, 2022</w:t>
      </w:r>
      <w:r>
        <w:rPr>
          <w:b/>
          <w:szCs w:val="22"/>
        </w:rPr>
        <w:tab/>
        <w:t xml:space="preserve">Released:  </w:t>
      </w:r>
      <w:r w:rsidR="00FC2A59">
        <w:rPr>
          <w:b/>
          <w:szCs w:val="22"/>
        </w:rPr>
        <w:t>June 22, 2022</w:t>
      </w:r>
    </w:p>
    <w:p w:rsidR="00802109" w14:paraId="66BF7AA7" w14:textId="77777777">
      <w:pPr>
        <w:tabs>
          <w:tab w:val="left" w:pos="5760"/>
        </w:tabs>
        <w:rPr>
          <w:b/>
          <w:szCs w:val="22"/>
        </w:rPr>
      </w:pPr>
    </w:p>
    <w:p w:rsidR="00802109" w14:paraId="5AD150ED" w14:textId="7E178D67">
      <w:pPr>
        <w:tabs>
          <w:tab w:val="left" w:pos="5760"/>
        </w:tabs>
        <w:rPr>
          <w:spacing w:val="-2"/>
          <w:szCs w:val="22"/>
        </w:rPr>
      </w:pPr>
      <w:r>
        <w:rPr>
          <w:szCs w:val="22"/>
        </w:rPr>
        <w:t xml:space="preserve">By the </w:t>
      </w:r>
      <w:r w:rsidR="00AA743C">
        <w:rPr>
          <w:szCs w:val="22"/>
        </w:rPr>
        <w:t xml:space="preserve">Chief, Media </w:t>
      </w:r>
      <w:r w:rsidR="00401668">
        <w:rPr>
          <w:szCs w:val="22"/>
        </w:rPr>
        <w:t>Bureau</w:t>
      </w:r>
      <w:r>
        <w:rPr>
          <w:spacing w:val="-2"/>
          <w:szCs w:val="22"/>
        </w:rPr>
        <w:t>:</w:t>
      </w:r>
    </w:p>
    <w:p w:rsidR="00802109" w14:paraId="2B1A8265" w14:textId="77777777">
      <w:pPr>
        <w:tabs>
          <w:tab w:val="left" w:pos="5760"/>
        </w:tabs>
        <w:rPr>
          <w:szCs w:val="22"/>
        </w:rPr>
      </w:pPr>
    </w:p>
    <w:p w:rsidR="00802109" w14:paraId="33091E8E" w14:textId="77777777">
      <w:pPr>
        <w:pStyle w:val="Heading1"/>
      </w:pPr>
      <w:r>
        <w:t>INTRODUCTION</w:t>
      </w:r>
    </w:p>
    <w:p w:rsidR="00802109" w14:paraId="7FE5FA75" w14:textId="5FEFDB0A">
      <w:pPr>
        <w:pStyle w:val="ParaNum"/>
      </w:pPr>
      <w:r>
        <w:t xml:space="preserve">In this Order, we </w:t>
      </w:r>
      <w:r w:rsidR="00F9121E">
        <w:t>re</w:t>
      </w:r>
      <w:r w:rsidR="009378E1">
        <w:t>-codify</w:t>
      </w:r>
      <w:r w:rsidR="00577748">
        <w:t xml:space="preserve"> </w:t>
      </w:r>
      <w:r w:rsidR="001F17BD">
        <w:t xml:space="preserve">clarifying language from </w:t>
      </w:r>
      <w:r w:rsidR="00577748">
        <w:t xml:space="preserve">a Note that was </w:t>
      </w:r>
      <w:r w:rsidR="0045699F">
        <w:t>inadvertently</w:t>
      </w:r>
      <w:r w:rsidR="00577748">
        <w:t xml:space="preserve"> eliminated from</w:t>
      </w:r>
      <w:r>
        <w:t xml:space="preserve"> </w:t>
      </w:r>
      <w:r w:rsidR="0045699F">
        <w:t>section 73.3527</w:t>
      </w:r>
      <w:r>
        <w:t xml:space="preserve"> of the Commission’s rules</w:t>
      </w:r>
      <w:r w:rsidR="0045699F">
        <w:t xml:space="preserve"> (Rules)</w:t>
      </w:r>
      <w:r>
        <w:t xml:space="preserve"> relating to </w:t>
      </w:r>
      <w:r w:rsidR="0045699F">
        <w:t xml:space="preserve">the online public inspection file obligations of </w:t>
      </w:r>
      <w:r w:rsidRPr="00BB1538" w:rsidR="000A34AC">
        <w:t>applicants, permittees, or licensees whose existing or prospective facilities are Class D FM stations or whose programming is wholly “Instructional”</w:t>
      </w:r>
      <w:r>
        <w:rPr>
          <w:rStyle w:val="FootnoteReference"/>
        </w:rPr>
        <w:footnoteReference w:id="3"/>
      </w:r>
      <w:r w:rsidR="000A34AC">
        <w:t xml:space="preserve"> (</w:t>
      </w:r>
      <w:r w:rsidR="006E58A5">
        <w:t>referred to collectively herein as “</w:t>
      </w:r>
      <w:r w:rsidR="0045699F">
        <w:t>Class D FM stations</w:t>
      </w:r>
      <w:r w:rsidR="006E58A5">
        <w:t>”</w:t>
      </w:r>
      <w:r w:rsidR="000A34AC">
        <w:t>)</w:t>
      </w:r>
      <w:r w:rsidR="0045699F">
        <w:t>.</w:t>
      </w:r>
      <w:r>
        <w:rPr>
          <w:rStyle w:val="FootnoteReference"/>
        </w:rPr>
        <w:footnoteReference w:id="4"/>
      </w:r>
      <w:r>
        <w:t xml:space="preserve"> </w:t>
      </w:r>
      <w:r w:rsidR="008A6800">
        <w:t xml:space="preserve"> </w:t>
      </w:r>
      <w:r w:rsidR="0045699F">
        <w:t xml:space="preserve">We </w:t>
      </w:r>
      <w:r w:rsidR="00DF64BF">
        <w:t>re</w:t>
      </w:r>
      <w:r w:rsidR="004D01D9">
        <w:t>-</w:t>
      </w:r>
      <w:r w:rsidR="0045699F">
        <w:t xml:space="preserve">codify the </w:t>
      </w:r>
      <w:r w:rsidR="001B2BA1">
        <w:t xml:space="preserve">language </w:t>
      </w:r>
      <w:r w:rsidR="00512993">
        <w:t>as text</w:t>
      </w:r>
      <w:r w:rsidR="0045699F">
        <w:t xml:space="preserve"> in our Rules </w:t>
      </w:r>
      <w:r w:rsidR="0056365C">
        <w:t>t</w:t>
      </w:r>
      <w:r w:rsidRPr="001961B3" w:rsidR="0056365C">
        <w:t>o conform to the publishing conventions of the National Archives and Records Administration</w:t>
      </w:r>
      <w:r w:rsidR="0056365C">
        <w:t>’</w:t>
      </w:r>
      <w:r w:rsidRPr="001961B3" w:rsidR="0056365C">
        <w:t>s Office of the Federal Register</w:t>
      </w:r>
      <w:r w:rsidR="0045699F">
        <w:t>.</w:t>
      </w:r>
      <w:r w:rsidR="00512993">
        <w:t xml:space="preserve">  This amendment to the Rules does not change </w:t>
      </w:r>
      <w:r w:rsidR="0022515D">
        <w:t xml:space="preserve">any regulatory obligations.  Instead, section 73.3527 will more </w:t>
      </w:r>
      <w:r w:rsidR="006E58A5">
        <w:t>accurately</w:t>
      </w:r>
      <w:r w:rsidR="0022515D">
        <w:t xml:space="preserve"> state the entities to which it applies, eliminating potential confusion among Class D </w:t>
      </w:r>
      <w:r w:rsidR="00C54340">
        <w:t xml:space="preserve">FM </w:t>
      </w:r>
      <w:r w:rsidR="000A34AC">
        <w:t>stations</w:t>
      </w:r>
      <w:r w:rsidR="0022515D">
        <w:t>.</w:t>
      </w:r>
    </w:p>
    <w:p w:rsidR="00802109" w14:paraId="34C668A5" w14:textId="77777777">
      <w:pPr>
        <w:pStyle w:val="Heading1"/>
      </w:pPr>
      <w:r>
        <w:t>BACKGROUND</w:t>
      </w:r>
    </w:p>
    <w:p w:rsidR="0045699F" w14:paraId="266D184E" w14:textId="3A91B16F">
      <w:pPr>
        <w:pStyle w:val="ParaNum"/>
      </w:pPr>
      <w:r>
        <w:t>Section 73.3527 outlines the online public inspection file obligations of noncommercial educational stations.  Section 73.3527(e)(8) states that “</w:t>
      </w:r>
      <w:r w:rsidR="00B450D9">
        <w:t>nonexempt</w:t>
      </w:r>
      <w:r>
        <w:t xml:space="preserve"> noncommercial education broadcast </w:t>
      </w:r>
      <w:r w:rsidR="00B450D9">
        <w:t>stations</w:t>
      </w:r>
      <w:r>
        <w:t xml:space="preserve">” are required to maintain in their online public inspection files a </w:t>
      </w:r>
      <w:r w:rsidR="00B450D9">
        <w:t>quarterly</w:t>
      </w:r>
      <w:r>
        <w:t xml:space="preserve"> “list of programs that have provided the station’s most significant treatment of community issues during the preceding three month period.”</w:t>
      </w:r>
      <w:r>
        <w:rPr>
          <w:rStyle w:val="FootnoteReference"/>
        </w:rPr>
        <w:footnoteReference w:id="5"/>
      </w:r>
      <w:r>
        <w:t xml:space="preserve">  However, the Rule does not </w:t>
      </w:r>
      <w:r w:rsidR="00107154">
        <w:t xml:space="preserve">define “nonexempt” or </w:t>
      </w:r>
      <w:r w:rsidR="00B450D9">
        <w:t>provide an</w:t>
      </w:r>
      <w:r w:rsidR="00107154">
        <w:t>y</w:t>
      </w:r>
      <w:r w:rsidR="00B450D9">
        <w:t xml:space="preserve"> explanation of which stations </w:t>
      </w:r>
      <w:r w:rsidR="00477767">
        <w:t>are</w:t>
      </w:r>
      <w:r w:rsidR="00B450D9">
        <w:t xml:space="preserve"> exempt from this requirement.  </w:t>
      </w:r>
      <w:r w:rsidR="00DD392B">
        <w:t xml:space="preserve">  </w:t>
      </w:r>
    </w:p>
    <w:p w:rsidR="00E735C9" w:rsidP="00877011" w14:paraId="781C3A98" w14:textId="34C05BFE">
      <w:pPr>
        <w:pStyle w:val="ParaNum"/>
      </w:pPr>
      <w:r>
        <w:t xml:space="preserve">Prior to the adoption of section 73.3527, the Commission </w:t>
      </w:r>
      <w:r w:rsidR="006F28AF">
        <w:t>had cla</w:t>
      </w:r>
      <w:r w:rsidR="00B84455">
        <w:t xml:space="preserve">rified that Class D </w:t>
      </w:r>
      <w:r w:rsidR="00C54340">
        <w:t xml:space="preserve">FM </w:t>
      </w:r>
      <w:r w:rsidR="00B84455">
        <w:t xml:space="preserve">stations are exempt from </w:t>
      </w:r>
      <w:r w:rsidR="002E219E">
        <w:t xml:space="preserve">the requirement </w:t>
      </w:r>
      <w:r w:rsidR="009B2378">
        <w:t>that</w:t>
      </w:r>
      <w:r w:rsidR="002E219E">
        <w:t xml:space="preserve"> stations </w:t>
      </w:r>
      <w:r w:rsidR="005F0EB7">
        <w:t xml:space="preserve">maintain in their public files </w:t>
      </w:r>
      <w:r w:rsidR="00185785">
        <w:t xml:space="preserve">a </w:t>
      </w:r>
      <w:r w:rsidR="005F0EB7">
        <w:t>list of programs addressing problems in the</w:t>
      </w:r>
      <w:r w:rsidR="00185785">
        <w:t xml:space="preserve"> station’s</w:t>
      </w:r>
      <w:r w:rsidR="005F0EB7">
        <w:t xml:space="preserve"> communit</w:t>
      </w:r>
      <w:r w:rsidR="00C4635C">
        <w:t>y</w:t>
      </w:r>
      <w:r w:rsidR="002E219E">
        <w:t>.</w:t>
      </w:r>
      <w:r>
        <w:rPr>
          <w:rStyle w:val="FootnoteReference"/>
        </w:rPr>
        <w:footnoteReference w:id="6"/>
      </w:r>
      <w:r w:rsidR="002E219E">
        <w:t xml:space="preserve">  </w:t>
      </w:r>
      <w:r w:rsidR="00C21DDE">
        <w:t xml:space="preserve">Although the Commission </w:t>
      </w:r>
      <w:r>
        <w:t xml:space="preserve">required that NCE stations place in their public files </w:t>
      </w:r>
      <w:r w:rsidR="009A6EB8">
        <w:t>such</w:t>
      </w:r>
      <w:r>
        <w:t xml:space="preserve"> lists, </w:t>
      </w:r>
      <w:r w:rsidR="0083625D">
        <w:t xml:space="preserve">the Commission </w:t>
      </w:r>
      <w:r w:rsidR="009378E1">
        <w:t xml:space="preserve">codified in a Note to its Rules </w:t>
      </w:r>
      <w:r>
        <w:t>that</w:t>
      </w:r>
      <w:r w:rsidR="00C54340">
        <w:t xml:space="preserve"> </w:t>
      </w:r>
      <w:r>
        <w:t>“[e]</w:t>
      </w:r>
      <w:r>
        <w:t>xempt</w:t>
      </w:r>
      <w:r>
        <w:t xml:space="preserve"> licensees include those offering wholly instructional programming and those operating under Class D, 10-watt authorizations."</w:t>
      </w:r>
      <w:r>
        <w:rPr>
          <w:rStyle w:val="FootnoteReference"/>
        </w:rPr>
        <w:footnoteReference w:id="7"/>
      </w:r>
      <w:r>
        <w:t xml:space="preserve">  In 1984, the Commission revisited the requirement for stations to </w:t>
      </w:r>
      <w:r w:rsidR="00300A11">
        <w:t xml:space="preserve">maintain </w:t>
      </w:r>
      <w:r>
        <w:t>issues/programs lists.</w:t>
      </w:r>
      <w:r>
        <w:rPr>
          <w:rStyle w:val="FootnoteReference"/>
        </w:rPr>
        <w:footnoteReference w:id="8"/>
      </w:r>
      <w:r>
        <w:t xml:space="preserve">  </w:t>
      </w:r>
      <w:r w:rsidR="00843E36">
        <w:t>T</w:t>
      </w:r>
      <w:r>
        <w:t xml:space="preserve">he </w:t>
      </w:r>
      <w:r>
        <w:rPr>
          <w:i/>
          <w:iCs/>
        </w:rPr>
        <w:t>1984 R&amp;O</w:t>
      </w:r>
      <w:r>
        <w:t xml:space="preserve"> </w:t>
      </w:r>
      <w:r w:rsidR="00843E36">
        <w:t xml:space="preserve">again </w:t>
      </w:r>
      <w:r w:rsidR="0071238C">
        <w:t xml:space="preserve">noted </w:t>
      </w:r>
      <w:r>
        <w:t xml:space="preserve">that Class D </w:t>
      </w:r>
      <w:r w:rsidR="00A937A7">
        <w:t xml:space="preserve">FM </w:t>
      </w:r>
      <w:r>
        <w:t xml:space="preserve">stations </w:t>
      </w:r>
      <w:r w:rsidR="0071238C">
        <w:t xml:space="preserve">are </w:t>
      </w:r>
      <w:r>
        <w:t xml:space="preserve">exempt from the issues/programs lists requirements </w:t>
      </w:r>
      <w:r w:rsidR="002770D3">
        <w:t>due to the limited nature of the service they provide.</w:t>
      </w:r>
      <w:r>
        <w:rPr>
          <w:rStyle w:val="FootnoteReference"/>
        </w:rPr>
        <w:footnoteReference w:id="9"/>
      </w:r>
      <w:r w:rsidRPr="002B4A37">
        <w:t xml:space="preserve"> </w:t>
      </w:r>
      <w:r w:rsidR="009542C5">
        <w:t xml:space="preserve"> </w:t>
      </w:r>
      <w:r w:rsidR="003745DC">
        <w:t xml:space="preserve">Although the Commission’s </w:t>
      </w:r>
      <w:r w:rsidR="00676471">
        <w:t xml:space="preserve">order highlighted the exemption for Class D </w:t>
      </w:r>
      <w:r w:rsidR="00A937A7">
        <w:t xml:space="preserve">FM </w:t>
      </w:r>
      <w:r w:rsidR="00676471">
        <w:t xml:space="preserve">stations, </w:t>
      </w:r>
      <w:r>
        <w:t xml:space="preserve">the actual text of the new section 73.3527 </w:t>
      </w:r>
      <w:r w:rsidR="00BB6995">
        <w:t xml:space="preserve">inadvertently omitted </w:t>
      </w:r>
      <w:r>
        <w:t>that exemption.</w:t>
      </w:r>
      <w:r>
        <w:rPr>
          <w:rStyle w:val="FootnoteReference"/>
        </w:rPr>
        <w:footnoteReference w:id="10"/>
      </w:r>
      <w:r>
        <w:t xml:space="preserve"> </w:t>
      </w:r>
    </w:p>
    <w:p w:rsidR="002B4A37" w:rsidP="00812CF6" w14:paraId="1298FDAF" w14:textId="65FCDAF2">
      <w:pPr>
        <w:pStyle w:val="ParaNum"/>
        <w:widowControl/>
      </w:pPr>
      <w:r>
        <w:t xml:space="preserve">Subsequently, the </w:t>
      </w:r>
      <w:r w:rsidR="009542C5">
        <w:t xml:space="preserve">Mass Media </w:t>
      </w:r>
      <w:r>
        <w:t xml:space="preserve">Bureau issued an order </w:t>
      </w:r>
      <w:r w:rsidR="0025739C">
        <w:t xml:space="preserve">in 1985 </w:t>
      </w:r>
      <w:r w:rsidR="002F7C51">
        <w:t xml:space="preserve">noting that the exemption was </w:t>
      </w:r>
      <w:r w:rsidR="00FD23B0">
        <w:t xml:space="preserve">inadvertently </w:t>
      </w:r>
      <w:r w:rsidR="002F7C51">
        <w:t>omitted from the text of section 73.3527 but that</w:t>
      </w:r>
      <w:r>
        <w:t xml:space="preserve"> Class D</w:t>
      </w:r>
      <w:r w:rsidR="00FF40A8">
        <w:t xml:space="preserve"> </w:t>
      </w:r>
      <w:r w:rsidR="00A937A7">
        <w:t xml:space="preserve">FM </w:t>
      </w:r>
      <w:r w:rsidR="00FF40A8">
        <w:t>station</w:t>
      </w:r>
      <w:r>
        <w:t xml:space="preserve">s </w:t>
      </w:r>
      <w:r w:rsidR="002F7C51">
        <w:t>remained</w:t>
      </w:r>
      <w:r>
        <w:t xml:space="preserve"> exempt from the </w:t>
      </w:r>
      <w:r w:rsidR="00AA5E04">
        <w:t>requirement to maintain program lists</w:t>
      </w:r>
      <w:r>
        <w:t>.</w:t>
      </w:r>
      <w:r>
        <w:rPr>
          <w:rStyle w:val="FootnoteReference"/>
        </w:rPr>
        <w:footnoteReference w:id="11"/>
      </w:r>
      <w:r>
        <w:t xml:space="preserve">  </w:t>
      </w:r>
      <w:r w:rsidR="008A6800">
        <w:t>Accordingly,</w:t>
      </w:r>
      <w:r>
        <w:t xml:space="preserve"> a Note</w:t>
      </w:r>
      <w:r w:rsidR="00D16345">
        <w:t xml:space="preserve"> 2</w:t>
      </w:r>
      <w:r>
        <w:t xml:space="preserve"> to section 73.3527 was added: “For purposes of paragraph (a)(7) of this section, exempt applicants, permittees or licensees include those whose existing or prospective facilities are Class D FM stations or whose programming is wholly </w:t>
      </w:r>
      <w:r w:rsidR="0085536B">
        <w:t>‘</w:t>
      </w:r>
      <w:r>
        <w:t>Instructional</w:t>
      </w:r>
      <w:r w:rsidR="009A1C6A">
        <w:t>’</w:t>
      </w:r>
      <w:r w:rsidR="00F63084">
        <w:t>”</w:t>
      </w:r>
      <w:r w:rsidRPr="0022269C" w:rsidR="0022269C">
        <w:t xml:space="preserve"> </w:t>
      </w:r>
      <w:r w:rsidR="0022269C">
        <w:t>(Class D Note).</w:t>
      </w:r>
      <w:r>
        <w:rPr>
          <w:rStyle w:val="FootnoteReference"/>
        </w:rPr>
        <w:footnoteReference w:id="12"/>
      </w:r>
      <w:r>
        <w:t xml:space="preserve">  This revised version of section 73.3527 was published in the Federal Register on March 4, 1985</w:t>
      </w:r>
      <w:r w:rsidR="000746FE">
        <w:t>,</w:t>
      </w:r>
      <w:r>
        <w:rPr>
          <w:rStyle w:val="FootnoteReference"/>
        </w:rPr>
        <w:footnoteReference w:id="13"/>
      </w:r>
      <w:r w:rsidR="000746FE">
        <w:t xml:space="preserve"> and appears in the </w:t>
      </w:r>
      <w:r w:rsidR="0019182E">
        <w:t>Code of Federal Regulations (</w:t>
      </w:r>
      <w:r w:rsidR="000746FE">
        <w:t>CFR</w:t>
      </w:r>
      <w:r w:rsidR="0019182E">
        <w:t>)</w:t>
      </w:r>
      <w:r w:rsidR="000746FE">
        <w:t xml:space="preserve"> editions for 1985, 1986 and 1987.</w:t>
      </w:r>
      <w:r w:rsidRPr="000746FE" w:rsidR="000746FE">
        <w:rPr>
          <w:shd w:val="clear" w:color="auto" w:fill="FFFFFF"/>
        </w:rPr>
        <w:t xml:space="preserve"> </w:t>
      </w:r>
    </w:p>
    <w:p w:rsidR="002B4A37" w:rsidRPr="002B4A37" w:rsidP="005149EF" w14:paraId="249D666A" w14:textId="0589B8AE">
      <w:pPr>
        <w:pStyle w:val="ParaNum"/>
        <w:rPr>
          <w:shd w:val="clear" w:color="auto" w:fill="FFFFFF"/>
        </w:rPr>
      </w:pPr>
      <w:r w:rsidRPr="002B4A37">
        <w:rPr>
          <w:shd w:val="clear" w:color="auto" w:fill="FFFFFF"/>
        </w:rPr>
        <w:t>In 1988, the Commission again adopt</w:t>
      </w:r>
      <w:r w:rsidR="008A6800">
        <w:rPr>
          <w:shd w:val="clear" w:color="auto" w:fill="FFFFFF"/>
        </w:rPr>
        <w:t>ed</w:t>
      </w:r>
      <w:r w:rsidRPr="002B4A37">
        <w:rPr>
          <w:shd w:val="clear" w:color="auto" w:fill="FFFFFF"/>
        </w:rPr>
        <w:t xml:space="preserve"> an order revising </w:t>
      </w:r>
      <w:r w:rsidR="00823357">
        <w:rPr>
          <w:shd w:val="clear" w:color="auto" w:fill="FFFFFF"/>
        </w:rPr>
        <w:t xml:space="preserve">the retention of issues/programs lists in </w:t>
      </w:r>
      <w:r w:rsidRPr="002B4A37">
        <w:rPr>
          <w:shd w:val="clear" w:color="auto" w:fill="FFFFFF"/>
        </w:rPr>
        <w:t>section 73.</w:t>
      </w:r>
      <w:r w:rsidR="002F7C51">
        <w:rPr>
          <w:shd w:val="clear" w:color="auto" w:fill="FFFFFF"/>
        </w:rPr>
        <w:t>3</w:t>
      </w:r>
      <w:r w:rsidRPr="002B4A37">
        <w:rPr>
          <w:shd w:val="clear" w:color="auto" w:fill="FFFFFF"/>
        </w:rPr>
        <w:t>527(a)(7).</w:t>
      </w:r>
      <w:r>
        <w:rPr>
          <w:rStyle w:val="FootnoteReference"/>
          <w:rFonts w:cstheme="minorHAnsi"/>
          <w:color w:val="000000" w:themeColor="text1"/>
          <w:sz w:val="22"/>
          <w:szCs w:val="22"/>
          <w:shd w:val="clear" w:color="auto" w:fill="FFFFFF"/>
        </w:rPr>
        <w:footnoteReference w:id="14"/>
      </w:r>
      <w:r w:rsidRPr="002B0AEA">
        <w:rPr>
          <w:szCs w:val="22"/>
          <w:shd w:val="clear" w:color="auto" w:fill="FFFFFF"/>
        </w:rPr>
        <w:t xml:space="preserve"> </w:t>
      </w:r>
      <w:r w:rsidRPr="002B4A37">
        <w:rPr>
          <w:shd w:val="clear" w:color="auto" w:fill="FFFFFF"/>
        </w:rPr>
        <w:t xml:space="preserve"> The </w:t>
      </w:r>
      <w:r w:rsidRPr="002B4A37">
        <w:rPr>
          <w:i/>
          <w:iCs/>
          <w:shd w:val="clear" w:color="auto" w:fill="FFFFFF"/>
        </w:rPr>
        <w:t>1988 Order</w:t>
      </w:r>
      <w:r w:rsidRPr="002B4A37">
        <w:rPr>
          <w:shd w:val="clear" w:color="auto" w:fill="FFFFFF"/>
        </w:rPr>
        <w:t xml:space="preserve"> revised the rule to make it consistent with a change made to the companion rule for commercial stations.</w:t>
      </w:r>
      <w:r>
        <w:rPr>
          <w:rStyle w:val="FootnoteReference"/>
          <w:sz w:val="22"/>
          <w:szCs w:val="22"/>
          <w:shd w:val="clear" w:color="auto" w:fill="FFFFFF"/>
        </w:rPr>
        <w:footnoteReference w:id="15"/>
      </w:r>
      <w:r w:rsidRPr="002B0AEA">
        <w:rPr>
          <w:szCs w:val="22"/>
          <w:shd w:val="clear" w:color="auto" w:fill="FFFFFF"/>
        </w:rPr>
        <w:t xml:space="preserve"> </w:t>
      </w:r>
      <w:r w:rsidR="00A0618F">
        <w:rPr>
          <w:shd w:val="clear" w:color="auto" w:fill="FFFFFF"/>
        </w:rPr>
        <w:t xml:space="preserve"> The </w:t>
      </w:r>
      <w:r w:rsidR="00A0618F">
        <w:rPr>
          <w:i/>
          <w:iCs/>
          <w:shd w:val="clear" w:color="auto" w:fill="FFFFFF"/>
        </w:rPr>
        <w:t xml:space="preserve">1987 NPRM </w:t>
      </w:r>
      <w:r w:rsidR="00A0618F">
        <w:rPr>
          <w:shd w:val="clear" w:color="auto" w:fill="FFFFFF"/>
        </w:rPr>
        <w:t xml:space="preserve">that preceded that order did not propose any change to the Class D exemption; nor did the </w:t>
      </w:r>
      <w:r w:rsidR="00A0618F">
        <w:rPr>
          <w:i/>
          <w:iCs/>
          <w:shd w:val="clear" w:color="auto" w:fill="FFFFFF"/>
        </w:rPr>
        <w:t xml:space="preserve">1988 Order </w:t>
      </w:r>
      <w:r w:rsidR="00A0618F">
        <w:rPr>
          <w:shd w:val="clear" w:color="auto" w:fill="FFFFFF"/>
        </w:rPr>
        <w:t xml:space="preserve">discuss any such change. </w:t>
      </w:r>
      <w:r>
        <w:rPr>
          <w:rStyle w:val="FootnoteReference"/>
          <w:rFonts w:cstheme="minorHAnsi"/>
          <w:color w:val="000000" w:themeColor="text1"/>
          <w:sz w:val="22"/>
          <w:szCs w:val="22"/>
          <w:shd w:val="clear" w:color="auto" w:fill="FFFFFF"/>
        </w:rPr>
        <w:footnoteReference w:id="16"/>
      </w:r>
      <w:r w:rsidRPr="002B0AEA">
        <w:rPr>
          <w:szCs w:val="22"/>
          <w:shd w:val="clear" w:color="auto" w:fill="FFFFFF"/>
        </w:rPr>
        <w:t xml:space="preserve"> </w:t>
      </w:r>
      <w:r w:rsidRPr="002B4A37">
        <w:rPr>
          <w:shd w:val="clear" w:color="auto" w:fill="FFFFFF"/>
        </w:rPr>
        <w:t xml:space="preserve"> </w:t>
      </w:r>
      <w:r w:rsidR="000746FE">
        <w:rPr>
          <w:shd w:val="clear" w:color="auto" w:fill="FFFFFF"/>
        </w:rPr>
        <w:t xml:space="preserve">However, the Class D Note did </w:t>
      </w:r>
      <w:r w:rsidR="00FC08D0">
        <w:rPr>
          <w:shd w:val="clear" w:color="auto" w:fill="FFFFFF"/>
        </w:rPr>
        <w:t xml:space="preserve">not </w:t>
      </w:r>
      <w:r w:rsidR="000746FE">
        <w:rPr>
          <w:shd w:val="clear" w:color="auto" w:fill="FFFFFF"/>
        </w:rPr>
        <w:t xml:space="preserve">appear in the 1988 edition of the CFR, nor </w:t>
      </w:r>
      <w:r w:rsidR="00781E30">
        <w:rPr>
          <w:shd w:val="clear" w:color="auto" w:fill="FFFFFF"/>
        </w:rPr>
        <w:t xml:space="preserve">in </w:t>
      </w:r>
      <w:r w:rsidR="000746FE">
        <w:rPr>
          <w:shd w:val="clear" w:color="auto" w:fill="FFFFFF"/>
        </w:rPr>
        <w:t>any subsequent edition.</w:t>
      </w:r>
    </w:p>
    <w:p w:rsidR="00B450D9" w:rsidP="0094374E" w14:paraId="7746D750" w14:textId="29090635">
      <w:pPr>
        <w:pStyle w:val="ParaNum"/>
        <w:widowControl/>
      </w:pPr>
      <w:r>
        <w:t>Compounding</w:t>
      </w:r>
      <w:r>
        <w:t xml:space="preserve"> the </w:t>
      </w:r>
      <w:r>
        <w:t>confusion</w:t>
      </w:r>
      <w:r>
        <w:t xml:space="preserve"> created by the apparent </w:t>
      </w:r>
      <w:r>
        <w:t>inadvertent</w:t>
      </w:r>
      <w:r>
        <w:t xml:space="preserve"> deletion of the </w:t>
      </w:r>
      <w:r w:rsidR="004A6634">
        <w:t xml:space="preserve">Class D </w:t>
      </w:r>
      <w:r>
        <w:t>Note</w:t>
      </w:r>
      <w:r w:rsidR="000746FE">
        <w:t xml:space="preserve"> following </w:t>
      </w:r>
      <w:r w:rsidR="00D23FA4">
        <w:t xml:space="preserve">the </w:t>
      </w:r>
      <w:r w:rsidR="00D23FA4">
        <w:rPr>
          <w:i/>
          <w:iCs/>
        </w:rPr>
        <w:t>1988 Order</w:t>
      </w:r>
      <w:r>
        <w:t xml:space="preserve">, the Bureau issued a Forfeiture Order in </w:t>
      </w:r>
      <w:r>
        <w:t>2009 where it specifically rejected an argument that Class D FM stations are exempt from the issues/programs list requirement of section 73.3527.</w:t>
      </w:r>
      <w:r>
        <w:rPr>
          <w:rStyle w:val="FootnoteReference"/>
        </w:rPr>
        <w:footnoteReference w:id="17"/>
      </w:r>
      <w:r>
        <w:t xml:space="preserve">  Although </w:t>
      </w:r>
      <w:r w:rsidRPr="00E735C9">
        <w:rPr>
          <w:i/>
          <w:iCs/>
        </w:rPr>
        <w:t>UMW</w:t>
      </w:r>
      <w:r>
        <w:t xml:space="preserve"> correctly </w:t>
      </w:r>
      <w:r w:rsidR="00D16345">
        <w:t>states</w:t>
      </w:r>
      <w:r>
        <w:t xml:space="preserve"> that the Commission did indeed make Class D </w:t>
      </w:r>
      <w:r w:rsidR="00A937A7">
        <w:t xml:space="preserve">FM </w:t>
      </w:r>
      <w:r>
        <w:t xml:space="preserve">stations exempt in the </w:t>
      </w:r>
      <w:r w:rsidRPr="00E735C9">
        <w:rPr>
          <w:i/>
          <w:iCs/>
        </w:rPr>
        <w:t>1976 R&amp;O</w:t>
      </w:r>
      <w:r>
        <w:t>, it</w:t>
      </w:r>
      <w:r w:rsidR="00BB3AF2">
        <w:t xml:space="preserve"> incorrectly</w:t>
      </w:r>
      <w:r>
        <w:t xml:space="preserve"> held that the Commission did not </w:t>
      </w:r>
      <w:r w:rsidR="00A0618F">
        <w:t>intend to continue that exemption in effect</w:t>
      </w:r>
      <w:r>
        <w:t xml:space="preserve"> when it adopted section 73.3527. </w:t>
      </w:r>
      <w:r w:rsidR="00357461">
        <w:t xml:space="preserve"> </w:t>
      </w:r>
      <w:r w:rsidRPr="00E735C9">
        <w:rPr>
          <w:i/>
          <w:iCs/>
        </w:rPr>
        <w:t>UMW</w:t>
      </w:r>
      <w:r>
        <w:t xml:space="preserve"> did not address the </w:t>
      </w:r>
      <w:r w:rsidRPr="00E735C9">
        <w:rPr>
          <w:i/>
          <w:iCs/>
        </w:rPr>
        <w:t>1985 Bureau Order</w:t>
      </w:r>
      <w:r>
        <w:t xml:space="preserve"> which clarified that Class D </w:t>
      </w:r>
      <w:r w:rsidR="00A937A7">
        <w:t xml:space="preserve">FM </w:t>
      </w:r>
      <w:r w:rsidR="000512D7">
        <w:t xml:space="preserve">stations </w:t>
      </w:r>
      <w:r w:rsidR="00ED1D93">
        <w:t>are</w:t>
      </w:r>
      <w:r>
        <w:t xml:space="preserve"> exempt from section 73.3527, nor did it explain what stations are considered exempt from the issue</w:t>
      </w:r>
      <w:r w:rsidR="007728E1">
        <w:t>s</w:t>
      </w:r>
      <w:r>
        <w:t>/programs list requirement.</w:t>
      </w:r>
    </w:p>
    <w:p w:rsidR="00802109" w14:paraId="67D218BD" w14:textId="77777777">
      <w:pPr>
        <w:pStyle w:val="Heading1"/>
      </w:pPr>
      <w:r>
        <w:t>DISCUSSION</w:t>
      </w:r>
    </w:p>
    <w:p w:rsidR="00802109" w:rsidP="002D1B50" w14:paraId="020BFA4F" w14:textId="79B037B8">
      <w:pPr>
        <w:pStyle w:val="ParaNum"/>
      </w:pPr>
      <w:r>
        <w:t xml:space="preserve">We </w:t>
      </w:r>
      <w:r w:rsidR="003B6F8D">
        <w:t xml:space="preserve">find that the omission of the Class D </w:t>
      </w:r>
      <w:r w:rsidR="00960485">
        <w:t>Note</w:t>
      </w:r>
      <w:r w:rsidR="003B6F8D">
        <w:t xml:space="preserve"> </w:t>
      </w:r>
      <w:r w:rsidR="004A6634">
        <w:t xml:space="preserve">from the </w:t>
      </w:r>
      <w:r w:rsidR="004A6634">
        <w:rPr>
          <w:i/>
          <w:iCs/>
        </w:rPr>
        <w:t>1988 Order</w:t>
      </w:r>
      <w:r w:rsidR="004A6634">
        <w:t xml:space="preserve"> and </w:t>
      </w:r>
      <w:r w:rsidR="004A6634">
        <w:rPr>
          <w:shd w:val="clear" w:color="auto" w:fill="FFFFFF"/>
        </w:rPr>
        <w:t>subsequent edition</w:t>
      </w:r>
      <w:r w:rsidR="004A6634">
        <w:t xml:space="preserve">s of the CFR </w:t>
      </w:r>
      <w:r w:rsidR="000746FE">
        <w:t xml:space="preserve">was </w:t>
      </w:r>
      <w:r w:rsidR="0048203F">
        <w:t xml:space="preserve">an </w:t>
      </w:r>
      <w:r w:rsidR="00E96583">
        <w:t>inadvertent one, unrelated to the proposal addressed in th</w:t>
      </w:r>
      <w:r w:rsidR="009378E1">
        <w:t>a</w:t>
      </w:r>
      <w:r w:rsidR="00E96583">
        <w:t xml:space="preserve">t </w:t>
      </w:r>
      <w:r w:rsidR="009378E1">
        <w:t>O</w:t>
      </w:r>
      <w:r w:rsidR="00E96583">
        <w:t>rder,</w:t>
      </w:r>
      <w:r w:rsidR="009378E1">
        <w:t xml:space="preserve"> </w:t>
      </w:r>
      <w:r w:rsidR="000746FE">
        <w:t xml:space="preserve">and </w:t>
      </w:r>
      <w:r w:rsidR="009378E1">
        <w:t>re-codify</w:t>
      </w:r>
      <w:r w:rsidR="00164786">
        <w:t xml:space="preserve"> the exemption </w:t>
      </w:r>
      <w:r w:rsidR="00FF0358">
        <w:t xml:space="preserve">that </w:t>
      </w:r>
      <w:r w:rsidR="00EB7152">
        <w:t>relieves</w:t>
      </w:r>
      <w:r w:rsidR="00996019">
        <w:t xml:space="preserve"> Class D </w:t>
      </w:r>
      <w:r w:rsidR="00547BBF">
        <w:t xml:space="preserve">FM </w:t>
      </w:r>
      <w:r w:rsidR="00996019">
        <w:t xml:space="preserve">stations </w:t>
      </w:r>
      <w:r w:rsidR="00FF0358">
        <w:t xml:space="preserve">from the requirement to maintain issues/programs lists in their online public inspection file.  </w:t>
      </w:r>
      <w:r w:rsidR="004250B0">
        <w:t>In reaching this deter</w:t>
      </w:r>
      <w:r w:rsidR="00746630">
        <w:t xml:space="preserve">mination, we </w:t>
      </w:r>
      <w:r w:rsidR="007E6D8B">
        <w:t>are guided by the fact</w:t>
      </w:r>
      <w:r w:rsidR="00746630">
        <w:t xml:space="preserve"> </w:t>
      </w:r>
      <w:r w:rsidR="00941497">
        <w:t xml:space="preserve">that </w:t>
      </w:r>
      <w:r w:rsidR="004F5F86">
        <w:t xml:space="preserve">the Commission never </w:t>
      </w:r>
      <w:r w:rsidR="00E96583">
        <w:t xml:space="preserve">proposed to issue, and never </w:t>
      </w:r>
      <w:r w:rsidR="004F5F86">
        <w:t>issued</w:t>
      </w:r>
      <w:r w:rsidR="00E96583">
        <w:t>,</w:t>
      </w:r>
      <w:r w:rsidR="004F5F86">
        <w:t xml:space="preserve"> an order rescinding the Class D </w:t>
      </w:r>
      <w:r w:rsidR="007E6D8B">
        <w:t>Note</w:t>
      </w:r>
      <w:r w:rsidR="004F5F86">
        <w:t xml:space="preserve"> or otherwise deleting the Class D Note from section 73.3527.  </w:t>
      </w:r>
      <w:r w:rsidR="00746630">
        <w:t>Our reinstatement of the exemption</w:t>
      </w:r>
      <w:r w:rsidR="000746FE">
        <w:t xml:space="preserve"> is consistent with the holdings in the </w:t>
      </w:r>
      <w:r w:rsidRPr="0092727A" w:rsidR="000746FE">
        <w:rPr>
          <w:i/>
          <w:iCs/>
        </w:rPr>
        <w:t>1976 R&amp;O</w:t>
      </w:r>
      <w:r w:rsidRPr="0092727A" w:rsidR="002919AB">
        <w:rPr>
          <w:i/>
          <w:iCs/>
        </w:rPr>
        <w:t xml:space="preserve"> </w:t>
      </w:r>
      <w:r w:rsidR="002919AB">
        <w:t xml:space="preserve">and </w:t>
      </w:r>
      <w:r w:rsidRPr="0092727A" w:rsidR="002919AB">
        <w:rPr>
          <w:i/>
          <w:iCs/>
        </w:rPr>
        <w:t>1984 R&amp;O</w:t>
      </w:r>
      <w:r w:rsidR="0092727A">
        <w:t>—</w:t>
      </w:r>
      <w:r w:rsidR="002919AB">
        <w:t xml:space="preserve">as clarified by the </w:t>
      </w:r>
      <w:r w:rsidRPr="008A1DC9" w:rsidR="002919AB">
        <w:rPr>
          <w:i/>
          <w:iCs/>
        </w:rPr>
        <w:t>1985 Bureau Order</w:t>
      </w:r>
      <w:r w:rsidR="0092727A">
        <w:t>—</w:t>
      </w:r>
      <w:r w:rsidR="002919AB">
        <w:t xml:space="preserve">that Class D </w:t>
      </w:r>
      <w:r w:rsidR="00547BBF">
        <w:t xml:space="preserve">FM </w:t>
      </w:r>
      <w:r w:rsidR="002919AB">
        <w:t>stations should be exempt from the issue</w:t>
      </w:r>
      <w:r w:rsidR="007728E1">
        <w:t>s</w:t>
      </w:r>
      <w:r w:rsidR="002919AB">
        <w:t>/programs list requirement.</w:t>
      </w:r>
      <w:r w:rsidR="008A1DC9">
        <w:t xml:space="preserve"> </w:t>
      </w:r>
      <w:r w:rsidR="00627938">
        <w:t xml:space="preserve"> </w:t>
      </w:r>
      <w:r w:rsidR="008957C2">
        <w:t xml:space="preserve">Accordingly, </w:t>
      </w:r>
      <w:r w:rsidR="00D141E2">
        <w:t xml:space="preserve">to provide clarity to </w:t>
      </w:r>
      <w:r w:rsidR="0024654C">
        <w:t xml:space="preserve">Class D </w:t>
      </w:r>
      <w:r w:rsidR="0048203F">
        <w:t xml:space="preserve">FM </w:t>
      </w:r>
      <w:r w:rsidR="00FD23B0">
        <w:t>stations</w:t>
      </w:r>
      <w:r w:rsidR="00D141E2">
        <w:t xml:space="preserve"> and to conform to the publishing conventions of the National Archives and Records Administration’s Office</w:t>
      </w:r>
      <w:r w:rsidR="0048203F">
        <w:t xml:space="preserve"> of the Federal Register</w:t>
      </w:r>
      <w:r w:rsidR="00D141E2">
        <w:t xml:space="preserve">, </w:t>
      </w:r>
      <w:r w:rsidR="008957C2">
        <w:t>we amend section 73.</w:t>
      </w:r>
      <w:r w:rsidR="00D141E2">
        <w:t>3527(e)(8) as set out in the Appendix by including the text of the Class D Note.</w:t>
      </w:r>
      <w:r>
        <w:rPr>
          <w:rStyle w:val="FootnoteReference"/>
        </w:rPr>
        <w:footnoteReference w:id="18"/>
      </w:r>
      <w:r w:rsidR="00D141E2">
        <w:t xml:space="preserve">  </w:t>
      </w:r>
    </w:p>
    <w:p w:rsidR="00802109" w14:paraId="208E4E8A" w14:textId="69CE1980">
      <w:pPr>
        <w:pStyle w:val="ParaNum"/>
      </w:pPr>
      <w:r>
        <w:t xml:space="preserve">We find that notice and comment procedures are unnecessary under the “good cause” exception </w:t>
      </w:r>
      <w:r w:rsidR="00772791">
        <w:t>of</w:t>
      </w:r>
      <w:r>
        <w:t xml:space="preserve"> the Administrative Procedure Act (APA) because </w:t>
      </w:r>
      <w:r w:rsidR="008A1DC9">
        <w:t>re</w:t>
      </w:r>
      <w:r w:rsidR="00C15088">
        <w:t>-codifying</w:t>
      </w:r>
      <w:r w:rsidR="008A1DC9">
        <w:t xml:space="preserve"> the </w:t>
      </w:r>
      <w:r w:rsidR="00E96583">
        <w:t xml:space="preserve">inadvertently deleted </w:t>
      </w:r>
      <w:r w:rsidR="008A1DC9">
        <w:t xml:space="preserve">text of the deleted </w:t>
      </w:r>
      <w:r w:rsidR="007739D3">
        <w:t xml:space="preserve">Class D </w:t>
      </w:r>
      <w:r w:rsidR="008A1DC9">
        <w:t>Note merely restore</w:t>
      </w:r>
      <w:r w:rsidR="00BC3712">
        <w:t>s</w:t>
      </w:r>
      <w:r w:rsidR="008A1DC9">
        <w:t xml:space="preserve"> an exemption to section 73.3527 that the Commission established and has n</w:t>
      </w:r>
      <w:r w:rsidR="00BC3712">
        <w:t>ever</w:t>
      </w:r>
      <w:r w:rsidR="008A1DC9">
        <w:t xml:space="preserve"> sought to change in subsequent rulemaking actions.</w:t>
      </w:r>
      <w:r>
        <w:rPr>
          <w:rStyle w:val="FootnoteReference"/>
        </w:rPr>
        <w:footnoteReference w:id="19"/>
      </w:r>
      <w:r>
        <w:t xml:space="preserve">  Consequently, </w:t>
      </w:r>
      <w:r w:rsidR="000C5598">
        <w:t>we</w:t>
      </w:r>
      <w:r>
        <w:t xml:space="preserve"> find notice and comment procedures are unnecessary for this action.</w:t>
      </w:r>
      <w:r>
        <w:rPr>
          <w:rStyle w:val="FootnoteReference"/>
        </w:rPr>
        <w:footnoteReference w:id="20"/>
      </w:r>
      <w:r>
        <w:t xml:space="preserve">  </w:t>
      </w:r>
    </w:p>
    <w:p w:rsidR="00E735C9" w:rsidP="002D6F46" w14:paraId="037CE08A" w14:textId="15377C3B">
      <w:pPr>
        <w:pStyle w:val="ParaNum"/>
      </w:pPr>
      <w:r>
        <w:t xml:space="preserve">Finally, we disavow </w:t>
      </w:r>
      <w:r w:rsidR="005D1386">
        <w:t xml:space="preserve">the Bureau’s </w:t>
      </w:r>
      <w:r>
        <w:t xml:space="preserve">holding in </w:t>
      </w:r>
      <w:r>
        <w:rPr>
          <w:i/>
          <w:iCs/>
        </w:rPr>
        <w:t xml:space="preserve">UMW. </w:t>
      </w:r>
      <w:r w:rsidR="00627938">
        <w:rPr>
          <w:i/>
          <w:iCs/>
        </w:rPr>
        <w:t xml:space="preserve"> </w:t>
      </w:r>
      <w:r>
        <w:t xml:space="preserve">As discussed above, the </w:t>
      </w:r>
      <w:r>
        <w:rPr>
          <w:i/>
          <w:iCs/>
        </w:rPr>
        <w:t>1985 Bureau Order</w:t>
      </w:r>
      <w:r>
        <w:t xml:space="preserve"> clearly states that Class </w:t>
      </w:r>
      <w:r w:rsidR="00575401">
        <w:t xml:space="preserve">D </w:t>
      </w:r>
      <w:r>
        <w:t xml:space="preserve">FM stations were meant to be exempted from the issues/programs lists requirement of section 73.3527, and no subsequent Commission decision changed that requirement.  The removal of </w:t>
      </w:r>
      <w:r w:rsidR="00D16345">
        <w:t>the Class D Note</w:t>
      </w:r>
      <w:r>
        <w:t xml:space="preserve"> from section 73.3527 was not done pursuant to a Commission action, but rather through apparent inadvertence.  Therefor</w:t>
      </w:r>
      <w:r w:rsidR="0092727A">
        <w:t>e</w:t>
      </w:r>
      <w:r>
        <w:t>, that exemption is still valid</w:t>
      </w:r>
      <w:r w:rsidR="0078374E">
        <w:t xml:space="preserve">, and </w:t>
      </w:r>
      <w:r w:rsidR="0078374E">
        <w:rPr>
          <w:i/>
          <w:iCs/>
        </w:rPr>
        <w:t xml:space="preserve">UMW </w:t>
      </w:r>
      <w:r w:rsidR="00E5219B">
        <w:t>provides an example of the importance of reflecting this exemption within the text of section 73.3527(e)(8).</w:t>
      </w:r>
    </w:p>
    <w:p w:rsidR="00802109" w14:paraId="0E67D390" w14:textId="77777777">
      <w:pPr>
        <w:pStyle w:val="Heading1"/>
      </w:pPr>
      <w:r>
        <w:t>PROCEDURAL MATTERS</w:t>
      </w:r>
    </w:p>
    <w:p w:rsidR="00802109" w14:paraId="402BF41C" w14:textId="77777777">
      <w:pPr>
        <w:pStyle w:val="ParaNum"/>
      </w:pPr>
      <w:r>
        <w:rPr>
          <w:i/>
          <w:iCs/>
        </w:rPr>
        <w:t>Regulatory Flexibility Act.</w:t>
      </w:r>
      <w:r>
        <w:t xml:space="preserve">  </w:t>
      </w:r>
      <w:r w:rsidR="006E141F">
        <w:t xml:space="preserve">Because these rule changes </w:t>
      </w:r>
      <w:r w:rsidR="00B4221E">
        <w:t xml:space="preserve">are being adopted without </w:t>
      </w:r>
      <w:r w:rsidR="006E141F">
        <w:t xml:space="preserve">notice and comment, </w:t>
      </w:r>
      <w:r>
        <w:t>the Regulatory Flexibility Act</w:t>
      </w:r>
      <w:r>
        <w:rPr>
          <w:rStyle w:val="FootnoteReference"/>
          <w:szCs w:val="22"/>
        </w:rPr>
        <w:footnoteReference w:id="21"/>
      </w:r>
      <w:r w:rsidR="006E141F">
        <w:t xml:space="preserve"> does not apply.</w:t>
      </w:r>
      <w:r>
        <w:t xml:space="preserve">   </w:t>
      </w:r>
    </w:p>
    <w:p w:rsidR="00802109" w:rsidP="0094374E" w14:paraId="7140A3DF" w14:textId="77777777">
      <w:pPr>
        <w:pStyle w:val="ParaNum"/>
        <w:widowControl/>
      </w:pPr>
      <w:r>
        <w:rPr>
          <w:i/>
          <w:iCs/>
        </w:rPr>
        <w:t>Paperwork Reduction Act.</w:t>
      </w:r>
      <w:r>
        <w:t xml:space="preserve">  This document does not contain any </w:t>
      </w:r>
      <w:r>
        <w:rPr>
          <w:bCs/>
        </w:rPr>
        <w:t xml:space="preserve">new or modified </w:t>
      </w:r>
      <w:r>
        <w:t>information collection requirements subject to the Paperwork Reduction Act of 1995 (PRA).</w:t>
      </w:r>
      <w:r>
        <w:rPr>
          <w:rStyle w:val="FootnoteReference"/>
        </w:rPr>
        <w:footnoteReference w:id="22"/>
      </w:r>
      <w:r>
        <w:t xml:space="preserve">  In addition, therefore, it does not contain any new or modified information collection burden for small </w:t>
      </w:r>
      <w:r>
        <w:t>business concerns with fewer than 25 employees, pursuant to the Small Business Paperwork Relief Act of 2002.</w:t>
      </w:r>
      <w:r>
        <w:rPr>
          <w:rStyle w:val="FootnoteReference"/>
        </w:rPr>
        <w:footnoteReference w:id="23"/>
      </w:r>
    </w:p>
    <w:p w:rsidR="00802109" w14:paraId="57DB89B6" w14:textId="694ACFC2">
      <w:pPr>
        <w:pStyle w:val="ParaNum"/>
      </w:pPr>
      <w:r>
        <w:rPr>
          <w:i/>
          <w:iCs/>
        </w:rPr>
        <w:t>Congressional Review Act.</w:t>
      </w:r>
      <w:r>
        <w:t xml:space="preserve">  </w:t>
      </w:r>
      <w:r w:rsidR="009E1326">
        <w:t xml:space="preserve">The </w:t>
      </w:r>
      <w:r w:rsidRPr="00AF6245" w:rsidR="009E1326">
        <w:t>Bureau</w:t>
      </w:r>
      <w:r w:rsidR="009E1326">
        <w:t xml:space="preserve"> has determined, and the Administrator of the Office of Information and Regulatory Affairs, Office of Management and Budget, concurs that these rules are non-major under the Congressional Review Act, 5 U.S.C. § 804(2).  </w:t>
      </w:r>
      <w:r>
        <w:t xml:space="preserve">The </w:t>
      </w:r>
      <w:r w:rsidR="009E1326">
        <w:t xml:space="preserve">Bureau </w:t>
      </w:r>
      <w:r>
        <w:t>will send a copy of this Order to Congress and the Government Accountability Office, pursuant to the Congressional Review Act.</w:t>
      </w:r>
      <w:r>
        <w:rPr>
          <w:rStyle w:val="FootnoteReference"/>
        </w:rPr>
        <w:footnoteReference w:id="24"/>
      </w:r>
    </w:p>
    <w:p w:rsidR="00802109" w14:paraId="362142D0" w14:textId="77777777">
      <w:pPr>
        <w:pStyle w:val="Heading1"/>
      </w:pPr>
      <w:r>
        <w:t>ORDERING CLAUSES</w:t>
      </w:r>
    </w:p>
    <w:p w:rsidR="00802109" w:rsidP="00812CF6" w14:paraId="350CEC5F" w14:textId="643D3CD1">
      <w:pPr>
        <w:pStyle w:val="ParaNum"/>
        <w:widowControl/>
      </w:pPr>
      <w:r>
        <w:t xml:space="preserve">Accordingly, </w:t>
      </w:r>
      <w:r>
        <w:rPr>
          <w:b/>
        </w:rPr>
        <w:t>IT IS ORDERED</w:t>
      </w:r>
      <w:r>
        <w:t xml:space="preserve"> </w:t>
      </w:r>
      <w:r w:rsidRPr="003E333E" w:rsidR="008E19A5">
        <w:t>that, pursuant to the authority contained in Sections 1, 4(</w:t>
      </w:r>
      <w:r w:rsidRPr="003E333E" w:rsidR="008E19A5">
        <w:t>i</w:t>
      </w:r>
      <w:r w:rsidRPr="003E333E" w:rsidR="008E19A5">
        <w:t>), 4(j), 301, 303, 307, 308, 309, 316, and 319 of the Communications Act of 1934, as amended, 47 U.S.C. §§ 151, 154(</w:t>
      </w:r>
      <w:r w:rsidRPr="003E333E" w:rsidR="008E19A5">
        <w:t>i</w:t>
      </w:r>
      <w:r w:rsidRPr="003E333E" w:rsidR="008E19A5">
        <w:t xml:space="preserve">), 154(j), 301, 303, 307, 308, 309, 316, and 319, this </w:t>
      </w:r>
      <w:r w:rsidRPr="001D1987" w:rsidR="008E19A5">
        <w:rPr>
          <w:i/>
          <w:iCs/>
        </w:rPr>
        <w:t>Order</w:t>
      </w:r>
      <w:r w:rsidR="008E19A5">
        <w:t xml:space="preserve"> </w:t>
      </w:r>
      <w:r w:rsidRPr="00FE6F61" w:rsidR="008E19A5">
        <w:rPr>
          <w:b/>
        </w:rPr>
        <w:t>IS ADOPTED</w:t>
      </w:r>
      <w:r w:rsidRPr="007266B7" w:rsidR="008E19A5">
        <w:rPr>
          <w:b/>
        </w:rPr>
        <w:t xml:space="preserve"> </w:t>
      </w:r>
      <w:r w:rsidR="008E19A5">
        <w:t xml:space="preserve">and </w:t>
      </w:r>
      <w:r w:rsidRPr="00545524" w:rsidR="008E19A5">
        <w:rPr>
          <w:b/>
        </w:rPr>
        <w:t>WILL BECOME EFFECTIVE</w:t>
      </w:r>
      <w:r w:rsidR="008E19A5">
        <w:t xml:space="preserve"> 30</w:t>
      </w:r>
      <w:r w:rsidRPr="00E57B65" w:rsidR="008E19A5">
        <w:t xml:space="preserve"> days after publication in the Federal Register</w:t>
      </w:r>
      <w:r w:rsidRPr="003E333E" w:rsidR="008E19A5">
        <w:t>.</w:t>
      </w:r>
    </w:p>
    <w:p w:rsidR="00802109" w14:paraId="4BD4C4F0" w14:textId="211285A5">
      <w:pPr>
        <w:pStyle w:val="ParaNum"/>
      </w:pPr>
      <w:r>
        <w:rPr>
          <w:b/>
        </w:rPr>
        <w:t>IT IS FURTHER ORDERED</w:t>
      </w:r>
      <w:r>
        <w:t xml:space="preserve"> that</w:t>
      </w:r>
      <w:r w:rsidR="008E19A5">
        <w:t xml:space="preserve"> Parts 73 of</w:t>
      </w:r>
      <w:r w:rsidR="00EE614A">
        <w:rPr>
          <w:rStyle w:val="cosearchterm"/>
          <w:color w:val="000000"/>
        </w:rPr>
        <w:t xml:space="preserve"> </w:t>
      </w:r>
      <w:r>
        <w:rPr>
          <w:bCs/>
        </w:rPr>
        <w:t xml:space="preserve">the Commission’s </w:t>
      </w:r>
      <w:r w:rsidR="008E19A5">
        <w:rPr>
          <w:bCs/>
        </w:rPr>
        <w:t>R</w:t>
      </w:r>
      <w:r>
        <w:rPr>
          <w:bCs/>
        </w:rPr>
        <w:t>ules</w:t>
      </w:r>
      <w:r>
        <w:rPr>
          <w:b/>
        </w:rPr>
        <w:t xml:space="preserve"> ARE HEREBY AMENDED </w:t>
      </w:r>
      <w:r>
        <w:rPr>
          <w:bCs/>
        </w:rPr>
        <w:t xml:space="preserve">as set forth in </w:t>
      </w:r>
      <w:r w:rsidR="00BD7396">
        <w:rPr>
          <w:bCs/>
        </w:rPr>
        <w:t xml:space="preserve">the </w:t>
      </w:r>
      <w:r>
        <w:rPr>
          <w:bCs/>
        </w:rPr>
        <w:t>Appendix, effective as of</w:t>
      </w:r>
      <w:r>
        <w:rPr>
          <w:b/>
        </w:rPr>
        <w:t xml:space="preserve"> </w:t>
      </w:r>
      <w:r>
        <w:rPr>
          <w:bCs/>
        </w:rPr>
        <w:t xml:space="preserve">thirty (30) days after the date of publication in the </w:t>
      </w:r>
      <w:r>
        <w:rPr>
          <w:bCs/>
          <w:i/>
        </w:rPr>
        <w:t>Federal Register</w:t>
      </w:r>
      <w:r>
        <w:rPr>
          <w:bCs/>
          <w:iCs/>
        </w:rPr>
        <w:t>.</w:t>
      </w:r>
      <w:r>
        <w:t xml:space="preserve"> </w:t>
      </w:r>
    </w:p>
    <w:p w:rsidR="00662983" w:rsidP="00986798" w14:paraId="23DBFBFB" w14:textId="689893B7">
      <w:pPr>
        <w:pStyle w:val="ParaNum"/>
      </w:pPr>
      <w:r>
        <w:rPr>
          <w:b/>
        </w:rPr>
        <w:t>IT IS FURTHER ORDERED</w:t>
      </w:r>
      <w:r>
        <w:t xml:space="preserve"> that the </w:t>
      </w:r>
      <w:r w:rsidR="00AF6245">
        <w:t>Bureau</w:t>
      </w:r>
      <w:r>
        <w:t xml:space="preserve"> </w:t>
      </w:r>
      <w:r w:rsidRPr="008E19A5" w:rsidR="008E19A5">
        <w:rPr>
          <w:b/>
          <w:bCs/>
        </w:rPr>
        <w:t>SHALL SEND</w:t>
      </w:r>
      <w:r>
        <w:t xml:space="preserve"> a copy of this </w:t>
      </w:r>
      <w:r>
        <w:rPr>
          <w:i/>
        </w:rPr>
        <w:t xml:space="preserve">Order </w:t>
      </w:r>
      <w:r>
        <w:t xml:space="preserve">in a report to be sent to Congress and the Government Accountability Office pursuant to the Congressional Review Act, </w:t>
      </w:r>
      <w:r>
        <w:rPr>
          <w:i/>
        </w:rPr>
        <w:t xml:space="preserve">see </w:t>
      </w:r>
      <w:r>
        <w:t>5 U.S.C. § 801(a)(1)(A).</w:t>
      </w:r>
    </w:p>
    <w:p w:rsidR="00D14861" w:rsidP="00D14861" w14:paraId="60EDBD7B" w14:textId="0B245615">
      <w:pPr>
        <w:pStyle w:val="ParaNum"/>
      </w:pPr>
      <w:r>
        <w:rPr>
          <w:b/>
          <w:bCs/>
        </w:rPr>
        <w:t>IT IS FURTHER ORDERED</w:t>
      </w:r>
      <w:r>
        <w:t xml:space="preserve"> that, should no petitions for reconsideration or petitions for judicial review be timely filed, MB Docket No. 22-</w:t>
      </w:r>
      <w:r w:rsidR="004416B4">
        <w:t>240</w:t>
      </w:r>
      <w:r>
        <w:t xml:space="preserve"> </w:t>
      </w:r>
      <w:r>
        <w:rPr>
          <w:b/>
          <w:bCs/>
        </w:rPr>
        <w:t>SHALL BE TERMINATED</w:t>
      </w:r>
      <w:r>
        <w:t xml:space="preserve"> and its docket </w:t>
      </w:r>
      <w:r>
        <w:rPr>
          <w:b/>
          <w:bCs/>
        </w:rPr>
        <w:t>CLOSED</w:t>
      </w:r>
      <w:r>
        <w:t>.</w:t>
      </w:r>
    </w:p>
    <w:p w:rsidR="00986798" w:rsidP="0017296B" w14:paraId="282CC46A" w14:textId="77777777">
      <w:r>
        <w:tab/>
      </w:r>
      <w:r>
        <w:tab/>
      </w:r>
      <w:r>
        <w:tab/>
      </w:r>
      <w:r>
        <w:tab/>
      </w:r>
      <w:r>
        <w:tab/>
      </w:r>
      <w:r>
        <w:tab/>
        <w:t>FEDERAL COMMUNICATIONS COMMISSION</w:t>
      </w:r>
    </w:p>
    <w:p w:rsidR="00986798" w:rsidP="0017296B" w14:paraId="5877E661" w14:textId="77777777"/>
    <w:p w:rsidR="00986798" w:rsidP="0017296B" w14:paraId="0ACE0935" w14:textId="77777777"/>
    <w:p w:rsidR="00986798" w:rsidP="0017296B" w14:paraId="1D43F44C" w14:textId="77777777"/>
    <w:p w:rsidR="00986798" w:rsidP="0017296B" w14:paraId="52FFCA5F" w14:textId="77777777"/>
    <w:p w:rsidR="00986798" w:rsidP="0076660C" w14:paraId="314410D8" w14:textId="7D3CFDCD">
      <w:r>
        <w:tab/>
      </w:r>
      <w:r>
        <w:tab/>
      </w:r>
      <w:r>
        <w:tab/>
      </w:r>
      <w:r>
        <w:tab/>
      </w:r>
      <w:r>
        <w:tab/>
      </w:r>
      <w:r>
        <w:tab/>
      </w:r>
      <w:r w:rsidR="0076660C">
        <w:t>Holly Sau</w:t>
      </w:r>
      <w:r w:rsidR="007F53B0">
        <w:t>r</w:t>
      </w:r>
      <w:r w:rsidR="0076660C">
        <w:t>er</w:t>
      </w:r>
    </w:p>
    <w:p w:rsidR="0076660C" w:rsidP="0076660C" w14:paraId="5B093EEF" w14:textId="0E981330">
      <w:r>
        <w:tab/>
      </w:r>
      <w:r>
        <w:tab/>
      </w:r>
      <w:r>
        <w:tab/>
      </w:r>
      <w:r>
        <w:tab/>
      </w:r>
      <w:r>
        <w:tab/>
      </w:r>
      <w:r>
        <w:tab/>
        <w:t>Chief, Media Bureau</w:t>
      </w:r>
    </w:p>
    <w:p w:rsidR="00986798" w:rsidP="00986798" w14:paraId="0EE9C73A" w14:textId="77777777">
      <w:pPr>
        <w:pStyle w:val="ParaNum"/>
        <w:numPr>
          <w:ilvl w:val="0"/>
          <w:numId w:val="0"/>
        </w:numPr>
      </w:pPr>
    </w:p>
    <w:p w:rsidR="00802109" w14:paraId="1CFABB42" w14:textId="77777777"/>
    <w:p w:rsidR="00802109" w14:paraId="59EE9177" w14:textId="77777777"/>
    <w:p w:rsidR="00802109" w14:paraId="304F6ECE" w14:textId="77777777">
      <w:pPr>
        <w:sectPr>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titlePg/>
        </w:sectPr>
      </w:pPr>
    </w:p>
    <w:p w:rsidR="008957C2" w:rsidP="008957C2" w14:paraId="6CE24408" w14:textId="77777777">
      <w:pPr>
        <w:jc w:val="center"/>
        <w:rPr>
          <w:b/>
          <w:bCs/>
        </w:rPr>
      </w:pPr>
      <w:r>
        <w:rPr>
          <w:b/>
          <w:bCs/>
        </w:rPr>
        <w:t>APPENDIX</w:t>
      </w:r>
    </w:p>
    <w:p w:rsidR="008957C2" w:rsidP="008957C2" w14:paraId="3F58D9C6" w14:textId="77777777">
      <w:pPr>
        <w:jc w:val="center"/>
      </w:pPr>
    </w:p>
    <w:p w:rsidR="008957C2" w:rsidP="008957C2" w14:paraId="4EA745F0" w14:textId="77777777">
      <w:pPr>
        <w:jc w:val="center"/>
        <w:rPr>
          <w:b/>
          <w:bCs/>
        </w:rPr>
      </w:pPr>
      <w:r>
        <w:rPr>
          <w:b/>
          <w:bCs/>
        </w:rPr>
        <w:t>Final Rules</w:t>
      </w:r>
    </w:p>
    <w:p w:rsidR="008957C2" w:rsidRPr="00575401" w:rsidP="008957C2" w14:paraId="76C244F1" w14:textId="77777777"/>
    <w:p w:rsidR="008957C2" w:rsidP="008957C2" w14:paraId="15DBD115" w14:textId="77777777">
      <w:r w:rsidRPr="00EA1C19">
        <w:t xml:space="preserve">For the reasons discussed in the preamble, </w:t>
      </w:r>
      <w:r>
        <w:t>the Federal Communications Commission amends Part 73 of Title 47 of the U.S. Code of Federal Regulations as follows:</w:t>
      </w:r>
    </w:p>
    <w:p w:rsidR="008957C2" w:rsidP="008957C2" w14:paraId="2CF0E307" w14:textId="77777777"/>
    <w:p w:rsidR="008957C2" w:rsidP="008957C2" w14:paraId="30425990" w14:textId="77777777">
      <w:r>
        <w:t xml:space="preserve">PART 73 – RADIO BROADCAST SERVICES </w:t>
      </w:r>
    </w:p>
    <w:p w:rsidR="008957C2" w:rsidP="008957C2" w14:paraId="7C72B0DE" w14:textId="77777777"/>
    <w:p w:rsidR="008957C2" w:rsidP="008957C2" w14:paraId="56F82065" w14:textId="77777777">
      <w:pPr>
        <w:pStyle w:val="ListParagraph"/>
        <w:numPr>
          <w:ilvl w:val="0"/>
          <w:numId w:val="33"/>
        </w:numPr>
      </w:pPr>
      <w:r>
        <w:t>The authority citation for Part 73 continues to read as follows:</w:t>
      </w:r>
    </w:p>
    <w:p w:rsidR="008957C2" w:rsidP="008957C2" w14:paraId="07FFA454" w14:textId="77777777"/>
    <w:p w:rsidR="008957C2" w:rsidP="008957C2" w14:paraId="754FD1A0" w14:textId="77777777">
      <w:pPr>
        <w:widowControl/>
        <w:tabs>
          <w:tab w:val="left" w:pos="0"/>
        </w:tabs>
        <w:suppressAutoHyphens/>
        <w:spacing w:after="160" w:line="259" w:lineRule="auto"/>
        <w:rPr>
          <w:snapToGrid/>
          <w:spacing w:val="-2"/>
          <w:kern w:val="0"/>
          <w:szCs w:val="22"/>
        </w:rPr>
      </w:pPr>
      <w:r>
        <w:rPr>
          <w:snapToGrid/>
          <w:spacing w:val="-2"/>
          <w:kern w:val="0"/>
          <w:szCs w:val="22"/>
        </w:rPr>
        <w:t xml:space="preserve">Authority:  47 U.S.C. 154, </w:t>
      </w:r>
      <w:r w:rsidRPr="009652D6">
        <w:t>155, 301, 303, 307, 309, 310, 334, 336, 339.</w:t>
      </w:r>
    </w:p>
    <w:p w:rsidR="008957C2" w:rsidP="008957C2" w14:paraId="1229E04A" w14:textId="77777777">
      <w:pPr>
        <w:pStyle w:val="ListParagraph"/>
        <w:numPr>
          <w:ilvl w:val="0"/>
          <w:numId w:val="33"/>
        </w:numPr>
      </w:pPr>
      <w:r>
        <w:t xml:space="preserve">Amend  </w:t>
      </w:r>
      <w:r w:rsidRPr="008E19A5">
        <w:t>§</w:t>
      </w:r>
      <w:r>
        <w:t xml:space="preserve"> 73.3527 by revising the last sentence of paragraph (e)(8) to read as follows: </w:t>
      </w:r>
    </w:p>
    <w:p w:rsidR="008957C2" w:rsidP="008957C2" w14:paraId="6B8E1F6B" w14:textId="77777777"/>
    <w:p w:rsidR="008957C2" w:rsidRPr="008E19A5" w:rsidP="008957C2" w14:paraId="46582FFA" w14:textId="6803DA28">
      <w:r w:rsidRPr="008E19A5">
        <w:t>§ 73.</w:t>
      </w:r>
      <w:r w:rsidR="008267F4">
        <w:t>3</w:t>
      </w:r>
      <w:r w:rsidRPr="008E19A5">
        <w:t>5</w:t>
      </w:r>
      <w:r w:rsidR="008267F4">
        <w:t>2</w:t>
      </w:r>
      <w:r w:rsidRPr="008E19A5">
        <w:t>7 Online public inspection file of noncommercial educational stations.</w:t>
      </w:r>
    </w:p>
    <w:p w:rsidR="008957C2" w:rsidP="008957C2" w14:paraId="40355712" w14:textId="77777777"/>
    <w:p w:rsidR="008957C2" w:rsidP="008957C2" w14:paraId="595A31CB" w14:textId="77777777">
      <w:r>
        <w:t>* * * * *</w:t>
      </w:r>
    </w:p>
    <w:p w:rsidR="008957C2" w:rsidP="008957C2" w14:paraId="743513EE" w14:textId="77777777"/>
    <w:p w:rsidR="008957C2" w:rsidP="008957C2" w14:paraId="334A93D6" w14:textId="77777777">
      <w:r>
        <w:t>(e)  * * *</w:t>
      </w:r>
    </w:p>
    <w:p w:rsidR="008957C2" w:rsidP="008957C2" w14:paraId="4F1654AE" w14:textId="77777777">
      <w:r>
        <w:t xml:space="preserve">(8) * * *  </w:t>
      </w:r>
      <w:r w:rsidRPr="00BB1538">
        <w:t>For the purposes of this section, exempt applicants, permittees, or licensees include those whose existing or prospective facilities are Class D FM stations or whose programming is wholly “Instructional.”</w:t>
      </w:r>
    </w:p>
    <w:p w:rsidR="008957C2" w:rsidP="008957C2" w14:paraId="26BB6C2E" w14:textId="77777777"/>
    <w:p w:rsidR="008957C2" w:rsidP="008957C2" w14:paraId="7F31F9CC" w14:textId="77777777">
      <w:r>
        <w:t>* * * * *</w:t>
      </w:r>
    </w:p>
    <w:p w:rsidR="00802109" w:rsidP="008957C2" w14:paraId="4331578B" w14:textId="528DA8C1">
      <w:pPr>
        <w:jc w:val="center"/>
      </w:pPr>
    </w:p>
    <w:sectPr>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09" w14:paraId="59AB7F3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2109" w14:paraId="233D47E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09" w14:paraId="51F123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02109" w14:paraId="2ADD79D7"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09" w14:paraId="40866485" w14:textId="77777777">
    <w:pPr>
      <w:pStyle w:val="Footer"/>
      <w:jc w:val="center"/>
    </w:pPr>
  </w:p>
  <w:p w:rsidR="00802109" w14:paraId="7ECB1DF3"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22AA" w14:paraId="04CF6799" w14:textId="77777777">
      <w:r>
        <w:separator/>
      </w:r>
    </w:p>
  </w:footnote>
  <w:footnote w:type="continuationSeparator" w:id="1">
    <w:p w:rsidR="002922AA" w14:paraId="7D5C890D" w14:textId="77777777">
      <w:r>
        <w:continuationSeparator/>
      </w:r>
    </w:p>
  </w:footnote>
  <w:footnote w:type="continuationNotice" w:id="2">
    <w:p w:rsidR="002922AA" w14:paraId="1E70842C" w14:textId="77777777"/>
  </w:footnote>
  <w:footnote w:id="3">
    <w:p w:rsidR="005677A5" w14:paraId="0FB2F5BD" w14:textId="044445DF">
      <w:pPr>
        <w:pStyle w:val="FootnoteText"/>
      </w:pPr>
      <w:r>
        <w:rPr>
          <w:rStyle w:val="FootnoteReference"/>
        </w:rPr>
        <w:footnoteRef/>
      </w:r>
      <w:r>
        <w:t xml:space="preserve"> </w:t>
      </w:r>
      <w:r>
        <w:rPr>
          <w:i/>
          <w:iCs/>
        </w:rPr>
        <w:t xml:space="preserve">See </w:t>
      </w:r>
      <w:r w:rsidRPr="005677A5">
        <w:rPr>
          <w:i/>
          <w:iCs/>
        </w:rPr>
        <w:t>Ascertainment of Community Problems by Noncommercial Educational Broadcast Applicants</w:t>
      </w:r>
      <w:r w:rsidRPr="005677A5">
        <w:t>, Report and Order, 58 FCC 2d 526, 541, para 49 and note 15 (1976)</w:t>
      </w:r>
      <w:r>
        <w:t xml:space="preserve"> ("</w:t>
      </w:r>
      <w:r w:rsidRPr="005677A5">
        <w:t>Instructional</w:t>
      </w:r>
      <w:r w:rsidR="00CF0ED0">
        <w:t>” refers to “</w:t>
      </w:r>
      <w:r w:rsidRPr="005677A5">
        <w:t>programs designed to be utilized by any level of educational institution in the regular instructional program of the institution. In-school, in-service for teachers, and college credit courses are examples of instructional programs.</w:t>
      </w:r>
      <w:r w:rsidR="00CF0ED0">
        <w:t>”</w:t>
      </w:r>
      <w:r>
        <w:t>).</w:t>
      </w:r>
    </w:p>
  </w:footnote>
  <w:footnote w:id="4">
    <w:p w:rsidR="00802109" w:rsidRPr="003A6EC7" w14:paraId="0B273110" w14:textId="3F8ACBB4">
      <w:pPr>
        <w:pStyle w:val="FootnoteText"/>
      </w:pPr>
      <w:r>
        <w:rPr>
          <w:rStyle w:val="FootnoteReference"/>
        </w:rPr>
        <w:footnoteRef/>
      </w:r>
      <w:r w:rsidRPr="003A6EC7">
        <w:t xml:space="preserve"> 47 CFR § 7</w:t>
      </w:r>
      <w:r w:rsidRPr="003A6EC7" w:rsidR="0045699F">
        <w:t>3.3527</w:t>
      </w:r>
      <w:r w:rsidRPr="003A6EC7">
        <w:t xml:space="preserve">. </w:t>
      </w:r>
      <w:r w:rsidR="005677A5">
        <w:t xml:space="preserve">  </w:t>
      </w:r>
    </w:p>
  </w:footnote>
  <w:footnote w:id="5">
    <w:p w:rsidR="0045699F" w:rsidRPr="003A6EC7" w14:paraId="0724E51D" w14:textId="68B56FDB">
      <w:pPr>
        <w:pStyle w:val="FootnoteText"/>
      </w:pPr>
      <w:r>
        <w:rPr>
          <w:rStyle w:val="FootnoteReference"/>
        </w:rPr>
        <w:footnoteRef/>
      </w:r>
      <w:r w:rsidRPr="003A6EC7">
        <w:t xml:space="preserve"> 47 CFR § 73.3527(e)(8).</w:t>
      </w:r>
    </w:p>
  </w:footnote>
  <w:footnote w:id="6">
    <w:p w:rsidR="007E7FF6" w14:paraId="7EA3C910" w14:textId="0BE05763">
      <w:pPr>
        <w:pStyle w:val="FootnoteText"/>
      </w:pPr>
      <w:r>
        <w:rPr>
          <w:rStyle w:val="FootnoteReference"/>
        </w:rPr>
        <w:footnoteRef/>
      </w:r>
      <w:r>
        <w:t xml:space="preserve"> </w:t>
      </w:r>
      <w:r>
        <w:rPr>
          <w:i/>
          <w:iCs/>
        </w:rPr>
        <w:t>Ascertainment of Community Problems by Noncommercial Educational Broadcast Applicants</w:t>
      </w:r>
      <w:r>
        <w:t>, Report and Order, 58 FCC 2d 526, para. 48 and n.14</w:t>
      </w:r>
      <w:r w:rsidR="002158F4">
        <w:t xml:space="preserve"> and Appendix A (Note 2 to Section 1.527(a)(7))</w:t>
      </w:r>
      <w:r>
        <w:t xml:space="preserve"> (1976).</w:t>
      </w:r>
    </w:p>
  </w:footnote>
  <w:footnote w:id="7">
    <w:p w:rsidR="002B4A37" w14:paraId="6F9CC9DA" w14:textId="477A3B4A">
      <w:pPr>
        <w:pStyle w:val="FootnoteText"/>
      </w:pPr>
      <w:r>
        <w:rPr>
          <w:rStyle w:val="FootnoteReference"/>
        </w:rPr>
        <w:footnoteRef/>
      </w:r>
      <w:r>
        <w:t xml:space="preserve"> </w:t>
      </w:r>
      <w:r w:rsidR="0083625D">
        <w:rPr>
          <w:i/>
          <w:iCs/>
        </w:rPr>
        <w:t>Id.</w:t>
      </w:r>
    </w:p>
  </w:footnote>
  <w:footnote w:id="8">
    <w:p w:rsidR="002B4A37" w14:paraId="3E07F4D0" w14:textId="78618FBF">
      <w:pPr>
        <w:pStyle w:val="FootnoteText"/>
      </w:pPr>
      <w:r>
        <w:rPr>
          <w:rStyle w:val="FootnoteReference"/>
        </w:rPr>
        <w:footnoteRef/>
      </w:r>
      <w:r>
        <w:t xml:space="preserve"> </w:t>
      </w:r>
      <w:r>
        <w:rPr>
          <w:i/>
          <w:iCs/>
        </w:rPr>
        <w:t>Revision of Program Policies and Reporting Requirements Related to Public Broadcasting Licensees</w:t>
      </w:r>
      <w:r>
        <w:t xml:space="preserve">, Report and Order, </w:t>
      </w:r>
      <w:r w:rsidR="000F4F33">
        <w:t xml:space="preserve">98 </w:t>
      </w:r>
      <w:r>
        <w:t>F</w:t>
      </w:r>
      <w:r w:rsidR="000F4F33">
        <w:t>.</w:t>
      </w:r>
      <w:r>
        <w:t>C</w:t>
      </w:r>
      <w:r w:rsidR="000F4F33">
        <w:t>.</w:t>
      </w:r>
      <w:r>
        <w:t>C</w:t>
      </w:r>
      <w:r w:rsidR="000F4F33">
        <w:t>.</w:t>
      </w:r>
      <w:r>
        <w:t>2d 746 (1984) (</w:t>
      </w:r>
      <w:r>
        <w:rPr>
          <w:i/>
          <w:iCs/>
        </w:rPr>
        <w:t>1984 R&amp;O</w:t>
      </w:r>
      <w:r>
        <w:t>)</w:t>
      </w:r>
      <w:r w:rsidR="009542C5">
        <w:t>.</w:t>
      </w:r>
    </w:p>
  </w:footnote>
  <w:footnote w:id="9">
    <w:p w:rsidR="002B4A37" w14:paraId="543B6535" w14:textId="1CC1FDF2">
      <w:pPr>
        <w:pStyle w:val="FootnoteText"/>
      </w:pPr>
      <w:r>
        <w:rPr>
          <w:rStyle w:val="FootnoteReference"/>
        </w:rPr>
        <w:footnoteRef/>
      </w:r>
      <w:r>
        <w:t xml:space="preserve"> </w:t>
      </w:r>
      <w:r w:rsidR="006713FC">
        <w:rPr>
          <w:i/>
          <w:iCs/>
        </w:rPr>
        <w:t>I</w:t>
      </w:r>
      <w:r>
        <w:rPr>
          <w:i/>
          <w:iCs/>
        </w:rPr>
        <w:t>d</w:t>
      </w:r>
      <w:r>
        <w:t>. at 749, para. 7 and n.8.</w:t>
      </w:r>
    </w:p>
  </w:footnote>
  <w:footnote w:id="10">
    <w:p w:rsidR="002158F4" w14:paraId="7FFBC38C" w14:textId="4BC476B9">
      <w:pPr>
        <w:pStyle w:val="FootnoteText"/>
      </w:pPr>
      <w:r>
        <w:rPr>
          <w:rStyle w:val="FootnoteReference"/>
        </w:rPr>
        <w:footnoteRef/>
      </w:r>
      <w:r>
        <w:t xml:space="preserve"> </w:t>
      </w:r>
      <w:r w:rsidRPr="002158F4">
        <w:rPr>
          <w:i/>
          <w:iCs/>
        </w:rPr>
        <w:t>Id</w:t>
      </w:r>
      <w:r>
        <w:t>. at Appendix A (Section 73.3527(a)(7)).</w:t>
      </w:r>
    </w:p>
  </w:footnote>
  <w:footnote w:id="11">
    <w:p w:rsidR="002B4A37" w14:paraId="559EFD44" w14:textId="5C91A600">
      <w:pPr>
        <w:pStyle w:val="FootnoteText"/>
      </w:pPr>
      <w:r>
        <w:rPr>
          <w:rStyle w:val="FootnoteReference"/>
        </w:rPr>
        <w:footnoteRef/>
      </w:r>
      <w:r>
        <w:t xml:space="preserve"> </w:t>
      </w:r>
      <w:r>
        <w:rPr>
          <w:i/>
          <w:iCs/>
        </w:rPr>
        <w:t>Oversight of the Radio and TV Broadcast Rules</w:t>
      </w:r>
      <w:r>
        <w:t>, Order, 1985 WL 1202761, para. 1(m) (</w:t>
      </w:r>
      <w:r w:rsidR="002F7C51">
        <w:t>M</w:t>
      </w:r>
      <w:r>
        <w:t>MB 1985) (“</w:t>
      </w:r>
      <w:r w:rsidRPr="000D3C61" w:rsidR="000D3C61">
        <w:t xml:space="preserve">The rule defines as “exempt” FM applicants, permittees or licensees, those whose facilities are designated as “Class D” FM stations. </w:t>
      </w:r>
      <w:r>
        <w:t>When we drafted the new requirement for the listing and filing of issues and programs, we intended to give the same exemption for issues/programs lists and files to Class D operators as we had historically given them from ascertainment and the listing and filing of problems-programs records.</w:t>
      </w:r>
      <w:r w:rsidR="00E32751">
        <w:t xml:space="preserve">  </w:t>
      </w:r>
      <w:r w:rsidRPr="00E32751" w:rsidR="00E32751">
        <w:t>Inadvertently, we failed to do this and the exemption was not written into the rule in the newly adopted Report and Order in public station regulatory relief. That relief is restored herein</w:t>
      </w:r>
      <w:r w:rsidR="00037A36">
        <w:t>.</w:t>
      </w:r>
      <w:r>
        <w:t>”</w:t>
      </w:r>
      <w:r w:rsidR="007A6856">
        <w:t>)</w:t>
      </w:r>
      <w:r>
        <w:t xml:space="preserve"> (</w:t>
      </w:r>
      <w:r>
        <w:rPr>
          <w:i/>
          <w:iCs/>
        </w:rPr>
        <w:t>1985 Bureau Order</w:t>
      </w:r>
      <w:r>
        <w:t>).</w:t>
      </w:r>
    </w:p>
  </w:footnote>
  <w:footnote w:id="12">
    <w:p w:rsidR="0022269C" w14:paraId="274BD12F" w14:textId="114B6578">
      <w:pPr>
        <w:pStyle w:val="FootnoteText"/>
      </w:pPr>
      <w:r>
        <w:rPr>
          <w:rStyle w:val="FootnoteReference"/>
        </w:rPr>
        <w:footnoteRef/>
      </w:r>
      <w:r>
        <w:t xml:space="preserve"> </w:t>
      </w:r>
      <w:r w:rsidR="000F4F33">
        <w:rPr>
          <w:i/>
          <w:iCs/>
        </w:rPr>
        <w:t>Id</w:t>
      </w:r>
      <w:r w:rsidR="000F4F33">
        <w:t>. at Appendix.</w:t>
      </w:r>
    </w:p>
  </w:footnote>
  <w:footnote w:id="13">
    <w:p w:rsidR="002B4A37" w:rsidP="002B4A37" w14:paraId="7878E659" w14:textId="2D868C89">
      <w:pPr>
        <w:pStyle w:val="FootnoteText"/>
      </w:pPr>
      <w:r>
        <w:rPr>
          <w:rStyle w:val="FootnoteReference"/>
        </w:rPr>
        <w:footnoteRef/>
      </w:r>
      <w:r>
        <w:t xml:space="preserve"> </w:t>
      </w:r>
      <w:r w:rsidRPr="00812CF6" w:rsidR="003E7959">
        <w:rPr>
          <w:i/>
          <w:iCs/>
        </w:rPr>
        <w:t>Oversight of Radio and TV Broadcast Rules</w:t>
      </w:r>
      <w:r w:rsidR="003E7959">
        <w:t xml:space="preserve">, </w:t>
      </w:r>
      <w:r>
        <w:t xml:space="preserve">50 </w:t>
      </w:r>
      <w:r w:rsidR="003E7959">
        <w:rPr>
          <w:rStyle w:val="normaltextrun"/>
          <w:color w:val="000000"/>
        </w:rPr>
        <w:t>Fed. Reg.</w:t>
      </w:r>
      <w:r>
        <w:t xml:space="preserve"> 8628</w:t>
      </w:r>
      <w:r w:rsidR="00B24883">
        <w:t>-01 (Mar. 4, 1985).</w:t>
      </w:r>
    </w:p>
  </w:footnote>
  <w:footnote w:id="14">
    <w:p w:rsidR="002B4A37" w:rsidRPr="003D4382" w:rsidP="002B4A37" w14:paraId="7B21D678" w14:textId="69BD6824">
      <w:pPr>
        <w:pStyle w:val="FootnoteText"/>
        <w:rPr>
          <w:rFonts w:cstheme="minorHAnsi"/>
        </w:rPr>
      </w:pPr>
      <w:r w:rsidRPr="003D4382">
        <w:rPr>
          <w:rStyle w:val="FootnoteReference"/>
          <w:rFonts w:cstheme="minorHAnsi"/>
        </w:rPr>
        <w:footnoteRef/>
      </w:r>
      <w:r w:rsidRPr="003D4382">
        <w:rPr>
          <w:rFonts w:cstheme="minorHAnsi"/>
        </w:rPr>
        <w:t xml:space="preserve"> </w:t>
      </w:r>
      <w:r w:rsidRPr="003D4382">
        <w:rPr>
          <w:rFonts w:cstheme="minorHAnsi"/>
          <w:i/>
          <w:iCs/>
          <w:color w:val="252525"/>
        </w:rPr>
        <w:t>See Revision of Section 73.3527(a)(7) Relating to the Issues-Programs List for Public Broadcasting Licensees</w:t>
      </w:r>
      <w:r w:rsidRPr="003D4382">
        <w:rPr>
          <w:rFonts w:cstheme="minorHAnsi"/>
          <w:color w:val="252525"/>
        </w:rPr>
        <w:t xml:space="preserve">, Report and Order, </w:t>
      </w:r>
      <w:r w:rsidRPr="003D4382">
        <w:rPr>
          <w:rFonts w:cstheme="minorHAnsi"/>
          <w:color w:val="000000"/>
        </w:rPr>
        <w:t xml:space="preserve">3 FCC </w:t>
      </w:r>
      <w:r w:rsidRPr="003D4382">
        <w:rPr>
          <w:rFonts w:cstheme="minorHAnsi"/>
          <w:color w:val="000000"/>
        </w:rPr>
        <w:t>Rcd</w:t>
      </w:r>
      <w:r w:rsidRPr="003D4382">
        <w:rPr>
          <w:rFonts w:cstheme="minorHAnsi"/>
          <w:color w:val="000000"/>
        </w:rPr>
        <w:t xml:space="preserve"> 1032 (1988) (</w:t>
      </w:r>
      <w:r w:rsidRPr="00D1188B">
        <w:rPr>
          <w:rFonts w:cstheme="minorHAnsi"/>
          <w:i/>
          <w:iCs/>
          <w:color w:val="000000"/>
        </w:rPr>
        <w:t>1988 Order</w:t>
      </w:r>
      <w:r w:rsidRPr="003D4382">
        <w:rPr>
          <w:rFonts w:cstheme="minorHAnsi"/>
          <w:color w:val="000000"/>
        </w:rPr>
        <w:t xml:space="preserve">).  </w:t>
      </w:r>
    </w:p>
  </w:footnote>
  <w:footnote w:id="15">
    <w:p w:rsidR="00A04C33" w:rsidRPr="00BA41F8" w14:paraId="02B534E7" w14:textId="00A284D8">
      <w:pPr>
        <w:pStyle w:val="FootnoteText"/>
      </w:pPr>
      <w:r>
        <w:rPr>
          <w:rStyle w:val="FootnoteReference"/>
        </w:rPr>
        <w:footnoteRef/>
      </w:r>
      <w:r>
        <w:t xml:space="preserve"> </w:t>
      </w:r>
      <w:r w:rsidR="00BA41F8">
        <w:rPr>
          <w:shd w:val="clear" w:color="auto" w:fill="FFFFFF"/>
        </w:rPr>
        <w:t>S</w:t>
      </w:r>
      <w:r w:rsidRPr="002B4A37" w:rsidR="00D06A91">
        <w:rPr>
          <w:shd w:val="clear" w:color="auto" w:fill="FFFFFF"/>
        </w:rPr>
        <w:t xml:space="preserve">pecifically, rather than five to ten community issues addressed by the station’s programming, the rule was revised to require a </w:t>
      </w:r>
      <w:r w:rsidRPr="003D4382" w:rsidR="00D06A91">
        <w:t>list of programs that represent the station’s most significant treatment of issues that the licensee believed to be of community concern</w:t>
      </w:r>
      <w:r w:rsidR="00BA41F8">
        <w:t xml:space="preserve">.  </w:t>
      </w:r>
      <w:r w:rsidR="00BA41F8">
        <w:rPr>
          <w:i/>
          <w:iCs/>
        </w:rPr>
        <w:t>Id</w:t>
      </w:r>
      <w:r w:rsidR="00BA41F8">
        <w:t>. at 1033, para. 10.</w:t>
      </w:r>
    </w:p>
  </w:footnote>
  <w:footnote w:id="16">
    <w:p w:rsidR="002B4A37" w:rsidRPr="003D4382" w:rsidP="002B4A37" w14:paraId="4510B89E" w14:textId="19E4F2A6">
      <w:pPr>
        <w:pStyle w:val="FootnoteText"/>
        <w:rPr>
          <w:rFonts w:cstheme="minorHAnsi"/>
        </w:rPr>
      </w:pPr>
      <w:r w:rsidRPr="003D4382">
        <w:rPr>
          <w:rStyle w:val="FootnoteReference"/>
          <w:rFonts w:cstheme="minorHAnsi"/>
        </w:rPr>
        <w:footnoteRef/>
      </w:r>
      <w:r w:rsidRPr="003D4382">
        <w:rPr>
          <w:rFonts w:cstheme="minorHAnsi"/>
        </w:rPr>
        <w:t xml:space="preserve"> </w:t>
      </w:r>
      <w:r w:rsidRPr="003D4382">
        <w:rPr>
          <w:rFonts w:cstheme="minorHAnsi"/>
          <w:i/>
          <w:iCs/>
          <w:color w:val="252525"/>
        </w:rPr>
        <w:t>See Revision of Section 73.3527(a)(7) Relating to the Issues-Programs List for Public Broadcasting Licensees</w:t>
      </w:r>
      <w:r w:rsidRPr="003D4382">
        <w:rPr>
          <w:rFonts w:cstheme="minorHAnsi"/>
          <w:color w:val="252525"/>
        </w:rPr>
        <w:t xml:space="preserve">, Notice of Proposed Rulemaking, </w:t>
      </w:r>
      <w:r w:rsidRPr="004A03DC">
        <w:rPr>
          <w:rFonts w:cstheme="minorHAnsi"/>
          <w:color w:val="3D3D3D"/>
        </w:rPr>
        <w:t xml:space="preserve">2 FCC </w:t>
      </w:r>
      <w:r w:rsidRPr="004A03DC">
        <w:rPr>
          <w:rFonts w:cstheme="minorHAnsi"/>
          <w:color w:val="3D3D3D"/>
        </w:rPr>
        <w:t>Rcd</w:t>
      </w:r>
      <w:r w:rsidRPr="004A03DC">
        <w:rPr>
          <w:rFonts w:cstheme="minorHAnsi"/>
          <w:color w:val="3D3D3D"/>
        </w:rPr>
        <w:t xml:space="preserve"> 507 </w:t>
      </w:r>
      <w:r w:rsidRPr="003D4382">
        <w:rPr>
          <w:rFonts w:cstheme="minorHAnsi"/>
          <w:color w:val="000000"/>
        </w:rPr>
        <w:t>(1987) (</w:t>
      </w:r>
      <w:r w:rsidRPr="00D1188B">
        <w:rPr>
          <w:rFonts w:cstheme="minorHAnsi"/>
          <w:i/>
          <w:iCs/>
          <w:color w:val="000000"/>
        </w:rPr>
        <w:t>1987 NPRM</w:t>
      </w:r>
      <w:r w:rsidRPr="003D4382">
        <w:rPr>
          <w:rFonts w:cstheme="minorHAnsi"/>
          <w:color w:val="000000"/>
        </w:rPr>
        <w:t>).</w:t>
      </w:r>
    </w:p>
  </w:footnote>
  <w:footnote w:id="17">
    <w:p w:rsidR="00E735C9" w14:paraId="0F134CC7" w14:textId="3CBDCE4D">
      <w:pPr>
        <w:pStyle w:val="FootnoteText"/>
      </w:pPr>
      <w:r>
        <w:rPr>
          <w:rStyle w:val="FootnoteReference"/>
        </w:rPr>
        <w:footnoteRef/>
      </w:r>
      <w:r>
        <w:t xml:space="preserve"> </w:t>
      </w:r>
      <w:r>
        <w:rPr>
          <w:i/>
          <w:iCs/>
        </w:rPr>
        <w:t>University of Montana Western</w:t>
      </w:r>
      <w:r>
        <w:t xml:space="preserve">, Forfeiture Order, 24 FCC </w:t>
      </w:r>
      <w:r>
        <w:t>Rcd</w:t>
      </w:r>
      <w:r>
        <w:t xml:space="preserve"> 3127, 3130-31, para 12 (MB 2009) (</w:t>
      </w:r>
      <w:r>
        <w:rPr>
          <w:i/>
          <w:iCs/>
        </w:rPr>
        <w:t>UMW</w:t>
      </w:r>
      <w:r>
        <w:t>).</w:t>
      </w:r>
    </w:p>
  </w:footnote>
  <w:footnote w:id="18">
    <w:p w:rsidR="00073167" w:rsidRPr="005841DE" w14:paraId="785684AD" w14:textId="1DC3FCF4">
      <w:pPr>
        <w:pStyle w:val="FootnoteText"/>
      </w:pPr>
      <w:r>
        <w:rPr>
          <w:rStyle w:val="FootnoteReference"/>
        </w:rPr>
        <w:footnoteRef/>
      </w:r>
      <w:r>
        <w:t xml:space="preserve"> </w:t>
      </w:r>
      <w:r w:rsidR="005841DE">
        <w:t>The public file requirements contain</w:t>
      </w:r>
      <w:r w:rsidR="00B43BEA">
        <w:t>ed</w:t>
      </w:r>
      <w:r w:rsidR="005841DE">
        <w:t xml:space="preserve"> in s</w:t>
      </w:r>
      <w:r>
        <w:t>ection 73.3527(a)(7) w</w:t>
      </w:r>
      <w:r w:rsidR="005841DE">
        <w:t>ere</w:t>
      </w:r>
      <w:r>
        <w:t xml:space="preserve"> </w:t>
      </w:r>
      <w:r w:rsidR="00A31E5F">
        <w:t xml:space="preserve">subsequently </w:t>
      </w:r>
      <w:r w:rsidR="005841DE">
        <w:t xml:space="preserve">moved </w:t>
      </w:r>
      <w:r>
        <w:t>to section 73.3527</w:t>
      </w:r>
      <w:r w:rsidR="005841DE">
        <w:t>(e)</w:t>
      </w:r>
      <w:r>
        <w:t>(8).</w:t>
      </w:r>
      <w:r w:rsidR="005841DE">
        <w:t xml:space="preserve">  </w:t>
      </w:r>
      <w:r w:rsidR="005841DE">
        <w:rPr>
          <w:i/>
          <w:iCs/>
        </w:rPr>
        <w:t xml:space="preserve">Review of the Commission’s Rules Regarding the Main Studio and Local Public Inspection Files of Broadcast Television and </w:t>
      </w:r>
      <w:r w:rsidR="00B43BEA">
        <w:rPr>
          <w:i/>
          <w:iCs/>
        </w:rPr>
        <w:t>R</w:t>
      </w:r>
      <w:r w:rsidR="005841DE">
        <w:rPr>
          <w:i/>
          <w:iCs/>
        </w:rPr>
        <w:t>adio Stations</w:t>
      </w:r>
      <w:r w:rsidR="005841DE">
        <w:t xml:space="preserve">, MM Docket No. 97-138, Report and Order, 13 FCC </w:t>
      </w:r>
      <w:r w:rsidR="005841DE">
        <w:t>Rcd</w:t>
      </w:r>
      <w:r w:rsidR="005841DE">
        <w:t xml:space="preserve"> 15961 (1998).</w:t>
      </w:r>
    </w:p>
  </w:footnote>
  <w:footnote w:id="19">
    <w:p w:rsidR="00802109" w14:paraId="50FCC9AE" w14:textId="77777777">
      <w:pPr>
        <w:pStyle w:val="FootnoteText"/>
      </w:pPr>
      <w:r>
        <w:rPr>
          <w:rStyle w:val="FootnoteReference"/>
        </w:rPr>
        <w:footnoteRef/>
      </w:r>
      <w:r>
        <w:t xml:space="preserve"> 5 U.S.C. § 553(b)(3)(B) (notice and comment is not necessary “when the agency for good cause finds (and incorporates the finding and a brief statement of reasons therefor in the rules issued) that notice and public procedure thereon are impracticable, unnecessary, or contrary to the public interest”).</w:t>
      </w:r>
    </w:p>
  </w:footnote>
  <w:footnote w:id="20">
    <w:p w:rsidR="00455630" w14:paraId="0F2795DD" w14:textId="4353E688">
      <w:pPr>
        <w:pStyle w:val="FootnoteText"/>
      </w:pPr>
      <w:r>
        <w:rPr>
          <w:rStyle w:val="FootnoteReference"/>
        </w:rPr>
        <w:footnoteRef/>
      </w:r>
      <w:r>
        <w:t xml:space="preserve"> </w:t>
      </w:r>
      <w:r>
        <w:rPr>
          <w:i/>
          <w:iCs/>
        </w:rPr>
        <w:t xml:space="preserve">See, e.g., </w:t>
      </w:r>
      <w:r w:rsidRPr="006B77CB">
        <w:rPr>
          <w:i/>
          <w:iCs/>
        </w:rPr>
        <w:t>Solid Waste Activities Group v. EPA</w:t>
      </w:r>
      <w:r w:rsidRPr="006B77CB">
        <w:t>, 236 F.3d 749, 755 (D.C. Cir. 2001) (</w:t>
      </w:r>
      <w:r>
        <w:t>explaining that</w:t>
      </w:r>
      <w:r w:rsidRPr="006B77CB">
        <w:t xml:space="preserve"> the “unnecessary” exception </w:t>
      </w:r>
      <w:r>
        <w:t xml:space="preserve">of section 533(b)(B) </w:t>
      </w:r>
      <w:r w:rsidRPr="006B77CB">
        <w:t>applies “to those situations in which the administrative rule is a routine determination, insignificant in nature and impact, and inconsequential to the industry and to the public”); </w:t>
      </w:r>
      <w:r>
        <w:rPr>
          <w:i/>
          <w:iCs/>
        </w:rPr>
        <w:t>Amendment of Parts 1,2, 15, 74, 78, 87,90, and 97 of the Commission’s Rules Regarding Implementation of the Final Acts of the World Radiocommunication Conference (Geneva, 2007) (WRC-07), Other Allocation Issues, and Related Rules Updates</w:t>
      </w:r>
      <w:r>
        <w:t xml:space="preserve">, Order, 27 FCC </w:t>
      </w:r>
      <w:r>
        <w:t>Rcd</w:t>
      </w:r>
      <w:r>
        <w:t xml:space="preserve"> 14598, 14657, para. 158 (2012) (holding that there is no need for notice and comment rulemaking procedures when correcting various “</w:t>
      </w:r>
      <w:r w:rsidRPr="008141DA">
        <w:t>grammatical, typographical, and display errors</w:t>
      </w:r>
      <w:r>
        <w:t>”).</w:t>
      </w:r>
    </w:p>
  </w:footnote>
  <w:footnote w:id="21">
    <w:p w:rsidR="00802109" w14:paraId="6B87E22E" w14:textId="4B0F4BEF">
      <w:pPr>
        <w:pStyle w:val="FootnoteText"/>
      </w:pPr>
      <w:r>
        <w:rPr>
          <w:rStyle w:val="FootnoteReference"/>
        </w:rPr>
        <w:footnoteRef/>
      </w:r>
      <w:r>
        <w:t xml:space="preserve"> </w:t>
      </w:r>
      <w:r w:rsidR="006E141F">
        <w:t>5 U.S.C.</w:t>
      </w:r>
      <w:r w:rsidR="006E141F">
        <w:rPr>
          <w:i/>
        </w:rPr>
        <w:t xml:space="preserve"> </w:t>
      </w:r>
      <w:r w:rsidR="006E141F">
        <w:t xml:space="preserve">§ 601 </w:t>
      </w:r>
      <w:r w:rsidR="006E141F">
        <w:rPr>
          <w:i/>
        </w:rPr>
        <w:t xml:space="preserve">et seq.  See id. </w:t>
      </w:r>
      <w:r w:rsidR="006E141F">
        <w:t>§ 601(2)</w:t>
      </w:r>
      <w:r w:rsidR="00DD2388">
        <w:t>.</w:t>
      </w:r>
    </w:p>
  </w:footnote>
  <w:footnote w:id="22">
    <w:p w:rsidR="00802109" w14:paraId="56FCE8CF" w14:textId="77777777">
      <w:pPr>
        <w:pStyle w:val="FootnoteText"/>
      </w:pPr>
      <w:r>
        <w:rPr>
          <w:rStyle w:val="FootnoteReference"/>
        </w:rPr>
        <w:footnoteRef/>
      </w:r>
      <w:r>
        <w:t xml:space="preserve"> The Paperwork Reduction Act of 1995, Pub. L. No. 104-13, 109 Stat. 163 (1995) (codified in Chapter 35 of title 44 U.S.C.).</w:t>
      </w:r>
    </w:p>
  </w:footnote>
  <w:footnote w:id="23">
    <w:p w:rsidR="00802109" w14:paraId="3F7C2ED5" w14:textId="77777777">
      <w:pPr>
        <w:pStyle w:val="FootnoteText"/>
      </w:pPr>
      <w:r>
        <w:rPr>
          <w:rStyle w:val="FootnoteReference"/>
        </w:rPr>
        <w:footnoteRef/>
      </w:r>
      <w:r>
        <w:t xml:space="preserve"> The Small Business Paperwork Relief Act of 2002 (SBPRA), Pub. L. No. 107-198, 116 Stat. 729 (2002) (codified in Chapter 35 of title 44 U.S.C.); </w:t>
      </w:r>
      <w:r>
        <w:rPr>
          <w:i/>
        </w:rPr>
        <w:t>see</w:t>
      </w:r>
      <w:r>
        <w:t xml:space="preserve"> 44 U.S.C. 3506(c)(4).</w:t>
      </w:r>
    </w:p>
  </w:footnote>
  <w:footnote w:id="24">
    <w:p w:rsidR="00802109" w14:paraId="1A1D6EDB" w14:textId="77777777">
      <w:pPr>
        <w:pStyle w:val="FootnoteText"/>
      </w:pPr>
      <w:r>
        <w:rPr>
          <w:rStyle w:val="FootnoteReference"/>
        </w:rPr>
        <w:footnoteRef/>
      </w:r>
      <w:r>
        <w:t xml:space="preserve"> </w:t>
      </w:r>
      <w:r>
        <w:rPr>
          <w:i/>
        </w:rPr>
        <w:t>See</w:t>
      </w:r>
      <w:r>
        <w:t xml:space="preserve"> 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09" w14:paraId="0F20632C" w14:textId="675C45AE">
    <w:pPr>
      <w:pStyle w:val="Header"/>
    </w:pPr>
    <w:r>
      <w:tab/>
    </w:r>
    <w:r>
      <w:t>Federal Communications Commission</w:t>
    </w:r>
    <w:r>
      <w:tab/>
    </w:r>
    <w:r w:rsidR="00961D95">
      <w:t xml:space="preserve">DA </w:t>
    </w:r>
    <w:r w:rsidR="008A1DC9">
      <w:t>22-</w:t>
    </w:r>
    <w:r w:rsidR="00FC2A59">
      <w:t>662</w:t>
    </w:r>
  </w:p>
  <w:p w:rsidR="00802109" w14:paraId="68893951"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802109" w14:paraId="7368CA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09" w14:paraId="1838F2AA" w14:textId="29272089">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57150</wp:posOffset>
              </wp:positionH>
              <wp:positionV relativeFrom="paragraph">
                <wp:posOffset>193675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4.5pt,15.25pt" to="472.5pt,15.25pt" o:allowincell="f" strokeweight="1.5pt"/>
          </w:pict>
        </mc:Fallback>
      </mc:AlternateContent>
    </w:r>
    <w:r w:rsidR="00491AAD">
      <w:tab/>
    </w:r>
    <w:r w:rsidR="00491AAD">
      <w:t>Federal Communications Commission</w:t>
    </w:r>
    <w:r w:rsidR="00491AAD">
      <w:tab/>
    </w:r>
    <w:r w:rsidR="00961D95">
      <w:t xml:space="preserve">DA </w:t>
    </w:r>
    <w:r w:rsidR="008A1DC9">
      <w:t>22-</w:t>
    </w:r>
    <w:r w:rsidR="00FC2A59">
      <w:t>662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16786"/>
    <w:multiLevelType w:val="hybridMultilevel"/>
    <w:tmpl w:val="6016AD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EF2C2E"/>
    <w:multiLevelType w:val="hybridMultilevel"/>
    <w:tmpl w:val="489E60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6"/>
  </w:num>
  <w:num w:numId="4">
    <w:abstractNumId w:val="6"/>
    <w:lvlOverride w:ilvl="0">
      <w:startOverride w:val="1"/>
    </w:lvlOverride>
  </w:num>
  <w:num w:numId="5">
    <w:abstractNumId w:val="6"/>
  </w:num>
  <w:num w:numId="6">
    <w:abstractNumId w:val="6"/>
    <w:lvlOverride w:ilvl="0">
      <w:startOverride w:val="1"/>
    </w:lvlOverride>
  </w:num>
  <w:num w:numId="7">
    <w:abstractNumId w:val="6"/>
    <w:lvlOverride w:ilvl="0">
      <w:startOverride w:val="1"/>
    </w:lvlOverride>
  </w:num>
  <w:num w:numId="8">
    <w:abstractNumId w:val="2"/>
  </w:num>
  <w:num w:numId="9">
    <w:abstractNumId w:val="5"/>
  </w:num>
  <w:num w:numId="10">
    <w:abstractNumId w:val="3"/>
  </w:num>
  <w:num w:numId="11">
    <w:abstractNumId w:val="1"/>
  </w:num>
  <w:num w:numId="12">
    <w:abstractNumId w:val="6"/>
  </w:num>
  <w:num w:numId="13">
    <w:abstractNumId w:val="6"/>
    <w:lvlOverride w:ilvl="0">
      <w:startOverride w:val="1"/>
    </w:lvlOverride>
  </w:num>
  <w:num w:numId="14">
    <w:abstractNumId w:val="6"/>
    <w:lvlOverride w:ilvl="0">
      <w:startOverride w:val="1"/>
    </w:lvlOverride>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7"/>
  </w:num>
  <w:num w:numId="3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09"/>
    <w:rsid w:val="00017CD4"/>
    <w:rsid w:val="00024D65"/>
    <w:rsid w:val="00026B63"/>
    <w:rsid w:val="0003275A"/>
    <w:rsid w:val="000361BC"/>
    <w:rsid w:val="00037A36"/>
    <w:rsid w:val="000418EE"/>
    <w:rsid w:val="00044412"/>
    <w:rsid w:val="000512D7"/>
    <w:rsid w:val="00051D9C"/>
    <w:rsid w:val="0006468A"/>
    <w:rsid w:val="0007178D"/>
    <w:rsid w:val="00073167"/>
    <w:rsid w:val="000746FE"/>
    <w:rsid w:val="000A34AC"/>
    <w:rsid w:val="000C0148"/>
    <w:rsid w:val="000C26BD"/>
    <w:rsid w:val="000C5598"/>
    <w:rsid w:val="000C667C"/>
    <w:rsid w:val="000C7C57"/>
    <w:rsid w:val="000D3C61"/>
    <w:rsid w:val="000D476C"/>
    <w:rsid w:val="000E1DF4"/>
    <w:rsid w:val="000F4F33"/>
    <w:rsid w:val="00104F56"/>
    <w:rsid w:val="00107154"/>
    <w:rsid w:val="001137EE"/>
    <w:rsid w:val="00126A20"/>
    <w:rsid w:val="00127D41"/>
    <w:rsid w:val="00140157"/>
    <w:rsid w:val="001460A6"/>
    <w:rsid w:val="001460A9"/>
    <w:rsid w:val="00147658"/>
    <w:rsid w:val="001627AC"/>
    <w:rsid w:val="00164786"/>
    <w:rsid w:val="00165387"/>
    <w:rsid w:val="00165FF6"/>
    <w:rsid w:val="0017296B"/>
    <w:rsid w:val="00185785"/>
    <w:rsid w:val="0019182E"/>
    <w:rsid w:val="001961B3"/>
    <w:rsid w:val="001A3E36"/>
    <w:rsid w:val="001A60AC"/>
    <w:rsid w:val="001A7A71"/>
    <w:rsid w:val="001B2BA1"/>
    <w:rsid w:val="001B35E6"/>
    <w:rsid w:val="001C6EBE"/>
    <w:rsid w:val="001D1987"/>
    <w:rsid w:val="001D2182"/>
    <w:rsid w:val="001E0E14"/>
    <w:rsid w:val="001F17BD"/>
    <w:rsid w:val="001F3E77"/>
    <w:rsid w:val="0021560F"/>
    <w:rsid w:val="002158F4"/>
    <w:rsid w:val="00216C9E"/>
    <w:rsid w:val="0022269C"/>
    <w:rsid w:val="0022515D"/>
    <w:rsid w:val="00233AA7"/>
    <w:rsid w:val="0024654C"/>
    <w:rsid w:val="0025726E"/>
    <w:rsid w:val="0025739C"/>
    <w:rsid w:val="00257AC8"/>
    <w:rsid w:val="00260EEC"/>
    <w:rsid w:val="00271945"/>
    <w:rsid w:val="002770D3"/>
    <w:rsid w:val="00277B7D"/>
    <w:rsid w:val="00282DA7"/>
    <w:rsid w:val="002919AB"/>
    <w:rsid w:val="002922AA"/>
    <w:rsid w:val="002B0AEA"/>
    <w:rsid w:val="002B4A37"/>
    <w:rsid w:val="002C7129"/>
    <w:rsid w:val="002D1B50"/>
    <w:rsid w:val="002D286A"/>
    <w:rsid w:val="002D67CF"/>
    <w:rsid w:val="002D6F46"/>
    <w:rsid w:val="002E219E"/>
    <w:rsid w:val="002F7C51"/>
    <w:rsid w:val="00300A11"/>
    <w:rsid w:val="003042A2"/>
    <w:rsid w:val="0033278E"/>
    <w:rsid w:val="003352CA"/>
    <w:rsid w:val="00357461"/>
    <w:rsid w:val="00367F67"/>
    <w:rsid w:val="003745DC"/>
    <w:rsid w:val="00375005"/>
    <w:rsid w:val="00383082"/>
    <w:rsid w:val="0038783C"/>
    <w:rsid w:val="003A6EC7"/>
    <w:rsid w:val="003B0E99"/>
    <w:rsid w:val="003B54CF"/>
    <w:rsid w:val="003B6F8D"/>
    <w:rsid w:val="003C6B59"/>
    <w:rsid w:val="003D4382"/>
    <w:rsid w:val="003D5157"/>
    <w:rsid w:val="003D7ED9"/>
    <w:rsid w:val="003E333E"/>
    <w:rsid w:val="003E3359"/>
    <w:rsid w:val="003E7959"/>
    <w:rsid w:val="00401668"/>
    <w:rsid w:val="00406BB4"/>
    <w:rsid w:val="004250B0"/>
    <w:rsid w:val="00430036"/>
    <w:rsid w:val="00435BA9"/>
    <w:rsid w:val="00437196"/>
    <w:rsid w:val="00437CF8"/>
    <w:rsid w:val="004416B4"/>
    <w:rsid w:val="00455630"/>
    <w:rsid w:val="0045699F"/>
    <w:rsid w:val="0047502F"/>
    <w:rsid w:val="00477767"/>
    <w:rsid w:val="0048203F"/>
    <w:rsid w:val="00491AAD"/>
    <w:rsid w:val="004A03DC"/>
    <w:rsid w:val="004A6634"/>
    <w:rsid w:val="004D01D9"/>
    <w:rsid w:val="004D6E9E"/>
    <w:rsid w:val="004E13D2"/>
    <w:rsid w:val="004F5F86"/>
    <w:rsid w:val="004F7962"/>
    <w:rsid w:val="00512993"/>
    <w:rsid w:val="005149EF"/>
    <w:rsid w:val="0053686D"/>
    <w:rsid w:val="00545524"/>
    <w:rsid w:val="00547BBF"/>
    <w:rsid w:val="0056365C"/>
    <w:rsid w:val="0056556F"/>
    <w:rsid w:val="005677A5"/>
    <w:rsid w:val="00575401"/>
    <w:rsid w:val="00577748"/>
    <w:rsid w:val="00583E4C"/>
    <w:rsid w:val="005841DE"/>
    <w:rsid w:val="005A259B"/>
    <w:rsid w:val="005C6998"/>
    <w:rsid w:val="005D1386"/>
    <w:rsid w:val="005E1188"/>
    <w:rsid w:val="005F0EB7"/>
    <w:rsid w:val="005F16C1"/>
    <w:rsid w:val="0061671D"/>
    <w:rsid w:val="00624798"/>
    <w:rsid w:val="00627938"/>
    <w:rsid w:val="00637247"/>
    <w:rsid w:val="00660D28"/>
    <w:rsid w:val="00662983"/>
    <w:rsid w:val="00671316"/>
    <w:rsid w:val="006713FC"/>
    <w:rsid w:val="00676471"/>
    <w:rsid w:val="006A0451"/>
    <w:rsid w:val="006A62E1"/>
    <w:rsid w:val="006B2392"/>
    <w:rsid w:val="006B77CB"/>
    <w:rsid w:val="006C3607"/>
    <w:rsid w:val="006E141F"/>
    <w:rsid w:val="006E5743"/>
    <w:rsid w:val="006E58A5"/>
    <w:rsid w:val="006F28AF"/>
    <w:rsid w:val="00705706"/>
    <w:rsid w:val="00712149"/>
    <w:rsid w:val="0071238C"/>
    <w:rsid w:val="007266B7"/>
    <w:rsid w:val="00734B91"/>
    <w:rsid w:val="00743174"/>
    <w:rsid w:val="00746630"/>
    <w:rsid w:val="00752B4D"/>
    <w:rsid w:val="0076660C"/>
    <w:rsid w:val="0077009A"/>
    <w:rsid w:val="00772791"/>
    <w:rsid w:val="007728E1"/>
    <w:rsid w:val="007739D3"/>
    <w:rsid w:val="00781E30"/>
    <w:rsid w:val="00783502"/>
    <w:rsid w:val="0078374E"/>
    <w:rsid w:val="00786B3A"/>
    <w:rsid w:val="007926CC"/>
    <w:rsid w:val="007A6856"/>
    <w:rsid w:val="007D5E5E"/>
    <w:rsid w:val="007E6D8B"/>
    <w:rsid w:val="007E7FF6"/>
    <w:rsid w:val="007F53B0"/>
    <w:rsid w:val="00802109"/>
    <w:rsid w:val="00812CF6"/>
    <w:rsid w:val="008141DA"/>
    <w:rsid w:val="008201CD"/>
    <w:rsid w:val="00823357"/>
    <w:rsid w:val="008267F4"/>
    <w:rsid w:val="0083625D"/>
    <w:rsid w:val="0084043F"/>
    <w:rsid w:val="00843E36"/>
    <w:rsid w:val="0085536B"/>
    <w:rsid w:val="00877011"/>
    <w:rsid w:val="008957C2"/>
    <w:rsid w:val="008A1DC9"/>
    <w:rsid w:val="008A6800"/>
    <w:rsid w:val="008B416C"/>
    <w:rsid w:val="008B763F"/>
    <w:rsid w:val="008C0DF8"/>
    <w:rsid w:val="008C6EC2"/>
    <w:rsid w:val="008E19A5"/>
    <w:rsid w:val="008F3B40"/>
    <w:rsid w:val="0092727A"/>
    <w:rsid w:val="00932308"/>
    <w:rsid w:val="00935083"/>
    <w:rsid w:val="009378E1"/>
    <w:rsid w:val="00941497"/>
    <w:rsid w:val="0094374E"/>
    <w:rsid w:val="009542C5"/>
    <w:rsid w:val="00960485"/>
    <w:rsid w:val="00961D95"/>
    <w:rsid w:val="009652D6"/>
    <w:rsid w:val="00986798"/>
    <w:rsid w:val="00990D01"/>
    <w:rsid w:val="009932FA"/>
    <w:rsid w:val="00996019"/>
    <w:rsid w:val="009A1C6A"/>
    <w:rsid w:val="009A6EB8"/>
    <w:rsid w:val="009B1299"/>
    <w:rsid w:val="009B2378"/>
    <w:rsid w:val="009B359D"/>
    <w:rsid w:val="009B5141"/>
    <w:rsid w:val="009C2B2B"/>
    <w:rsid w:val="009D3C96"/>
    <w:rsid w:val="009D6B86"/>
    <w:rsid w:val="009E1326"/>
    <w:rsid w:val="00A04C33"/>
    <w:rsid w:val="00A0618F"/>
    <w:rsid w:val="00A13A9A"/>
    <w:rsid w:val="00A31E5F"/>
    <w:rsid w:val="00A35626"/>
    <w:rsid w:val="00A51E66"/>
    <w:rsid w:val="00A653F7"/>
    <w:rsid w:val="00A85E9C"/>
    <w:rsid w:val="00A937A7"/>
    <w:rsid w:val="00AA5E04"/>
    <w:rsid w:val="00AA743C"/>
    <w:rsid w:val="00AC5BAE"/>
    <w:rsid w:val="00AF6245"/>
    <w:rsid w:val="00B24883"/>
    <w:rsid w:val="00B26732"/>
    <w:rsid w:val="00B4221E"/>
    <w:rsid w:val="00B43BEA"/>
    <w:rsid w:val="00B44B9A"/>
    <w:rsid w:val="00B450D9"/>
    <w:rsid w:val="00B53004"/>
    <w:rsid w:val="00B5459D"/>
    <w:rsid w:val="00B76E38"/>
    <w:rsid w:val="00B80AE8"/>
    <w:rsid w:val="00B84455"/>
    <w:rsid w:val="00B90F17"/>
    <w:rsid w:val="00BA41F8"/>
    <w:rsid w:val="00BB1538"/>
    <w:rsid w:val="00BB15F6"/>
    <w:rsid w:val="00BB310D"/>
    <w:rsid w:val="00BB3AF2"/>
    <w:rsid w:val="00BB5175"/>
    <w:rsid w:val="00BB6995"/>
    <w:rsid w:val="00BC3712"/>
    <w:rsid w:val="00BD7396"/>
    <w:rsid w:val="00BE12CF"/>
    <w:rsid w:val="00BF34F8"/>
    <w:rsid w:val="00C15088"/>
    <w:rsid w:val="00C21DDE"/>
    <w:rsid w:val="00C22E2B"/>
    <w:rsid w:val="00C34842"/>
    <w:rsid w:val="00C41EE1"/>
    <w:rsid w:val="00C4635C"/>
    <w:rsid w:val="00C54340"/>
    <w:rsid w:val="00C70DE5"/>
    <w:rsid w:val="00CA5C4F"/>
    <w:rsid w:val="00CD3233"/>
    <w:rsid w:val="00CF0ED0"/>
    <w:rsid w:val="00CF2977"/>
    <w:rsid w:val="00CF68F9"/>
    <w:rsid w:val="00D06A91"/>
    <w:rsid w:val="00D1188B"/>
    <w:rsid w:val="00D141E2"/>
    <w:rsid w:val="00D14861"/>
    <w:rsid w:val="00D16345"/>
    <w:rsid w:val="00D23FA4"/>
    <w:rsid w:val="00D3033B"/>
    <w:rsid w:val="00D54483"/>
    <w:rsid w:val="00D56B09"/>
    <w:rsid w:val="00D97F7F"/>
    <w:rsid w:val="00DA311F"/>
    <w:rsid w:val="00DC4493"/>
    <w:rsid w:val="00DD2388"/>
    <w:rsid w:val="00DD29E3"/>
    <w:rsid w:val="00DD392B"/>
    <w:rsid w:val="00DD65A8"/>
    <w:rsid w:val="00DE26DC"/>
    <w:rsid w:val="00DE4E59"/>
    <w:rsid w:val="00DF4F54"/>
    <w:rsid w:val="00DF64BF"/>
    <w:rsid w:val="00E110E1"/>
    <w:rsid w:val="00E32751"/>
    <w:rsid w:val="00E3501D"/>
    <w:rsid w:val="00E366D3"/>
    <w:rsid w:val="00E5219B"/>
    <w:rsid w:val="00E57B65"/>
    <w:rsid w:val="00E646A6"/>
    <w:rsid w:val="00E71D11"/>
    <w:rsid w:val="00E735C9"/>
    <w:rsid w:val="00E76D8C"/>
    <w:rsid w:val="00E96583"/>
    <w:rsid w:val="00E96A69"/>
    <w:rsid w:val="00EA1C19"/>
    <w:rsid w:val="00EB2D9A"/>
    <w:rsid w:val="00EB7152"/>
    <w:rsid w:val="00ED1D93"/>
    <w:rsid w:val="00EE614A"/>
    <w:rsid w:val="00F1102B"/>
    <w:rsid w:val="00F139AC"/>
    <w:rsid w:val="00F20917"/>
    <w:rsid w:val="00F27DBC"/>
    <w:rsid w:val="00F63084"/>
    <w:rsid w:val="00F9121E"/>
    <w:rsid w:val="00F96345"/>
    <w:rsid w:val="00F96C52"/>
    <w:rsid w:val="00FC08D0"/>
    <w:rsid w:val="00FC2A59"/>
    <w:rsid w:val="00FD23B0"/>
    <w:rsid w:val="00FE6F61"/>
    <w:rsid w:val="00FF0358"/>
    <w:rsid w:val="00FF40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FCB23C"/>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6B4"/>
    <w:pPr>
      <w:widowControl w:val="0"/>
    </w:pPr>
    <w:rPr>
      <w:snapToGrid w:val="0"/>
      <w:kern w:val="28"/>
      <w:sz w:val="22"/>
    </w:rPr>
  </w:style>
  <w:style w:type="paragraph" w:styleId="Heading1">
    <w:name w:val="heading 1"/>
    <w:basedOn w:val="Normal"/>
    <w:next w:val="ParaNum"/>
    <w:link w:val="Heading1Char"/>
    <w:qFormat/>
    <w:rsid w:val="004416B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416B4"/>
    <w:pPr>
      <w:keepNext/>
      <w:numPr>
        <w:ilvl w:val="1"/>
        <w:numId w:val="2"/>
      </w:numPr>
      <w:spacing w:after="120"/>
      <w:outlineLvl w:val="1"/>
    </w:pPr>
    <w:rPr>
      <w:b/>
    </w:rPr>
  </w:style>
  <w:style w:type="paragraph" w:styleId="Heading3">
    <w:name w:val="heading 3"/>
    <w:basedOn w:val="Normal"/>
    <w:next w:val="ParaNum"/>
    <w:link w:val="Heading3Char"/>
    <w:qFormat/>
    <w:rsid w:val="004416B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4416B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416B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4416B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416B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416B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416B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16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16B4"/>
  </w:style>
  <w:style w:type="paragraph" w:customStyle="1" w:styleId="ParaNum">
    <w:name w:val="ParaNum"/>
    <w:basedOn w:val="Normal"/>
    <w:link w:val="ParaNumChar"/>
    <w:rsid w:val="004416B4"/>
    <w:pPr>
      <w:numPr>
        <w:numId w:val="1"/>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4416B4"/>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4416B4"/>
    <w:rPr>
      <w:rFonts w:ascii="Times New Roman" w:hAnsi="Times New Roman"/>
      <w:dstrike w:val="0"/>
      <w:color w:val="auto"/>
      <w:sz w:val="20"/>
      <w:vertAlign w:val="superscript"/>
    </w:rPr>
  </w:style>
  <w:style w:type="paragraph" w:styleId="Header">
    <w:name w:val="header"/>
    <w:basedOn w:val="Normal"/>
    <w:autoRedefine/>
    <w:rsid w:val="004416B4"/>
    <w:pPr>
      <w:tabs>
        <w:tab w:val="center" w:pos="4680"/>
        <w:tab w:val="right" w:pos="9360"/>
      </w:tabs>
    </w:pPr>
    <w:rPr>
      <w:b/>
    </w:rPr>
  </w:style>
  <w:style w:type="paragraph" w:styleId="Footer">
    <w:name w:val="footer"/>
    <w:basedOn w:val="Normal"/>
    <w:link w:val="FooterChar"/>
    <w:uiPriority w:val="99"/>
    <w:rsid w:val="004416B4"/>
    <w:pPr>
      <w:tabs>
        <w:tab w:val="center" w:pos="4320"/>
        <w:tab w:val="right" w:pos="8640"/>
      </w:tabs>
    </w:pPr>
  </w:style>
  <w:style w:type="character" w:styleId="PageNumber">
    <w:name w:val="page number"/>
    <w:basedOn w:val="DefaultParagraphFont"/>
    <w:rsid w:val="004416B4"/>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style>
  <w:style w:type="character" w:styleId="Hyperlink">
    <w:name w:val="Hyperlink"/>
    <w:rsid w:val="004416B4"/>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Bullet">
    <w:name w:val="Bullet"/>
    <w:basedOn w:val="Normal"/>
    <w:rsid w:val="004416B4"/>
    <w:pPr>
      <w:tabs>
        <w:tab w:val="left" w:pos="2160"/>
      </w:tabs>
      <w:spacing w:after="220"/>
      <w:ind w:left="2160" w:hanging="720"/>
    </w:pPr>
  </w:style>
  <w:style w:type="character" w:customStyle="1" w:styleId="ParaNumChar">
    <w:name w:val="ParaNum Char"/>
    <w:link w:val="ParaNum"/>
    <w:rPr>
      <w:snapToGrid w:val="0"/>
      <w:kern w:val="28"/>
      <w:sz w:val="22"/>
    </w:rPr>
  </w:style>
  <w:style w:type="character" w:customStyle="1" w:styleId="FooterChar">
    <w:name w:val="Footer Char"/>
    <w:link w:val="Footer"/>
    <w:uiPriority w:val="99"/>
    <w:rsid w:val="004416B4"/>
    <w:rPr>
      <w:snapToGrid w:val="0"/>
      <w:kern w:val="28"/>
      <w:sz w:val="2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styleId="EndnoteText">
    <w:name w:val="endnote text"/>
    <w:basedOn w:val="Normal"/>
    <w:link w:val="EndnoteTextChar"/>
    <w:rsid w:val="004416B4"/>
    <w:rPr>
      <w:sz w:val="20"/>
    </w:rPr>
  </w:style>
  <w:style w:type="character" w:customStyle="1" w:styleId="EndnoteTextChar">
    <w:name w:val="Endnote Text Char"/>
    <w:basedOn w:val="DefaultParagraphFont"/>
    <w:link w:val="EndnoteText"/>
    <w:rPr>
      <w:snapToGrid w:val="0"/>
      <w:kern w:val="28"/>
    </w:rPr>
  </w:style>
  <w:style w:type="character" w:styleId="EndnoteReference">
    <w:name w:val="endnote reference"/>
    <w:rsid w:val="004416B4"/>
    <w:rPr>
      <w:vertAlign w:val="superscript"/>
    </w:rPr>
  </w:style>
  <w:style w:type="paragraph" w:styleId="TOC1">
    <w:name w:val="toc 1"/>
    <w:basedOn w:val="Normal"/>
    <w:next w:val="Normal"/>
    <w:rsid w:val="004416B4"/>
    <w:pPr>
      <w:tabs>
        <w:tab w:val="left" w:pos="360"/>
        <w:tab w:val="right" w:leader="dot" w:pos="9360"/>
      </w:tabs>
      <w:suppressAutoHyphens/>
      <w:ind w:left="360" w:right="720" w:hanging="360"/>
    </w:pPr>
    <w:rPr>
      <w:caps/>
      <w:noProof/>
    </w:rPr>
  </w:style>
  <w:style w:type="paragraph" w:styleId="TOC2">
    <w:name w:val="toc 2"/>
    <w:basedOn w:val="Normal"/>
    <w:next w:val="Normal"/>
    <w:rsid w:val="004416B4"/>
    <w:pPr>
      <w:tabs>
        <w:tab w:val="left" w:pos="720"/>
        <w:tab w:val="right" w:leader="dot" w:pos="9360"/>
      </w:tabs>
      <w:suppressAutoHyphens/>
      <w:ind w:left="720" w:right="720" w:hanging="360"/>
    </w:pPr>
    <w:rPr>
      <w:noProof/>
    </w:rPr>
  </w:style>
  <w:style w:type="paragraph" w:styleId="TOC3">
    <w:name w:val="toc 3"/>
    <w:basedOn w:val="Normal"/>
    <w:next w:val="Normal"/>
    <w:rsid w:val="004416B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416B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416B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416B4"/>
    <w:pPr>
      <w:tabs>
        <w:tab w:val="left" w:pos="2160"/>
        <w:tab w:val="right" w:leader="dot" w:pos="9360"/>
      </w:tabs>
      <w:suppressAutoHyphens/>
      <w:ind w:left="2160" w:hanging="360"/>
    </w:pPr>
    <w:rPr>
      <w:noProof/>
    </w:rPr>
  </w:style>
  <w:style w:type="paragraph" w:styleId="TOC7">
    <w:name w:val="toc 7"/>
    <w:basedOn w:val="Normal"/>
    <w:next w:val="Normal"/>
    <w:autoRedefine/>
    <w:rsid w:val="004416B4"/>
    <w:pPr>
      <w:tabs>
        <w:tab w:val="left" w:pos="2520"/>
        <w:tab w:val="right" w:leader="dot" w:pos="9360"/>
      </w:tabs>
      <w:suppressAutoHyphens/>
      <w:ind w:left="2520" w:hanging="360"/>
    </w:pPr>
    <w:rPr>
      <w:noProof/>
    </w:rPr>
  </w:style>
  <w:style w:type="paragraph" w:styleId="TOC8">
    <w:name w:val="toc 8"/>
    <w:basedOn w:val="Normal"/>
    <w:next w:val="Normal"/>
    <w:autoRedefine/>
    <w:rsid w:val="004416B4"/>
    <w:pPr>
      <w:tabs>
        <w:tab w:val="left" w:pos="2880"/>
        <w:tab w:val="right" w:leader="dot" w:pos="9360"/>
      </w:tabs>
      <w:suppressAutoHyphens/>
      <w:ind w:left="2880" w:hanging="360"/>
    </w:pPr>
    <w:rPr>
      <w:noProof/>
    </w:rPr>
  </w:style>
  <w:style w:type="paragraph" w:styleId="TOC9">
    <w:name w:val="toc 9"/>
    <w:basedOn w:val="Normal"/>
    <w:next w:val="Normal"/>
    <w:autoRedefine/>
    <w:rsid w:val="004416B4"/>
    <w:pPr>
      <w:tabs>
        <w:tab w:val="left" w:pos="3240"/>
        <w:tab w:val="right" w:leader="dot" w:pos="9360"/>
      </w:tabs>
      <w:suppressAutoHyphens/>
      <w:ind w:left="3240" w:hanging="360"/>
    </w:pPr>
    <w:rPr>
      <w:noProof/>
    </w:rPr>
  </w:style>
  <w:style w:type="paragraph" w:styleId="TOAHeading">
    <w:name w:val="toa heading"/>
    <w:basedOn w:val="Normal"/>
    <w:next w:val="Normal"/>
    <w:rsid w:val="004416B4"/>
    <w:pPr>
      <w:tabs>
        <w:tab w:val="right" w:pos="9360"/>
      </w:tabs>
      <w:suppressAutoHyphens/>
    </w:pPr>
  </w:style>
  <w:style w:type="character" w:customStyle="1" w:styleId="EquationCaption">
    <w:name w:val="_Equation Caption"/>
    <w:rsid w:val="004416B4"/>
  </w:style>
  <w:style w:type="paragraph" w:styleId="BlockText">
    <w:name w:val="Block Text"/>
    <w:basedOn w:val="Normal"/>
    <w:rsid w:val="004416B4"/>
    <w:pPr>
      <w:spacing w:after="240"/>
      <w:ind w:left="1440" w:right="1440"/>
    </w:pPr>
  </w:style>
  <w:style w:type="paragraph" w:customStyle="1" w:styleId="Paratitle">
    <w:name w:val="Para title"/>
    <w:basedOn w:val="Normal"/>
    <w:rsid w:val="004416B4"/>
    <w:pPr>
      <w:tabs>
        <w:tab w:val="center" w:pos="9270"/>
      </w:tabs>
      <w:spacing w:after="240"/>
    </w:pPr>
    <w:rPr>
      <w:spacing w:val="-2"/>
    </w:rPr>
  </w:style>
  <w:style w:type="paragraph" w:customStyle="1" w:styleId="TableFormat">
    <w:name w:val="TableFormat"/>
    <w:basedOn w:val="Bullet"/>
    <w:rsid w:val="004416B4"/>
    <w:pPr>
      <w:tabs>
        <w:tab w:val="clear" w:pos="2160"/>
        <w:tab w:val="left" w:pos="5040"/>
      </w:tabs>
      <w:ind w:left="5040" w:hanging="3600"/>
    </w:pPr>
  </w:style>
  <w:style w:type="paragraph" w:customStyle="1" w:styleId="TOCTitle">
    <w:name w:val="TOC Title"/>
    <w:basedOn w:val="Normal"/>
    <w:rsid w:val="004416B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16B4"/>
    <w:pPr>
      <w:jc w:val="center"/>
    </w:pPr>
    <w:rPr>
      <w:rFonts w:ascii="Times New Roman Bold" w:hAnsi="Times New Roman Bold"/>
      <w:b/>
      <w:bCs/>
      <w:caps/>
      <w:szCs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1CharChar">
    <w:name w:val="Footnote Text Char1 Char Char"/>
    <w:aliases w:val="Footnote Text Char Char Char Char,Footnote Text Char Char Char Char Char Char,Footnote Text Char1 Char Char Char Char,Footnote Text Char1 Char Char Char Char Char Char,rrfootnote Char Char Char Char"/>
    <w:locked/>
  </w:style>
  <w:style w:type="character" w:customStyle="1" w:styleId="UnresolvedMention2">
    <w:name w:val="Unresolved Mention2"/>
    <w:basedOn w:val="DefaultParagraphFont"/>
    <w:rPr>
      <w:color w:val="605E5C"/>
      <w:shd w:val="clear" w:color="auto" w:fill="E1DFDD"/>
    </w:rPr>
  </w:style>
  <w:style w:type="character" w:customStyle="1" w:styleId="FootnoteTextChar1CharChar1">
    <w:name w:val="Footnote Text Char1 Char Char1"/>
    <w:aliases w:val="Footnote Text Char Char Char Char Char Char1,Footnote Text Char Char Char Char1,Footnote Text Char1 Char Char Char Char Char Char1,Footnote Text Char1 Char Char Char Char1"/>
    <w:basedOn w:val="DefaultParagraphFont"/>
    <w:rPr>
      <w:rFonts w:ascii="Times New Roman" w:eastAsia="Times New Roman" w:hAnsi="Times New Roman" w:cs="Times New Roman"/>
      <w:sz w:val="20"/>
      <w:szCs w:val="20"/>
    </w:rPr>
  </w:style>
  <w:style w:type="character" w:customStyle="1" w:styleId="documentbody">
    <w:name w:val="documentbody"/>
    <w:rsid w:val="009E1326"/>
  </w:style>
  <w:style w:type="character" w:styleId="FollowedHyperlink">
    <w:name w:val="FollowedHyperlink"/>
    <w:basedOn w:val="DefaultParagraphFont"/>
    <w:rsid w:val="009E1326"/>
    <w:rPr>
      <w:color w:val="954F72" w:themeColor="followedHyperlink"/>
      <w:u w:val="single"/>
    </w:rPr>
  </w:style>
  <w:style w:type="character" w:customStyle="1" w:styleId="cosearchterm">
    <w:name w:val="co_searchterm"/>
    <w:rsid w:val="00EE614A"/>
  </w:style>
  <w:style w:type="character" w:customStyle="1" w:styleId="FootnoteTextChar2Char3Char1">
    <w:name w:val="Footnote Text Char2 Char3 Char1"/>
    <w:aliases w:val="ALTS FOOTNOT Char,Footnote Text Char Char6 Char Char1,Footnote Text Char Char6 Char Char1 Char1 Char1,Footnote Text Char4 Char2 Char Char Char Char Char1,Footnote Text Char6 Char Char Char Char1,fn Char"/>
    <w:basedOn w:val="DefaultParagraphFont"/>
    <w:uiPriority w:val="99"/>
    <w:semiHidden/>
    <w:rsid w:val="002B4A37"/>
    <w:rPr>
      <w:sz w:val="20"/>
      <w:szCs w:val="20"/>
    </w:rPr>
  </w:style>
  <w:style w:type="character" w:customStyle="1" w:styleId="normaltextrun">
    <w:name w:val="normaltextrun"/>
    <w:basedOn w:val="DefaultParagraphFont"/>
    <w:rsid w:val="003E7959"/>
  </w:style>
  <w:style w:type="character" w:customStyle="1" w:styleId="ParaNumChar1">
    <w:name w:val="ParaNum Char1"/>
    <w:rsid w:val="00D14861"/>
    <w:rPr>
      <w:snapToGrid w:val="0"/>
      <w:kern w:val="28"/>
      <w:sz w:val="22"/>
    </w:rPr>
  </w:style>
  <w:style w:type="paragraph" w:styleId="Revision">
    <w:name w:val="Revision"/>
    <w:hidden/>
    <w:uiPriority w:val="99"/>
    <w:semiHidden/>
    <w:rsid w:val="0038308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