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41C4" w:rsidP="002C41C4" w14:paraId="5C118B2F" w14:textId="77777777">
      <w:pPr>
        <w:jc w:val="center"/>
        <w:rPr>
          <w:b/>
        </w:rPr>
      </w:pPr>
      <w:r>
        <w:rPr>
          <w:rFonts w:ascii="Times New Roman Bold" w:hAnsi="Times New Roman Bold"/>
          <w:b/>
          <w:kern w:val="0"/>
          <w:szCs w:val="22"/>
        </w:rPr>
        <w:t>Before</w:t>
      </w:r>
      <w:r>
        <w:rPr>
          <w:b/>
        </w:rPr>
        <w:t xml:space="preserve"> the</w:t>
      </w:r>
    </w:p>
    <w:p w:rsidR="002C41C4" w:rsidP="002C41C4" w14:paraId="28156963" w14:textId="77777777">
      <w:pPr>
        <w:pStyle w:val="StyleBoldCentered"/>
      </w:pPr>
      <w:r>
        <w:t>F</w:t>
      </w:r>
      <w:r>
        <w:rPr>
          <w:caps w:val="0"/>
        </w:rPr>
        <w:t>ederal Communications Commission</w:t>
      </w:r>
    </w:p>
    <w:p w:rsidR="002C41C4" w:rsidP="002C41C4" w14:paraId="5878B03D" w14:textId="77777777">
      <w:pPr>
        <w:pStyle w:val="StyleBoldCentered"/>
      </w:pPr>
      <w:r>
        <w:rPr>
          <w:caps w:val="0"/>
        </w:rPr>
        <w:t>Washington, D.C. 20554</w:t>
      </w:r>
    </w:p>
    <w:p w:rsidR="002C41C4" w:rsidP="002C41C4" w14:paraId="290DF39F" w14:textId="77777777"/>
    <w:tbl>
      <w:tblPr>
        <w:tblW w:w="0" w:type="auto"/>
        <w:tblLayout w:type="fixed"/>
        <w:tblLook w:val="0000"/>
      </w:tblPr>
      <w:tblGrid>
        <w:gridCol w:w="4698"/>
        <w:gridCol w:w="630"/>
        <w:gridCol w:w="4248"/>
      </w:tblGrid>
      <w:tr w14:paraId="194B763A" w14:textId="77777777" w:rsidTr="00C5034F">
        <w:tblPrEx>
          <w:tblW w:w="0" w:type="auto"/>
          <w:tblLayout w:type="fixed"/>
          <w:tblLook w:val="0000"/>
        </w:tblPrEx>
        <w:tc>
          <w:tcPr>
            <w:tcW w:w="4698" w:type="dxa"/>
          </w:tcPr>
          <w:p w:rsidR="002C41C4" w:rsidP="00C5034F" w14:paraId="1747DDFA" w14:textId="77777777">
            <w:pPr>
              <w:tabs>
                <w:tab w:val="center" w:pos="4680"/>
              </w:tabs>
              <w:suppressAutoHyphens/>
              <w:rPr>
                <w:spacing w:val="-2"/>
              </w:rPr>
            </w:pPr>
            <w:r>
              <w:rPr>
                <w:spacing w:val="-2"/>
              </w:rPr>
              <w:t>In the Matter of</w:t>
            </w:r>
          </w:p>
          <w:p w:rsidR="002C41C4" w:rsidP="00C5034F" w14:paraId="3B1B70AD" w14:textId="77777777">
            <w:pPr>
              <w:tabs>
                <w:tab w:val="center" w:pos="4680"/>
              </w:tabs>
              <w:suppressAutoHyphens/>
              <w:rPr>
                <w:spacing w:val="-2"/>
              </w:rPr>
            </w:pPr>
          </w:p>
          <w:p w:rsidR="00533778" w:rsidP="00C5034F" w14:paraId="2A86B694" w14:textId="77777777">
            <w:pPr>
              <w:tabs>
                <w:tab w:val="center" w:pos="4680"/>
              </w:tabs>
              <w:suppressAutoHyphens/>
              <w:rPr>
                <w:spacing w:val="-2"/>
              </w:rPr>
            </w:pPr>
            <w:r>
              <w:rPr>
                <w:spacing w:val="-2"/>
              </w:rPr>
              <w:t>Amendment of Section 73.622(</w:t>
            </w:r>
            <w:r w:rsidR="009F48EE">
              <w:rPr>
                <w:spacing w:val="-2"/>
              </w:rPr>
              <w:t>j</w:t>
            </w:r>
            <w:r>
              <w:rPr>
                <w:spacing w:val="-2"/>
              </w:rPr>
              <w:t>),</w:t>
            </w:r>
            <w:r>
              <w:t xml:space="preserve"> </w:t>
            </w:r>
            <w:r>
              <w:rPr>
                <w:spacing w:val="-2"/>
              </w:rPr>
              <w:t>Table of Allotments,</w:t>
            </w:r>
            <w:r>
              <w:t xml:space="preserve"> </w:t>
            </w:r>
            <w:r>
              <w:rPr>
                <w:spacing w:val="-2"/>
              </w:rPr>
              <w:t>Television Broadcast Stations</w:t>
            </w:r>
          </w:p>
          <w:p w:rsidR="002C41C4" w:rsidP="00C5034F" w14:paraId="26BE60CF" w14:textId="709D24F1">
            <w:pPr>
              <w:tabs>
                <w:tab w:val="center" w:pos="4680"/>
              </w:tabs>
              <w:suppressAutoHyphens/>
              <w:rPr>
                <w:spacing w:val="-2"/>
              </w:rPr>
            </w:pPr>
            <w:r>
              <w:rPr>
                <w:spacing w:val="-2"/>
              </w:rPr>
              <w:t>(</w:t>
            </w:r>
            <w:r w:rsidR="009D1D78">
              <w:rPr>
                <w:spacing w:val="-2"/>
              </w:rPr>
              <w:t>Vernon</w:t>
            </w:r>
            <w:r w:rsidR="000811BA">
              <w:rPr>
                <w:spacing w:val="-2"/>
              </w:rPr>
              <w:t xml:space="preserve">, </w:t>
            </w:r>
            <w:r w:rsidR="009D1D78">
              <w:rPr>
                <w:spacing w:val="-2"/>
              </w:rPr>
              <w:t>Alabama</w:t>
            </w:r>
            <w:r>
              <w:rPr>
                <w:spacing w:val="-2"/>
              </w:rPr>
              <w:t>)</w:t>
            </w:r>
          </w:p>
          <w:p w:rsidR="002C41C4" w:rsidP="00C5034F" w14:paraId="7094B55F" w14:textId="77777777">
            <w:pPr>
              <w:tabs>
                <w:tab w:val="center" w:pos="4680"/>
              </w:tabs>
              <w:suppressAutoHyphens/>
              <w:rPr>
                <w:spacing w:val="-2"/>
              </w:rPr>
            </w:pPr>
          </w:p>
        </w:tc>
        <w:tc>
          <w:tcPr>
            <w:tcW w:w="630" w:type="dxa"/>
          </w:tcPr>
          <w:p w:rsidR="002C41C4" w:rsidP="00C5034F" w14:paraId="13FEE4FE" w14:textId="77777777">
            <w:pPr>
              <w:tabs>
                <w:tab w:val="center" w:pos="4680"/>
              </w:tabs>
              <w:suppressAutoHyphens/>
              <w:rPr>
                <w:b/>
                <w:spacing w:val="-2"/>
              </w:rPr>
            </w:pPr>
            <w:r>
              <w:rPr>
                <w:b/>
                <w:spacing w:val="-2"/>
              </w:rPr>
              <w:t>)</w:t>
            </w:r>
          </w:p>
          <w:p w:rsidR="002C41C4" w:rsidP="00C5034F" w14:paraId="34A391E8" w14:textId="77777777">
            <w:pPr>
              <w:tabs>
                <w:tab w:val="center" w:pos="4680"/>
              </w:tabs>
              <w:suppressAutoHyphens/>
              <w:rPr>
                <w:b/>
                <w:spacing w:val="-2"/>
              </w:rPr>
            </w:pPr>
            <w:r>
              <w:rPr>
                <w:b/>
                <w:spacing w:val="-2"/>
              </w:rPr>
              <w:t>)</w:t>
            </w:r>
          </w:p>
          <w:p w:rsidR="002C41C4" w:rsidP="00C5034F" w14:paraId="02213C83" w14:textId="77777777">
            <w:pPr>
              <w:tabs>
                <w:tab w:val="center" w:pos="4680"/>
              </w:tabs>
              <w:suppressAutoHyphens/>
              <w:rPr>
                <w:b/>
                <w:spacing w:val="-2"/>
              </w:rPr>
            </w:pPr>
            <w:r>
              <w:rPr>
                <w:b/>
                <w:spacing w:val="-2"/>
              </w:rPr>
              <w:t>)</w:t>
            </w:r>
          </w:p>
          <w:p w:rsidR="002C41C4" w:rsidP="00C5034F" w14:paraId="501B2F27" w14:textId="77777777">
            <w:pPr>
              <w:tabs>
                <w:tab w:val="center" w:pos="4680"/>
              </w:tabs>
              <w:suppressAutoHyphens/>
              <w:rPr>
                <w:b/>
                <w:spacing w:val="-2"/>
              </w:rPr>
            </w:pPr>
            <w:r>
              <w:rPr>
                <w:b/>
                <w:spacing w:val="-2"/>
              </w:rPr>
              <w:t>)</w:t>
            </w:r>
          </w:p>
          <w:p w:rsidR="002C41C4" w:rsidP="00C5034F" w14:paraId="3DECC28A" w14:textId="77777777">
            <w:pPr>
              <w:tabs>
                <w:tab w:val="center" w:pos="4680"/>
              </w:tabs>
              <w:suppressAutoHyphens/>
              <w:rPr>
                <w:b/>
                <w:spacing w:val="-2"/>
              </w:rPr>
            </w:pPr>
            <w:r>
              <w:rPr>
                <w:b/>
                <w:spacing w:val="-2"/>
              </w:rPr>
              <w:t>)</w:t>
            </w:r>
          </w:p>
        </w:tc>
        <w:tc>
          <w:tcPr>
            <w:tcW w:w="4248" w:type="dxa"/>
          </w:tcPr>
          <w:p w:rsidR="002C41C4" w:rsidP="00C5034F" w14:paraId="3EEFEAAB" w14:textId="77777777">
            <w:pPr>
              <w:tabs>
                <w:tab w:val="center" w:pos="4680"/>
              </w:tabs>
              <w:suppressAutoHyphens/>
              <w:rPr>
                <w:spacing w:val="-2"/>
              </w:rPr>
            </w:pPr>
          </w:p>
          <w:p w:rsidR="002C41C4" w:rsidP="00C5034F" w14:paraId="150A875A" w14:textId="77777777">
            <w:pPr>
              <w:pStyle w:val="TOAHeading"/>
              <w:tabs>
                <w:tab w:val="center" w:pos="4680"/>
                <w:tab w:val="clear" w:pos="9360"/>
              </w:tabs>
              <w:rPr>
                <w:spacing w:val="-2"/>
              </w:rPr>
            </w:pPr>
          </w:p>
          <w:p w:rsidR="002C41C4" w:rsidP="00C5034F" w14:paraId="4FF74A61" w14:textId="5BC4E07D">
            <w:pPr>
              <w:pStyle w:val="TOAHeading"/>
              <w:tabs>
                <w:tab w:val="center" w:pos="4680"/>
              </w:tabs>
              <w:rPr>
                <w:spacing w:val="-2"/>
              </w:rPr>
            </w:pPr>
            <w:r>
              <w:rPr>
                <w:spacing w:val="-2"/>
              </w:rPr>
              <w:t>MB Docket No. 2</w:t>
            </w:r>
            <w:r w:rsidR="00533778">
              <w:rPr>
                <w:spacing w:val="-2"/>
              </w:rPr>
              <w:t>2</w:t>
            </w:r>
            <w:r>
              <w:rPr>
                <w:spacing w:val="-2"/>
              </w:rPr>
              <w:t>-</w:t>
            </w:r>
            <w:r w:rsidR="0070328E">
              <w:rPr>
                <w:spacing w:val="-2"/>
              </w:rPr>
              <w:t>30</w:t>
            </w:r>
          </w:p>
          <w:p w:rsidR="002C41C4" w:rsidP="00C5034F" w14:paraId="5CED5E67" w14:textId="261B153E">
            <w:pPr>
              <w:tabs>
                <w:tab w:val="center" w:pos="4680"/>
              </w:tabs>
              <w:suppressAutoHyphens/>
              <w:rPr>
                <w:spacing w:val="-2"/>
              </w:rPr>
            </w:pPr>
            <w:r>
              <w:rPr>
                <w:spacing w:val="-2"/>
              </w:rPr>
              <w:t>RM-11</w:t>
            </w:r>
            <w:r w:rsidR="0070328E">
              <w:rPr>
                <w:spacing w:val="-2"/>
              </w:rPr>
              <w:t>916</w:t>
            </w:r>
          </w:p>
        </w:tc>
      </w:tr>
    </w:tbl>
    <w:p w:rsidR="002C41C4" w:rsidP="002B15EC" w14:paraId="7F035C9E" w14:textId="77777777">
      <w:pPr>
        <w:pStyle w:val="StyleBoldCentered"/>
        <w:jc w:val="left"/>
      </w:pPr>
    </w:p>
    <w:p w:rsidR="002C41C4" w:rsidP="002C41C4" w14:paraId="3F051987" w14:textId="77777777">
      <w:pPr>
        <w:pStyle w:val="StyleBoldCentered"/>
      </w:pPr>
      <w:r>
        <w:t>Notice of proposed rulemaking</w:t>
      </w:r>
    </w:p>
    <w:p w:rsidR="002C41C4" w:rsidP="002C41C4" w14:paraId="41B11AE6" w14:textId="77777777">
      <w:pPr>
        <w:tabs>
          <w:tab w:val="left" w:pos="-720"/>
        </w:tabs>
        <w:suppressAutoHyphens/>
        <w:spacing w:line="227" w:lineRule="auto"/>
        <w:rPr>
          <w:spacing w:val="-2"/>
        </w:rPr>
      </w:pPr>
    </w:p>
    <w:p w:rsidR="002C41C4" w:rsidP="002C41C4" w14:paraId="4261AEA4" w14:textId="281AF268">
      <w:pPr>
        <w:tabs>
          <w:tab w:val="left" w:pos="720"/>
          <w:tab w:val="right" w:pos="9360"/>
        </w:tabs>
        <w:suppressAutoHyphens/>
        <w:spacing w:line="227" w:lineRule="auto"/>
        <w:rPr>
          <w:b/>
          <w:spacing w:val="-2"/>
        </w:rPr>
      </w:pPr>
      <w:r>
        <w:rPr>
          <w:b/>
          <w:spacing w:val="-2"/>
        </w:rPr>
        <w:t xml:space="preserve">Adopted:  </w:t>
      </w:r>
      <w:r w:rsidR="00533778">
        <w:rPr>
          <w:b/>
          <w:spacing w:val="-2"/>
        </w:rPr>
        <w:t>January</w:t>
      </w:r>
      <w:r w:rsidR="000811BA">
        <w:rPr>
          <w:b/>
          <w:spacing w:val="-2"/>
        </w:rPr>
        <w:t xml:space="preserve"> </w:t>
      </w:r>
      <w:r w:rsidR="0070328E">
        <w:rPr>
          <w:b/>
          <w:spacing w:val="-2"/>
        </w:rPr>
        <w:t>20</w:t>
      </w:r>
      <w:r>
        <w:rPr>
          <w:b/>
          <w:spacing w:val="-2"/>
        </w:rPr>
        <w:t>, 202</w:t>
      </w:r>
      <w:r w:rsidR="00533778">
        <w:rPr>
          <w:b/>
          <w:spacing w:val="-2"/>
        </w:rPr>
        <w:t>2</w:t>
      </w:r>
      <w:r>
        <w:rPr>
          <w:b/>
          <w:spacing w:val="-2"/>
        </w:rPr>
        <w:tab/>
        <w:t xml:space="preserve">Released: </w:t>
      </w:r>
      <w:r w:rsidR="00533778">
        <w:rPr>
          <w:b/>
          <w:spacing w:val="-2"/>
        </w:rPr>
        <w:t>January</w:t>
      </w:r>
      <w:r w:rsidR="000811BA">
        <w:rPr>
          <w:b/>
          <w:spacing w:val="-2"/>
        </w:rPr>
        <w:t xml:space="preserve"> </w:t>
      </w:r>
      <w:r w:rsidR="0070328E">
        <w:rPr>
          <w:b/>
          <w:spacing w:val="-2"/>
        </w:rPr>
        <w:t>20</w:t>
      </w:r>
      <w:r>
        <w:rPr>
          <w:b/>
          <w:spacing w:val="-2"/>
        </w:rPr>
        <w:t>, 202</w:t>
      </w:r>
      <w:r w:rsidR="00533778">
        <w:rPr>
          <w:b/>
          <w:spacing w:val="-2"/>
        </w:rPr>
        <w:t>2</w:t>
      </w:r>
    </w:p>
    <w:p w:rsidR="002C41C4" w:rsidP="002C41C4" w14:paraId="38758F30" w14:textId="77777777">
      <w:pPr>
        <w:tabs>
          <w:tab w:val="left" w:pos="720"/>
          <w:tab w:val="right" w:pos="9360"/>
        </w:tabs>
        <w:suppressAutoHyphens/>
        <w:spacing w:line="227" w:lineRule="auto"/>
        <w:rPr>
          <w:b/>
          <w:spacing w:val="-2"/>
        </w:rPr>
      </w:pPr>
    </w:p>
    <w:p w:rsidR="002C41C4" w:rsidP="002C41C4" w14:paraId="1102F477"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39692C68"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12D96DF2" w14:textId="77777777"/>
    <w:p w:rsidR="002C41C4" w:rsidP="002C41C4" w14:paraId="3A5BA06D" w14:textId="77777777">
      <w:pPr>
        <w:rPr>
          <w:spacing w:val="-2"/>
        </w:rPr>
      </w:pPr>
      <w:r>
        <w:t xml:space="preserve">By the </w:t>
      </w:r>
      <w:r>
        <w:rPr>
          <w:spacing w:val="-2"/>
        </w:rPr>
        <w:t>Chief, Video Division, Media Bureau:</w:t>
      </w:r>
    </w:p>
    <w:p w:rsidR="002C41C4" w:rsidP="002C41C4" w14:paraId="68264252" w14:textId="77777777">
      <w:pPr>
        <w:rPr>
          <w:spacing w:val="-2"/>
        </w:rPr>
      </w:pPr>
    </w:p>
    <w:p w:rsidR="002C41C4" w:rsidP="002C41C4" w14:paraId="1ECB43FE" w14:textId="77777777">
      <w:pPr>
        <w:pStyle w:val="Heading1"/>
        <w:keepNext w:val="0"/>
        <w:suppressAutoHyphens w:val="0"/>
      </w:pPr>
      <w:r>
        <w:t>Introduction</w:t>
      </w:r>
    </w:p>
    <w:p w:rsidR="002C41C4" w:rsidP="002C41C4" w14:paraId="76FC38F1" w14:textId="1196C574">
      <w:pPr>
        <w:pStyle w:val="ParaNum"/>
        <w:tabs>
          <w:tab w:val="clear" w:pos="1440"/>
        </w:tabs>
      </w:pPr>
      <w:r>
        <w:t>The Video Division, Media Bureau (Bureau), has before it a petition for rulemaking</w:t>
      </w:r>
      <w:r w:rsidR="00EC78E2">
        <w:t xml:space="preserve"> (Petition)</w:t>
      </w:r>
      <w:r w:rsidR="00560C13">
        <w:t>,</w:t>
      </w:r>
      <w:r>
        <w:t xml:space="preserve"> filed </w:t>
      </w:r>
      <w:r w:rsidR="00F3344B">
        <w:t>October 29</w:t>
      </w:r>
      <w:r w:rsidR="000B666F">
        <w:t>, 2021</w:t>
      </w:r>
      <w:r>
        <w:t xml:space="preserve">, by </w:t>
      </w:r>
      <w:r w:rsidR="009F48EE">
        <w:t xml:space="preserve">the </w:t>
      </w:r>
      <w:r w:rsidR="009D1D78">
        <w:t>Alabama Educational Tele</w:t>
      </w:r>
      <w:r w:rsidR="00F449AF">
        <w:t>vision</w:t>
      </w:r>
      <w:r w:rsidR="009D1D78">
        <w:t xml:space="preserve"> Commission</w:t>
      </w:r>
      <w:r w:rsidR="00EC3D82">
        <w:t xml:space="preserve"> </w:t>
      </w:r>
      <w:r w:rsidR="00087160">
        <w:t>(Petitioner</w:t>
      </w:r>
      <w:r w:rsidR="00CA7ED9">
        <w:t xml:space="preserve"> or AETC</w:t>
      </w:r>
      <w:r w:rsidR="00087160">
        <w:t>)</w:t>
      </w:r>
      <w:r>
        <w:t>.</w:t>
      </w:r>
      <w:r>
        <w:rPr>
          <w:rStyle w:val="FootnoteReference"/>
        </w:rPr>
        <w:footnoteReference w:id="3"/>
      </w:r>
      <w:r>
        <w:t xml:space="preserve">  The Petitioner requests the </w:t>
      </w:r>
      <w:r w:rsidR="00EC78E2">
        <w:t xml:space="preserve">allotment of </w:t>
      </w:r>
      <w:r w:rsidR="000811BA">
        <w:t xml:space="preserve">reserved noncommercial educational </w:t>
      </w:r>
      <w:r w:rsidR="0039269B">
        <w:t xml:space="preserve">(NCE) </w:t>
      </w:r>
      <w:r w:rsidR="00EC78E2">
        <w:t xml:space="preserve">channel </w:t>
      </w:r>
      <w:r w:rsidR="000811BA">
        <w:t>*4</w:t>
      </w:r>
      <w:r w:rsidR="00EC78E2">
        <w:t xml:space="preserve"> </w:t>
      </w:r>
      <w:r w:rsidR="007B1B63">
        <w:t xml:space="preserve">to </w:t>
      </w:r>
      <w:r w:rsidR="009D1D78">
        <w:t>Vernon</w:t>
      </w:r>
      <w:r w:rsidR="000811BA">
        <w:t xml:space="preserve">, </w:t>
      </w:r>
      <w:r w:rsidR="009D1D78">
        <w:t>Alabama</w:t>
      </w:r>
      <w:r w:rsidR="00560C13">
        <w:t xml:space="preserve"> </w:t>
      </w:r>
      <w:r w:rsidR="00EC78E2">
        <w:t xml:space="preserve">as the community’s </w:t>
      </w:r>
      <w:r w:rsidR="0039269B">
        <w:t>first local television service</w:t>
      </w:r>
      <w:r>
        <w:t>.</w:t>
      </w:r>
      <w:r>
        <w:rPr>
          <w:rStyle w:val="FootnoteReference"/>
        </w:rPr>
        <w:footnoteReference w:id="4"/>
      </w:r>
      <w:r>
        <w:t xml:space="preserve"> </w:t>
      </w:r>
    </w:p>
    <w:p w:rsidR="002C41C4" w:rsidP="002C41C4" w14:paraId="4521754E" w14:textId="77777777">
      <w:pPr>
        <w:pStyle w:val="Heading1"/>
        <w:keepNext w:val="0"/>
        <w:suppressAutoHyphens w:val="0"/>
      </w:pPr>
      <w:r>
        <w:t>Background</w:t>
      </w:r>
    </w:p>
    <w:p w:rsidR="00BE7DEE" w:rsidP="00F82969" w14:paraId="5BF40E1E" w14:textId="0777E3A6">
      <w:pPr>
        <w:pStyle w:val="ParaNum"/>
      </w:pPr>
      <w:r w:rsidRPr="00BF1B4B">
        <w:t xml:space="preserve"> </w:t>
      </w:r>
      <w:r w:rsidR="00831CD7">
        <w:t>T</w:t>
      </w:r>
      <w:r w:rsidRPr="00BF1B4B">
        <w:t>he Petitioner</w:t>
      </w:r>
      <w:r>
        <w:t xml:space="preserve"> </w:t>
      </w:r>
      <w:r w:rsidR="00260A85">
        <w:t xml:space="preserve">states </w:t>
      </w:r>
      <w:r w:rsidRPr="002F7FEC" w:rsidR="00260A85">
        <w:rPr>
          <w:snapToGrid/>
        </w:rPr>
        <w:t>it is the licensee of nine NCE television broadcast stations in Alabama, and provides its viewers with a variety of educational, public affairs, and other noncommercial  programming</w:t>
      </w:r>
      <w:r w:rsidR="00260A85">
        <w:rPr>
          <w:snapToGrid/>
        </w:rPr>
        <w:t>.</w:t>
      </w:r>
      <w:r>
        <w:rPr>
          <w:rStyle w:val="FootnoteReference"/>
          <w:snapToGrid/>
          <w:kern w:val="0"/>
          <w:szCs w:val="22"/>
        </w:rPr>
        <w:footnoteReference w:id="5"/>
      </w:r>
      <w:r w:rsidR="00260A85">
        <w:rPr>
          <w:snapToGrid/>
        </w:rPr>
        <w:t xml:space="preserve">  According to the Petitioner, </w:t>
      </w:r>
      <w:r w:rsidR="009D1D78">
        <w:t>Vernon</w:t>
      </w:r>
      <w:r w:rsidR="00260A85">
        <w:t xml:space="preserve"> </w:t>
      </w:r>
      <w:r w:rsidR="00831CD7">
        <w:t xml:space="preserve">is a community deserving of a new television broadcast service.  In support, </w:t>
      </w:r>
      <w:r w:rsidR="001820BD">
        <w:t xml:space="preserve">the </w:t>
      </w:r>
      <w:r w:rsidR="00831CD7">
        <w:t>Petition</w:t>
      </w:r>
      <w:r w:rsidR="00912ECB">
        <w:t>er</w:t>
      </w:r>
      <w:r>
        <w:t xml:space="preserve"> states</w:t>
      </w:r>
      <w:r w:rsidR="00831CD7">
        <w:t xml:space="preserve"> </w:t>
      </w:r>
      <w:r w:rsidRPr="00260A85" w:rsidR="00831CD7">
        <w:t>that</w:t>
      </w:r>
      <w:r w:rsidR="00831CD7">
        <w:t xml:space="preserve"> </w:t>
      </w:r>
      <w:r w:rsidR="009D1D78">
        <w:t>Vernon</w:t>
      </w:r>
      <w:r>
        <w:rPr>
          <w:rFonts w:ascii="TimesNewRomanPSMT" w:hAnsi="TimesNewRomanPSMT" w:cs="TimesNewRomanPSMT"/>
          <w:snapToGrid/>
          <w:kern w:val="0"/>
          <w:sz w:val="24"/>
          <w:szCs w:val="24"/>
        </w:rPr>
        <w:t xml:space="preserve"> </w:t>
      </w:r>
      <w:r w:rsidRPr="00F82969">
        <w:rPr>
          <w:snapToGrid/>
          <w:kern w:val="0"/>
          <w:szCs w:val="22"/>
        </w:rPr>
        <w:t>has a population of 5,551 and is the county seat of Lamar County, Alabama.</w:t>
      </w:r>
      <w:r>
        <w:rPr>
          <w:rStyle w:val="FootnoteReference"/>
          <w:snapToGrid/>
          <w:kern w:val="0"/>
          <w:sz w:val="22"/>
          <w:szCs w:val="22"/>
        </w:rPr>
        <w:footnoteReference w:id="6"/>
      </w:r>
      <w:r w:rsidRPr="00F82969">
        <w:rPr>
          <w:snapToGrid/>
          <w:kern w:val="0"/>
          <w:szCs w:val="22"/>
        </w:rPr>
        <w:t xml:space="preserve">  Vernon has a mayor, Board of Registrars, Circuit Clerk, Judge Probate, Sheriff, and six-member City Council.  The community also has police, fire, and utility departments, as well as a public library, regional hospital,</w:t>
      </w:r>
      <w:r w:rsidR="00F82969">
        <w:rPr>
          <w:snapToGrid/>
          <w:kern w:val="0"/>
          <w:szCs w:val="22"/>
        </w:rPr>
        <w:t xml:space="preserve"> airport,</w:t>
      </w:r>
      <w:r w:rsidRPr="00F82969">
        <w:rPr>
          <w:snapToGrid/>
          <w:kern w:val="0"/>
          <w:szCs w:val="22"/>
        </w:rPr>
        <w:t xml:space="preserve"> numerous businesses and places of worship, and its own Zip Code.</w:t>
      </w:r>
      <w:r>
        <w:rPr>
          <w:rStyle w:val="FootnoteReference"/>
          <w:snapToGrid/>
          <w:kern w:val="0"/>
          <w:szCs w:val="22"/>
        </w:rPr>
        <w:footnoteReference w:id="7"/>
      </w:r>
      <w:r>
        <w:rPr>
          <w:rFonts w:ascii="TimesNewRomanPSMT" w:hAnsi="TimesNewRomanPSMT" w:cs="TimesNewRomanPSMT"/>
          <w:snapToGrid/>
          <w:kern w:val="0"/>
          <w:sz w:val="24"/>
          <w:szCs w:val="24"/>
        </w:rPr>
        <w:t xml:space="preserve"> </w:t>
      </w:r>
      <w:r w:rsidR="007A4250">
        <w:rPr>
          <w:rFonts w:ascii="TimesNewRomanPSMT" w:hAnsi="TimesNewRomanPSMT" w:cs="TimesNewRomanPSMT"/>
          <w:snapToGrid/>
          <w:kern w:val="0"/>
          <w:sz w:val="24"/>
          <w:szCs w:val="24"/>
        </w:rPr>
        <w:t xml:space="preserve"> </w:t>
      </w:r>
      <w:r w:rsidRPr="007A4250" w:rsidR="007A4250">
        <w:rPr>
          <w:rFonts w:ascii="TimesNewRomanPSMT" w:hAnsi="TimesNewRomanPSMT" w:cs="TimesNewRomanPSMT"/>
          <w:snapToGrid/>
          <w:kern w:val="0"/>
          <w:szCs w:val="22"/>
        </w:rPr>
        <w:t xml:space="preserve">In addition, the proposed allotment would </w:t>
      </w:r>
      <w:r w:rsidR="007A4250">
        <w:rPr>
          <w:rFonts w:ascii="TimesNewRomanPSMT" w:hAnsi="TimesNewRomanPSMT" w:cs="TimesNewRomanPSMT"/>
          <w:snapToGrid/>
          <w:kern w:val="0"/>
          <w:szCs w:val="22"/>
        </w:rPr>
        <w:t>allow the provision of noncommercial</w:t>
      </w:r>
      <w:r w:rsidR="007A4250">
        <w:rPr>
          <w:rFonts w:ascii="TimesNewRomanPSMT" w:hAnsi="TimesNewRomanPSMT" w:cs="TimesNewRomanPSMT"/>
          <w:snapToGrid/>
          <w:kern w:val="0"/>
          <w:sz w:val="24"/>
          <w:szCs w:val="24"/>
        </w:rPr>
        <w:t xml:space="preserve"> </w:t>
      </w:r>
      <w:r w:rsidRPr="007A4250" w:rsidR="007A4250">
        <w:rPr>
          <w:rFonts w:ascii="TimesNewRomanPSMT" w:hAnsi="TimesNewRomanPSMT" w:cs="TimesNewRomanPSMT"/>
          <w:snapToGrid/>
          <w:kern w:val="0"/>
          <w:szCs w:val="22"/>
        </w:rPr>
        <w:t>educational television service to areas not currently served by AETC.</w:t>
      </w:r>
      <w:r>
        <w:rPr>
          <w:rStyle w:val="FootnoteReference"/>
          <w:rFonts w:cs="TimesNewRomanPSMT"/>
          <w:snapToGrid/>
          <w:kern w:val="0"/>
          <w:szCs w:val="24"/>
        </w:rPr>
        <w:footnoteReference w:id="8"/>
      </w:r>
      <w:r w:rsidR="007A4250">
        <w:rPr>
          <w:rFonts w:ascii="TimesNewRomanPSMT" w:hAnsi="TimesNewRomanPSMT" w:cs="TimesNewRomanPSMT"/>
          <w:snapToGrid/>
          <w:kern w:val="0"/>
          <w:sz w:val="24"/>
          <w:szCs w:val="24"/>
        </w:rPr>
        <w:t xml:space="preserve">  </w:t>
      </w:r>
      <w:r w:rsidR="00831CD7">
        <w:t>The Petition</w:t>
      </w:r>
      <w:r w:rsidR="00DE47AC">
        <w:t>er</w:t>
      </w:r>
      <w:r w:rsidR="00831CD7">
        <w:t xml:space="preserve"> states its intention </w:t>
      </w:r>
      <w:r w:rsidR="00831CD7">
        <w:t xml:space="preserve">to </w:t>
      </w:r>
      <w:r w:rsidR="005D19B4">
        <w:t>file a</w:t>
      </w:r>
      <w:r w:rsidR="002C0982">
        <w:t>n</w:t>
      </w:r>
      <w:r w:rsidR="005D19B4">
        <w:t xml:space="preserve"> application</w:t>
      </w:r>
      <w:r w:rsidR="00831CD7">
        <w:t xml:space="preserve"> for channel </w:t>
      </w:r>
      <w:r w:rsidR="000B666F">
        <w:t>*4</w:t>
      </w:r>
      <w:r w:rsidR="00831CD7">
        <w:t>, if allotted</w:t>
      </w:r>
      <w:r w:rsidR="005D19B4">
        <w:t>,</w:t>
      </w:r>
      <w:r>
        <w:rPr>
          <w:rStyle w:val="FootnoteReference"/>
        </w:rPr>
        <w:footnoteReference w:id="9"/>
      </w:r>
      <w:r w:rsidR="00745BCF">
        <w:t xml:space="preserve"> </w:t>
      </w:r>
      <w:r w:rsidR="005D19B4">
        <w:t>and take all necessary steps to obtain a construction permit</w:t>
      </w:r>
      <w:r w:rsidR="00831CD7">
        <w:t>.</w:t>
      </w:r>
      <w:r>
        <w:rPr>
          <w:rStyle w:val="FootnoteReference"/>
        </w:rPr>
        <w:footnoteReference w:id="10"/>
      </w:r>
      <w:r w:rsidR="00831CD7">
        <w:t xml:space="preserve"> </w:t>
      </w:r>
    </w:p>
    <w:p w:rsidR="00581348" w:rsidRPr="00BE7DEE" w:rsidP="00BE7DEE" w14:paraId="2F9DFFA3" w14:textId="6098AB64">
      <w:pPr>
        <w:widowControl/>
        <w:autoSpaceDE w:val="0"/>
        <w:autoSpaceDN w:val="0"/>
        <w:adjustRightInd w:val="0"/>
        <w:rPr>
          <w:rFonts w:ascii="TimesNewRomanPSMT" w:hAnsi="TimesNewRomanPSMT" w:cs="TimesNewRomanPSMT"/>
          <w:snapToGrid/>
          <w:kern w:val="0"/>
          <w:sz w:val="24"/>
          <w:szCs w:val="24"/>
        </w:rPr>
      </w:pPr>
      <w:r>
        <w:t xml:space="preserve">  </w:t>
      </w:r>
    </w:p>
    <w:p w:rsidR="002C41C4" w:rsidP="002C41C4" w14:paraId="5B64E2EF" w14:textId="77777777">
      <w:pPr>
        <w:pStyle w:val="Heading1"/>
      </w:pPr>
      <w:r>
        <w:t>DISCUSSION</w:t>
      </w:r>
    </w:p>
    <w:p w:rsidR="002C41C4" w:rsidRPr="00466233" w:rsidP="00466233" w14:paraId="4862D90B" w14:textId="25293C37">
      <w:pPr>
        <w:pStyle w:val="ParaNum"/>
        <w:rPr>
          <w:szCs w:val="22"/>
        </w:rPr>
      </w:pPr>
      <w:r>
        <w:t>The proposed amendment to the Table of Allotments warrants consideration</w:t>
      </w:r>
      <w:r w:rsidR="007E3B2F">
        <w:t>.</w:t>
      </w:r>
      <w:r>
        <w:t xml:space="preserve">  The Petitioner’s proposal would result in a </w:t>
      </w:r>
      <w:r w:rsidR="00E51EEB">
        <w:t>first</w:t>
      </w:r>
      <w:r>
        <w:t xml:space="preserve"> local service to </w:t>
      </w:r>
      <w:r w:rsidR="009D1D78">
        <w:t>Vernon</w:t>
      </w:r>
      <w:r w:rsidR="007E3B2F">
        <w:t>.</w:t>
      </w:r>
      <w:r>
        <w:rPr>
          <w:rStyle w:val="FootnoteReference"/>
        </w:rPr>
        <w:footnoteReference w:id="11"/>
      </w:r>
      <w:r w:rsidR="00A44247">
        <w:t xml:space="preserve">  </w:t>
      </w:r>
      <w:r w:rsidR="00231873">
        <w:t>T</w:t>
      </w:r>
      <w:r w:rsidR="00A44247">
        <w:t xml:space="preserve">he Petitioner demonstrates, and a staff engineering analysis confirms, that channel </w:t>
      </w:r>
      <w:r w:rsidR="000811BA">
        <w:t>*4</w:t>
      </w:r>
      <w:r w:rsidR="00A44247">
        <w:t xml:space="preserve"> can be allotted to </w:t>
      </w:r>
      <w:r w:rsidR="009D1D78">
        <w:t>Vernon</w:t>
      </w:r>
      <w:r w:rsidR="00A44247">
        <w:t xml:space="preserve">, </w:t>
      </w:r>
      <w:r w:rsidR="009D1D78">
        <w:t>Alabama</w:t>
      </w:r>
      <w:r w:rsidR="00A44247">
        <w:t xml:space="preserve">, consistent with the minimum </w:t>
      </w:r>
      <w:r w:rsidR="00E06190">
        <w:t>geographic spacing requirements for new allotments in section 73.623(d) of the Commission’s rules</w:t>
      </w:r>
      <w:r w:rsidR="007B1B63">
        <w:t xml:space="preserve"> (rules)</w:t>
      </w:r>
      <w:r w:rsidR="007828A4">
        <w:t>,</w:t>
      </w:r>
      <w:r>
        <w:rPr>
          <w:rStyle w:val="FootnoteReference"/>
        </w:rPr>
        <w:footnoteReference w:id="12"/>
      </w:r>
      <w:r w:rsidR="00A15B35">
        <w:t xml:space="preserve"> </w:t>
      </w:r>
      <w:r w:rsidR="007828A4">
        <w:t>at</w:t>
      </w:r>
      <w:r w:rsidR="00F82969">
        <w:t xml:space="preserve"> </w:t>
      </w:r>
      <w:r w:rsidR="00F82969">
        <w:rPr>
          <w:rFonts w:ascii="TimesNewRoman" w:hAnsi="TimesNewRoman" w:cs="TimesNewRoman"/>
          <w:snapToGrid/>
          <w:kern w:val="0"/>
          <w:szCs w:val="22"/>
        </w:rPr>
        <w:t>3</w:t>
      </w:r>
      <w:r w:rsidR="0021064F">
        <w:rPr>
          <w:rFonts w:ascii="TimesNewRoman" w:hAnsi="TimesNewRoman" w:cs="TimesNewRoman"/>
          <w:snapToGrid/>
          <w:kern w:val="0"/>
          <w:szCs w:val="22"/>
        </w:rPr>
        <w:t>3</w:t>
      </w:r>
      <w:r w:rsidRPr="007828A4" w:rsidR="00F82969">
        <w:rPr>
          <w:rFonts w:ascii="TimesNewRoman" w:hAnsi="TimesNewRoman" w:cs="TimesNewRoman"/>
          <w:snapToGrid/>
          <w:kern w:val="0"/>
          <w:szCs w:val="22"/>
        </w:rPr>
        <w:t xml:space="preserve">° </w:t>
      </w:r>
      <w:r w:rsidR="0021064F">
        <w:rPr>
          <w:rFonts w:ascii="TimesNewRoman" w:hAnsi="TimesNewRoman" w:cs="TimesNewRoman"/>
          <w:snapToGrid/>
          <w:kern w:val="0"/>
          <w:szCs w:val="22"/>
        </w:rPr>
        <w:t>54</w:t>
      </w:r>
      <w:r w:rsidRPr="007828A4" w:rsidR="00F82969">
        <w:rPr>
          <w:rFonts w:ascii="TimesNewRoman" w:hAnsi="TimesNewRoman" w:cs="TimesNewRoman"/>
          <w:snapToGrid/>
          <w:kern w:val="0"/>
          <w:szCs w:val="22"/>
        </w:rPr>
        <w:t xml:space="preserve">’ </w:t>
      </w:r>
      <w:r w:rsidR="0021064F">
        <w:rPr>
          <w:rFonts w:ascii="TimesNewRoman" w:hAnsi="TimesNewRoman" w:cs="TimesNewRoman"/>
          <w:snapToGrid/>
          <w:kern w:val="0"/>
          <w:szCs w:val="22"/>
        </w:rPr>
        <w:t>44.26</w:t>
      </w:r>
      <w:r w:rsidRPr="007828A4" w:rsidR="00F82969">
        <w:rPr>
          <w:rFonts w:ascii="TimesNewRoman" w:hAnsi="TimesNewRoman" w:cs="TimesNewRoman"/>
          <w:snapToGrid/>
          <w:kern w:val="0"/>
          <w:szCs w:val="22"/>
        </w:rPr>
        <w:t xml:space="preserve">” N and </w:t>
      </w:r>
      <w:r w:rsidR="0021064F">
        <w:rPr>
          <w:rFonts w:ascii="TimesNewRoman" w:hAnsi="TimesNewRoman" w:cs="TimesNewRoman"/>
          <w:snapToGrid/>
          <w:kern w:val="0"/>
          <w:szCs w:val="22"/>
        </w:rPr>
        <w:t>87</w:t>
      </w:r>
      <w:r w:rsidRPr="007828A4" w:rsidR="00F82969">
        <w:rPr>
          <w:rFonts w:ascii="TimesNewRoman" w:hAnsi="TimesNewRoman" w:cs="TimesNewRoman"/>
          <w:snapToGrid/>
          <w:kern w:val="0"/>
          <w:szCs w:val="22"/>
        </w:rPr>
        <w:t xml:space="preserve">° </w:t>
      </w:r>
      <w:r w:rsidR="0021064F">
        <w:rPr>
          <w:rFonts w:ascii="TimesNewRoman" w:hAnsi="TimesNewRoman" w:cs="TimesNewRoman"/>
          <w:snapToGrid/>
          <w:kern w:val="0"/>
          <w:szCs w:val="22"/>
        </w:rPr>
        <w:t>48</w:t>
      </w:r>
      <w:r w:rsidRPr="007828A4" w:rsidR="00F82969">
        <w:rPr>
          <w:rFonts w:ascii="TimesNewRoman" w:hAnsi="TimesNewRoman" w:cs="TimesNewRoman"/>
          <w:snapToGrid/>
          <w:kern w:val="0"/>
          <w:szCs w:val="22"/>
        </w:rPr>
        <w:t xml:space="preserve">’ </w:t>
      </w:r>
      <w:r w:rsidR="0021064F">
        <w:rPr>
          <w:rFonts w:ascii="TimesNewRoman" w:hAnsi="TimesNewRoman" w:cs="TimesNewRoman"/>
          <w:snapToGrid/>
          <w:kern w:val="0"/>
          <w:szCs w:val="22"/>
        </w:rPr>
        <w:t>06.20</w:t>
      </w:r>
      <w:r w:rsidRPr="007828A4" w:rsidR="00F82969">
        <w:rPr>
          <w:rFonts w:ascii="TimesNewRoman" w:hAnsi="TimesNewRoman" w:cs="TimesNewRoman"/>
          <w:snapToGrid/>
          <w:kern w:val="0"/>
          <w:szCs w:val="22"/>
        </w:rPr>
        <w:t>” W</w:t>
      </w:r>
      <w:r w:rsidRPr="00331344" w:rsidR="007828A4">
        <w:rPr>
          <w:snapToGrid/>
          <w:kern w:val="0"/>
          <w:szCs w:val="22"/>
        </w:rPr>
        <w:t>.</w:t>
      </w:r>
      <w:r>
        <w:rPr>
          <w:rStyle w:val="FootnoteReference"/>
          <w:snapToGrid/>
          <w:kern w:val="0"/>
          <w:sz w:val="22"/>
          <w:szCs w:val="22"/>
        </w:rPr>
        <w:footnoteReference w:id="13"/>
      </w:r>
      <w:r w:rsidRPr="00331344" w:rsidR="00231873">
        <w:rPr>
          <w:snapToGrid/>
          <w:kern w:val="0"/>
          <w:szCs w:val="22"/>
        </w:rPr>
        <w:t xml:space="preserve">  In addition, the allotment point complies with </w:t>
      </w:r>
      <w:r w:rsidR="00231873">
        <w:rPr>
          <w:snapToGrid/>
          <w:kern w:val="0"/>
          <w:szCs w:val="22"/>
        </w:rPr>
        <w:t xml:space="preserve"> s</w:t>
      </w:r>
      <w:r w:rsidR="00466233">
        <w:rPr>
          <w:snapToGrid/>
          <w:kern w:val="0"/>
          <w:szCs w:val="22"/>
        </w:rPr>
        <w:t>e</w:t>
      </w:r>
      <w:r w:rsidR="00231873">
        <w:rPr>
          <w:snapToGrid/>
          <w:kern w:val="0"/>
          <w:szCs w:val="22"/>
        </w:rPr>
        <w:t xml:space="preserve">ction </w:t>
      </w:r>
      <w:r w:rsidRPr="00331344" w:rsidR="00231873">
        <w:rPr>
          <w:snapToGrid/>
          <w:kern w:val="0"/>
          <w:szCs w:val="22"/>
        </w:rPr>
        <w:t>73.625(a)(1)</w:t>
      </w:r>
      <w:r w:rsidR="00231873">
        <w:rPr>
          <w:snapToGrid/>
          <w:kern w:val="0"/>
          <w:szCs w:val="22"/>
        </w:rPr>
        <w:t xml:space="preserve"> of the rules</w:t>
      </w:r>
      <w:r w:rsidRPr="00331344" w:rsidR="00231873">
        <w:rPr>
          <w:snapToGrid/>
          <w:kern w:val="0"/>
          <w:szCs w:val="22"/>
        </w:rPr>
        <w:t xml:space="preserve"> as the entire community of </w:t>
      </w:r>
      <w:r w:rsidR="009D1D78">
        <w:rPr>
          <w:snapToGrid/>
          <w:kern w:val="0"/>
          <w:szCs w:val="22"/>
        </w:rPr>
        <w:t>Vernon</w:t>
      </w:r>
      <w:r w:rsidR="00231873">
        <w:rPr>
          <w:snapToGrid/>
          <w:kern w:val="0"/>
          <w:szCs w:val="22"/>
        </w:rPr>
        <w:t xml:space="preserve"> is</w:t>
      </w:r>
      <w:r w:rsidRPr="00331344" w:rsidR="00231873">
        <w:rPr>
          <w:snapToGrid/>
          <w:kern w:val="0"/>
          <w:szCs w:val="22"/>
        </w:rPr>
        <w:t xml:space="preserve"> encompassed by </w:t>
      </w:r>
      <w:r w:rsidR="003F0EC8">
        <w:rPr>
          <w:snapToGrid/>
          <w:kern w:val="0"/>
          <w:szCs w:val="22"/>
        </w:rPr>
        <w:t>the 35</w:t>
      </w:r>
      <w:r w:rsidR="009F48EE">
        <w:rPr>
          <w:snapToGrid/>
          <w:kern w:val="0"/>
          <w:szCs w:val="22"/>
        </w:rPr>
        <w:t xml:space="preserve"> </w:t>
      </w:r>
      <w:r w:rsidRPr="00331344" w:rsidR="00231873">
        <w:rPr>
          <w:snapToGrid/>
          <w:kern w:val="0"/>
          <w:szCs w:val="22"/>
        </w:rPr>
        <w:t>dBμ</w:t>
      </w:r>
      <w:r w:rsidRPr="00331344" w:rsidR="00231873">
        <w:rPr>
          <w:snapToGrid/>
          <w:kern w:val="0"/>
          <w:szCs w:val="22"/>
        </w:rPr>
        <w:t xml:space="preserve"> contour</w:t>
      </w:r>
      <w:r w:rsidR="00231873">
        <w:rPr>
          <w:snapToGrid/>
          <w:kern w:val="0"/>
          <w:szCs w:val="22"/>
        </w:rPr>
        <w:t>.</w:t>
      </w:r>
      <w:r>
        <w:rPr>
          <w:rStyle w:val="FootnoteReference"/>
          <w:snapToGrid/>
          <w:kern w:val="0"/>
          <w:szCs w:val="22"/>
        </w:rPr>
        <w:footnoteReference w:id="14"/>
      </w:r>
    </w:p>
    <w:p w:rsidR="002C41C4" w:rsidP="00087160" w14:paraId="132D5C42" w14:textId="0ECFA56E">
      <w:pPr>
        <w:pStyle w:val="ParaNum"/>
      </w:pPr>
      <w:r>
        <w:t>Accordingly, we seek comment on the proposed amendment of the Table of Allotments, section 73.622(</w:t>
      </w:r>
      <w:r w:rsidR="00CA7ED9">
        <w:t>j</w:t>
      </w:r>
      <w:r>
        <w:t>) of the rules,</w:t>
      </w:r>
      <w:r>
        <w:rPr>
          <w:rStyle w:val="FootnoteReference"/>
          <w:spacing w:val="-3"/>
          <w:szCs w:val="22"/>
        </w:rPr>
        <w:footnoteReference w:id="15"/>
      </w:r>
      <w:r>
        <w:t xml:space="preserve"> for the community listed below, to read as follows:</w:t>
      </w:r>
    </w:p>
    <w:p w:rsidR="002C41C4" w:rsidP="002C41C4" w14:paraId="4E38FA9C" w14:textId="77777777">
      <w:pPr>
        <w:pStyle w:val="AppNum"/>
        <w:numPr>
          <w:ilvl w:val="0"/>
          <w:numId w:val="0"/>
        </w:numPr>
        <w:spacing w:after="120"/>
        <w:ind w:left="4320"/>
        <w:rPr>
          <w:rFonts w:ascii="Times New Roman" w:hAnsi="Times New Roman"/>
          <w:spacing w:val="-3"/>
          <w:sz w:val="22"/>
          <w:szCs w:val="22"/>
          <w:u w:val="single"/>
        </w:rPr>
      </w:pPr>
      <w:bookmarkStart w:id="0" w:name="_Hlk62218186"/>
      <w:r>
        <w:rPr>
          <w:rFonts w:ascii="Times New Roman" w:hAnsi="Times New Roman"/>
          <w:spacing w:val="-3"/>
          <w:sz w:val="22"/>
          <w:szCs w:val="22"/>
          <w:u w:val="single"/>
        </w:rPr>
        <w:t>Channel No.</w:t>
      </w:r>
    </w:p>
    <w:p w:rsidR="002C41C4" w:rsidP="002C41C4" w14:paraId="7AF31A12"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2C41C4" w14:paraId="5B3C17DA" w14:textId="650C5866">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Vernon</w:t>
      </w:r>
      <w:r w:rsidR="00801F0A">
        <w:rPr>
          <w:rFonts w:ascii="Times New Roman" w:hAnsi="Times New Roman"/>
          <w:spacing w:val="-3"/>
          <w:sz w:val="22"/>
          <w:szCs w:val="22"/>
        </w:rPr>
        <w:t xml:space="preserve">, </w:t>
      </w:r>
      <w:r>
        <w:rPr>
          <w:rFonts w:ascii="Times New Roman" w:hAnsi="Times New Roman"/>
          <w:spacing w:val="-3"/>
          <w:sz w:val="22"/>
          <w:szCs w:val="22"/>
        </w:rPr>
        <w:t>Alabama</w:t>
      </w:r>
      <w:r w:rsidR="00801F0A">
        <w:rPr>
          <w:rFonts w:ascii="Times New Roman" w:hAnsi="Times New Roman"/>
          <w:spacing w:val="-3"/>
          <w:sz w:val="22"/>
          <w:szCs w:val="22"/>
        </w:rPr>
        <w:tab/>
      </w:r>
      <w:r w:rsidR="00801F0A">
        <w:rPr>
          <w:rFonts w:ascii="Times New Roman" w:hAnsi="Times New Roman"/>
          <w:spacing w:val="-3"/>
          <w:sz w:val="22"/>
          <w:szCs w:val="22"/>
        </w:rPr>
        <w:tab/>
      </w:r>
      <w:r w:rsidR="00801F0A">
        <w:rPr>
          <w:rFonts w:ascii="Times New Roman" w:hAnsi="Times New Roman"/>
          <w:spacing w:val="-3"/>
          <w:sz w:val="22"/>
          <w:szCs w:val="22"/>
        </w:rPr>
        <w:tab/>
      </w:r>
      <w:r w:rsidR="002343B9">
        <w:rPr>
          <w:rFonts w:ascii="Times New Roman" w:hAnsi="Times New Roman"/>
          <w:spacing w:val="-3"/>
          <w:sz w:val="22"/>
          <w:szCs w:val="22"/>
        </w:rPr>
        <w:t xml:space="preserve">   </w:t>
      </w:r>
      <w:r w:rsidR="009F48EE">
        <w:rPr>
          <w:rFonts w:ascii="Times New Roman" w:hAnsi="Times New Roman"/>
          <w:spacing w:val="-3"/>
          <w:sz w:val="22"/>
          <w:szCs w:val="22"/>
        </w:rPr>
        <w:t xml:space="preserve">  -</w:t>
      </w:r>
      <w:r w:rsidR="00801F0A">
        <w:rPr>
          <w:rFonts w:ascii="Times New Roman" w:hAnsi="Times New Roman"/>
          <w:spacing w:val="-3"/>
          <w:sz w:val="22"/>
          <w:szCs w:val="22"/>
        </w:rPr>
        <w:tab/>
      </w:r>
      <w:r w:rsidR="00801F0A">
        <w:rPr>
          <w:rFonts w:ascii="Times New Roman" w:hAnsi="Times New Roman"/>
          <w:spacing w:val="-3"/>
          <w:sz w:val="22"/>
          <w:szCs w:val="22"/>
        </w:rPr>
        <w:tab/>
      </w:r>
      <w:r w:rsidR="00801F0A">
        <w:rPr>
          <w:rFonts w:ascii="Times New Roman" w:hAnsi="Times New Roman"/>
          <w:spacing w:val="-3"/>
          <w:sz w:val="22"/>
          <w:szCs w:val="22"/>
        </w:rPr>
        <w:tab/>
      </w:r>
      <w:r w:rsidR="002343B9">
        <w:rPr>
          <w:rFonts w:ascii="Times New Roman" w:hAnsi="Times New Roman"/>
          <w:spacing w:val="-3"/>
          <w:sz w:val="22"/>
          <w:szCs w:val="22"/>
        </w:rPr>
        <w:t xml:space="preserve">   </w:t>
      </w:r>
      <w:r w:rsidR="00360301">
        <w:rPr>
          <w:rFonts w:ascii="Times New Roman" w:hAnsi="Times New Roman"/>
          <w:spacing w:val="-3"/>
          <w:sz w:val="22"/>
          <w:szCs w:val="22"/>
        </w:rPr>
        <w:t>*4</w:t>
      </w:r>
    </w:p>
    <w:bookmarkEnd w:id="0"/>
    <w:p w:rsidR="002C41C4" w:rsidP="002C41C4" w14:paraId="2B6BF504" w14:textId="77777777">
      <w:pPr>
        <w:pStyle w:val="Heading1"/>
        <w:keepNext w:val="0"/>
        <w:suppressAutoHyphens w:val="0"/>
      </w:pPr>
      <w:r>
        <w:t>Procedural matters</w:t>
      </w:r>
    </w:p>
    <w:p w:rsidR="002C41C4" w:rsidP="002C41C4" w14:paraId="67A366BA" w14:textId="77777777">
      <w:pPr>
        <w:pStyle w:val="ParaNum"/>
      </w:pPr>
      <w:r>
        <w:rPr>
          <w:i/>
          <w:iCs/>
        </w:rPr>
        <w:t>Showings Required</w:t>
      </w:r>
      <w:r>
        <w:t>.  Comments are invited on the proposal discussed in this Notice of Proposed Rulemaking (</w:t>
      </w:r>
      <w:r>
        <w:rPr>
          <w:i/>
          <w:iCs/>
        </w:rPr>
        <w:t>NPRM</w:t>
      </w:r>
      <w:r>
        <w:t xml:space="preserve">).  The Petitioner or any proponent that expresses interest in the allotment will be expected to answer whatever questions are presented in initial comments.  The </w:t>
      </w:r>
      <w:r w:rsidR="00F07455">
        <w:t>P</w:t>
      </w:r>
      <w:r>
        <w:t xml:space="preserve">etitioner of a proposed allotment is required to file comments even if it only resubmits or incorporates by reference its former pleadings.  The </w:t>
      </w:r>
      <w:r w:rsidR="00F07455">
        <w:t>P</w:t>
      </w:r>
      <w:r>
        <w:t>etitioner must restate its present intention to apply for the channel if it is allotted and, if authorized, to build a station promptly.</w:t>
      </w:r>
      <w:r>
        <w:rPr>
          <w:rStyle w:val="FootnoteReference"/>
        </w:rPr>
        <w:footnoteReference w:id="16"/>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7"/>
      </w:r>
    </w:p>
    <w:p w:rsidR="002C41C4" w:rsidP="003E6402" w14:paraId="02A8EA54" w14:textId="77777777">
      <w:pPr>
        <w:pStyle w:val="ParaNum"/>
        <w:widowControl/>
      </w:pPr>
      <w:r>
        <w:rPr>
          <w:i/>
          <w:iCs/>
        </w:rPr>
        <w:t>Cut-off Protection</w:t>
      </w:r>
      <w:r>
        <w:t>.  The following procedures will govern the consideration of the filings in this proceeding:</w:t>
      </w:r>
    </w:p>
    <w:p w:rsidR="002C41C4" w:rsidP="002C41C4" w14:paraId="25325C8D"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8"/>
      </w:r>
      <w:r>
        <w:t xml:space="preserve">  </w:t>
      </w:r>
    </w:p>
    <w:p w:rsidR="002C41C4" w:rsidP="002C41C4" w14:paraId="1815645F"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9"/>
      </w:r>
    </w:p>
    <w:p w:rsidR="002C41C4" w:rsidP="002C41C4" w14:paraId="07B83E26"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20"/>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21"/>
      </w:r>
    </w:p>
    <w:p w:rsidR="002C41C4" w:rsidP="002C41C4" w14:paraId="4234DCAB"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2C41C4" w14:paraId="0102740D"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2C41C4" w14:paraId="562AC7BA"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2C41C4" w14:paraId="423CFC78"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2C41C4" w14:paraId="38AE5AFD"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2"/>
      </w:r>
    </w:p>
    <w:p w:rsidR="002C41C4" w:rsidP="002C41C4" w14:paraId="13E57C1F"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2C41C4" w14:paraId="65D76D6D" w14:textId="7AFAA518">
      <w:pPr>
        <w:pStyle w:val="ParaNum"/>
      </w:pPr>
      <w:r>
        <w:rPr>
          <w:i/>
          <w:iCs/>
        </w:rPr>
        <w:t>Service.</w:t>
      </w:r>
      <w:r>
        <w:t xml:space="preserve">  Pursuant </w:t>
      </w:r>
      <w:r w:rsidR="00087160">
        <w:t xml:space="preserve">to </w:t>
      </w:r>
      <w:r>
        <w:t>section 1.420 of the rules,</w:t>
      </w:r>
      <w:r>
        <w:rPr>
          <w:rStyle w:val="FootnoteReference"/>
        </w:rPr>
        <w:footnoteReference w:id="23"/>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w:t>
      </w:r>
      <w:r>
        <w:t>directed.  A certificate of service shall accompany such comments and reply comments.</w:t>
      </w:r>
      <w:r>
        <w:rPr>
          <w:rStyle w:val="FootnoteReference"/>
        </w:rPr>
        <w:footnoteReference w:id="24"/>
      </w:r>
      <w:r>
        <w:t xml:space="preserve">  Additionally, a copy of such comments should be served on </w:t>
      </w:r>
      <w:r w:rsidR="000811BA">
        <w:t>the</w:t>
      </w:r>
      <w:r>
        <w:t xml:space="preserve"> </w:t>
      </w:r>
      <w:r w:rsidR="000811BA">
        <w:t>P</w:t>
      </w:r>
      <w:r>
        <w:t>etitioner, as follows:</w:t>
      </w:r>
    </w:p>
    <w:p w:rsidR="00F82969" w:rsidP="002B15EC" w14:paraId="339D574C" w14:textId="77777777">
      <w:pPr>
        <w:pStyle w:val="ParaNum"/>
        <w:keepNext/>
        <w:keepLines/>
        <w:numPr>
          <w:ilvl w:val="0"/>
          <w:numId w:val="0"/>
        </w:numPr>
        <w:spacing w:after="0"/>
        <w:ind w:left="720"/>
      </w:pPr>
      <w:r>
        <w:t>M. Scott Johnson, Esq.</w:t>
      </w:r>
    </w:p>
    <w:p w:rsidR="00F82969" w:rsidP="002B15EC" w14:paraId="1DDC105A" w14:textId="6BA1A755">
      <w:pPr>
        <w:pStyle w:val="ParaNum"/>
        <w:keepNext/>
        <w:keepLines/>
        <w:numPr>
          <w:ilvl w:val="0"/>
          <w:numId w:val="0"/>
        </w:numPr>
        <w:spacing w:after="0"/>
        <w:ind w:left="720"/>
      </w:pPr>
      <w:r>
        <w:t xml:space="preserve">Smithwick &amp; </w:t>
      </w:r>
      <w:r>
        <w:t>Belendiuk</w:t>
      </w:r>
      <w:r>
        <w:t>, PC</w:t>
      </w:r>
    </w:p>
    <w:p w:rsidR="00F82969" w:rsidP="002B15EC" w14:paraId="30E487F1" w14:textId="291C186E">
      <w:pPr>
        <w:pStyle w:val="ParaNum"/>
        <w:keepNext/>
        <w:keepLines/>
        <w:numPr>
          <w:ilvl w:val="0"/>
          <w:numId w:val="0"/>
        </w:numPr>
        <w:spacing w:after="0"/>
        <w:ind w:left="720"/>
      </w:pPr>
      <w:r>
        <w:t>5028 Wisconsin Avenue, NW</w:t>
      </w:r>
    </w:p>
    <w:p w:rsidR="00F82969" w:rsidP="00F82969" w14:paraId="4D74B907" w14:textId="3A73E7F2">
      <w:pPr>
        <w:pStyle w:val="ParaNum"/>
        <w:keepNext/>
        <w:keepLines/>
        <w:numPr>
          <w:ilvl w:val="0"/>
          <w:numId w:val="0"/>
        </w:numPr>
        <w:spacing w:after="0"/>
        <w:ind w:left="720"/>
      </w:pPr>
      <w:r>
        <w:t>Suite 301</w:t>
      </w:r>
    </w:p>
    <w:p w:rsidR="00F82969" w:rsidP="00F82969" w14:paraId="0B9605D6" w14:textId="098ADBB0">
      <w:pPr>
        <w:pStyle w:val="ParaNum"/>
        <w:keepNext/>
        <w:keepLines/>
        <w:numPr>
          <w:ilvl w:val="0"/>
          <w:numId w:val="0"/>
        </w:numPr>
        <w:spacing w:after="0"/>
        <w:ind w:left="720"/>
      </w:pPr>
      <w:r>
        <w:t>Washington, D.C.  20016</w:t>
      </w:r>
    </w:p>
    <w:p w:rsidR="002C0982" w:rsidP="002B15EC" w14:paraId="35549801" w14:textId="77777777">
      <w:pPr>
        <w:pStyle w:val="ParaNum"/>
        <w:keepNext/>
        <w:keepLines/>
        <w:numPr>
          <w:ilvl w:val="0"/>
          <w:numId w:val="0"/>
        </w:numPr>
        <w:spacing w:after="0"/>
        <w:ind w:left="720"/>
      </w:pPr>
    </w:p>
    <w:p w:rsidR="002C41C4" w:rsidP="00D67D6C" w14:paraId="178B5534" w14:textId="644C2DEC">
      <w:pPr>
        <w:pStyle w:val="ParaNum"/>
      </w:pPr>
      <w:r>
        <w:rPr>
          <w:i/>
          <w:iCs/>
        </w:rPr>
        <w:t xml:space="preserve">Ex </w:t>
      </w:r>
      <w:r>
        <w:rPr>
          <w:i/>
          <w:iCs/>
        </w:rPr>
        <w:t>Parte</w:t>
      </w:r>
      <w:r>
        <w:rPr>
          <w:i/>
          <w:iCs/>
        </w:rPr>
        <w:t xml:space="preserve"> Notices</w:t>
      </w:r>
      <w:r>
        <w:rPr>
          <w:i/>
        </w:rPr>
        <w:t>– Restricted</w:t>
      </w:r>
      <w:r>
        <w:t xml:space="preserve">.  The </w:t>
      </w:r>
      <w:r w:rsidRPr="00A97B35">
        <w:t>proceeding</w:t>
      </w:r>
      <w:r>
        <w:t xml:space="preserve"> this Notice initiates shall be treated as a “restricted” proceeding in accordance with the Commission’s </w:t>
      </w:r>
      <w:r>
        <w:rPr>
          <w:i/>
          <w:iCs/>
        </w:rPr>
        <w:t xml:space="preserve">ex parte </w:t>
      </w:r>
      <w:r>
        <w:t>rules.</w:t>
      </w:r>
      <w:r>
        <w:rPr>
          <w:vertAlign w:val="superscript"/>
        </w:rPr>
        <w:footnoteReference w:id="25"/>
      </w:r>
      <w:r>
        <w:t xml:space="preserve">  For purposes of this restricted notice and comment rulemaking proceeding, members of the public are advised that no </w:t>
      </w:r>
      <w:r>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6"/>
      </w:r>
      <w:r>
        <w:t xml:space="preserve">  An </w:t>
      </w:r>
      <w:r>
        <w:rPr>
          <w:i/>
          <w:iCs/>
        </w:rPr>
        <w:t>ex 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7"/>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8"/>
      </w:r>
      <w:r>
        <w:t xml:space="preserve">  Any comment that has not been served on the petitioner constitutes an </w:t>
      </w:r>
      <w:r>
        <w:rPr>
          <w:i/>
          <w:iCs/>
        </w:rPr>
        <w:t>ex parte</w:t>
      </w:r>
      <w:r>
        <w:t xml:space="preserve"> presentation and shall not be considered in the proceeding.  Any reply comment which has not been served on the person(s) who filed the comment, to which the reply is directed, constitutes an </w:t>
      </w:r>
      <w:r>
        <w:rPr>
          <w:i/>
          <w:iCs/>
        </w:rPr>
        <w:t>ex parte</w:t>
      </w:r>
      <w:r>
        <w:t xml:space="preserve"> presentation and shall not be considered in the proceeding. </w:t>
      </w:r>
    </w:p>
    <w:p w:rsidR="002C41C4" w:rsidP="002C41C4" w14:paraId="5750607D" w14:textId="77777777">
      <w:pPr>
        <w:pStyle w:val="ParaNum"/>
      </w:pPr>
      <w:r>
        <w:rPr>
          <w:i/>
          <w:iCs/>
        </w:rPr>
        <w:t xml:space="preserve">Availability of Documents.  </w:t>
      </w:r>
      <w:r>
        <w:t xml:space="preserve">Comments, reply comments, and </w:t>
      </w:r>
      <w:r>
        <w:rPr>
          <w:i/>
          <w:iCs/>
        </w:rPr>
        <w:t>ex 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3E6402" w14:paraId="419288E1" w14:textId="4F0A1965">
      <w:pPr>
        <w:pStyle w:val="ParaNum"/>
        <w:widowControl/>
      </w:pPr>
      <w:r>
        <w:rPr>
          <w:i/>
          <w:iCs/>
        </w:rPr>
        <w:t>Paperwork Reduction and Regulatory Flexibility</w:t>
      </w:r>
      <w:r>
        <w:t>.  The Commission has determined that the relevant provisions of the Regulatory Flexibility Act of 1980, as amended,</w:t>
      </w:r>
      <w:r>
        <w:rPr>
          <w:rStyle w:val="FootnoteReference"/>
        </w:rPr>
        <w:footnoteReference w:id="29"/>
      </w:r>
      <w:r>
        <w:t xml:space="preserve"> do not apply to a rulemaking proceeding to amend the Table of Allotments, section 73.622(</w:t>
      </w:r>
      <w:r w:rsidR="00FD7B73">
        <w:t>j</w:t>
      </w:r>
      <w:r>
        <w:t>) of the rules.</w:t>
      </w:r>
      <w:r>
        <w:rPr>
          <w:rStyle w:val="FootnoteReference"/>
        </w:rPr>
        <w:footnoteReference w:id="30"/>
      </w:r>
      <w:r>
        <w:t xml:space="preserve">  This document does not contain proposed information collection requirements subject to the Paperwork Reduction Act of 1995.</w:t>
      </w:r>
      <w:r>
        <w:rPr>
          <w:rStyle w:val="FootnoteReference"/>
        </w:rPr>
        <w:footnoteReference w:id="31"/>
      </w:r>
      <w:r>
        <w:t xml:space="preserve">  In addition, therefore, it does not contain any proposed information collection burden “for small </w:t>
      </w:r>
      <w:r>
        <w:t>business concerns with fewer than 25 employees,” pursuant to the Small Business Paperwork Relief Act of 2002.</w:t>
      </w:r>
      <w:r>
        <w:rPr>
          <w:rStyle w:val="FootnoteReference"/>
        </w:rPr>
        <w:footnoteReference w:id="32"/>
      </w:r>
    </w:p>
    <w:p w:rsidR="002C41C4" w:rsidP="002C41C4" w14:paraId="2D9A080A"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(tty).</w:t>
      </w:r>
    </w:p>
    <w:p w:rsidR="002C41C4" w:rsidP="002C41C4" w14:paraId="09333B7B"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2C41C4" w14:paraId="0D7D9AFA" w14:textId="77777777">
      <w:pPr>
        <w:pStyle w:val="Heading1"/>
        <w:keepNext w:val="0"/>
        <w:suppressAutoHyphens w:val="0"/>
      </w:pPr>
      <w:r>
        <w:t>Ordering clauses</w:t>
      </w:r>
    </w:p>
    <w:p w:rsidR="002C41C4" w:rsidP="002C41C4" w14:paraId="26AF32A0" w14:textId="2A0EFBD2">
      <w:pPr>
        <w:pStyle w:val="ParaNum"/>
        <w:rPr>
          <w:szCs w:val="22"/>
        </w:rPr>
      </w:pPr>
      <w:r>
        <w:rPr>
          <w:b/>
          <w:bCs/>
        </w:rPr>
        <w:t>IT IS ORDERED</w:t>
      </w:r>
      <w:r>
        <w:t xml:space="preserve"> that, pursuant to authority found in 47 U.S.C. sections 4(i), 5(c)(1), 303(g) and (r), and 307(b) of the Communications Act of 1934, as amended, 47 U.S.C. §§ 154(i), 155(c)(1), 303(g), (r), and 307(b) and sections 0.61, 0.204(b), and 0.283 of the rules, 47 CFR §§ 0.61, 0.204(b), and 0.283, </w:t>
      </w:r>
      <w:r>
        <w:rPr>
          <w:b/>
          <w:bCs/>
        </w:rPr>
        <w:t>IT IS PROPOSED TO AMEND</w:t>
      </w:r>
      <w:r>
        <w:t xml:space="preserve"> the Table of Allotments, section 73.622(</w:t>
      </w:r>
      <w:r w:rsidR="009F48EE">
        <w:t>j</w:t>
      </w:r>
      <w:r>
        <w:t>) of the rules, 47 CFR § 73.622(</w:t>
      </w:r>
      <w:r w:rsidR="009F48EE">
        <w:t>j</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2C41C4" w14:paraId="2A35FABE" w14:textId="12A57765">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4E7A57">
        <w:rPr>
          <w:szCs w:val="22"/>
        </w:rPr>
        <w:t>2</w:t>
      </w:r>
      <w:r w:rsidR="00FD2117">
        <w:rPr>
          <w:szCs w:val="22"/>
        </w:rPr>
        <w:t>2</w:t>
      </w:r>
      <w:r w:rsidR="004E7A57">
        <w:rPr>
          <w:szCs w:val="22"/>
        </w:rPr>
        <w:t>-</w:t>
      </w:r>
      <w:r w:rsidR="00866815">
        <w:rPr>
          <w:szCs w:val="22"/>
        </w:rPr>
        <w:t>30</w:t>
      </w:r>
      <w:r>
        <w:rPr>
          <w:szCs w:val="22"/>
        </w:rPr>
        <w:t xml:space="preserve"> and </w:t>
      </w:r>
      <w:r w:rsidRPr="004E7A57">
        <w:rPr>
          <w:szCs w:val="22"/>
        </w:rPr>
        <w:t>RM-11</w:t>
      </w:r>
      <w:r w:rsidR="00866815">
        <w:rPr>
          <w:szCs w:val="22"/>
        </w:rPr>
        <w:t xml:space="preserve">916 </w:t>
      </w:r>
      <w:r>
        <w:rPr>
          <w:szCs w:val="22"/>
        </w:rPr>
        <w:t xml:space="preserve">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2C41C4" w14:paraId="73E123F6" w14:textId="77777777">
      <w:r>
        <w:tab/>
      </w:r>
      <w:r>
        <w:tab/>
      </w:r>
      <w:r>
        <w:tab/>
      </w:r>
      <w:r>
        <w:tab/>
      </w:r>
      <w:r>
        <w:tab/>
      </w:r>
      <w:r>
        <w:tab/>
        <w:t>FEDERAL COMMUNICATIONS COMMISSION</w:t>
      </w:r>
    </w:p>
    <w:p w:rsidR="002C41C4" w:rsidP="002C41C4" w14:paraId="1F2D8583" w14:textId="77777777"/>
    <w:p w:rsidR="002C41C4" w:rsidP="002C41C4" w14:paraId="3067B0DB" w14:textId="77777777"/>
    <w:p w:rsidR="002C41C4" w:rsidP="002C41C4" w14:paraId="14F8993A" w14:textId="77777777"/>
    <w:p w:rsidR="002C41C4" w:rsidP="002C41C4" w14:paraId="201B0D7B" w14:textId="77777777"/>
    <w:p w:rsidR="002C41C4" w:rsidP="002C41C4" w14:paraId="48E0DF21" w14:textId="77777777">
      <w:r>
        <w:tab/>
      </w:r>
      <w:r>
        <w:tab/>
      </w:r>
      <w:r>
        <w:tab/>
      </w:r>
      <w:r>
        <w:tab/>
      </w:r>
      <w:r>
        <w:tab/>
      </w:r>
      <w:r>
        <w:tab/>
        <w:t>Barbara A. Kreisman</w:t>
      </w:r>
    </w:p>
    <w:p w:rsidR="002C41C4" w:rsidP="002C41C4" w14:paraId="75DCDEB6" w14:textId="77777777">
      <w:r>
        <w:tab/>
      </w:r>
      <w:r>
        <w:tab/>
      </w:r>
      <w:r>
        <w:tab/>
      </w:r>
      <w:r>
        <w:tab/>
      </w:r>
      <w:r>
        <w:tab/>
      </w:r>
      <w:r>
        <w:tab/>
        <w:t>Chief, Video Division</w:t>
      </w:r>
    </w:p>
    <w:p w:rsidR="00412FC5" w:rsidRPr="002C41C4" w:rsidP="002C41C4" w14:paraId="3558D145" w14:textId="77777777">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2A32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DAB7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B15EC" w14:paraId="391CCF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0EE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2B61264D" w14:textId="77777777">
      <w:r>
        <w:separator/>
      </w:r>
    </w:p>
  </w:footnote>
  <w:footnote w:type="continuationSeparator" w:id="1">
    <w:p w:rsidR="00477CC1" w:rsidP="00C721AC" w14:paraId="2F0FA3C9"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75044A6E" w14:textId="77777777">
      <w:pPr>
        <w:jc w:val="right"/>
        <w:rPr>
          <w:sz w:val="20"/>
        </w:rPr>
      </w:pPr>
      <w:r>
        <w:rPr>
          <w:sz w:val="20"/>
        </w:rPr>
        <w:t>(continued….)</w:t>
      </w:r>
    </w:p>
  </w:footnote>
  <w:footnote w:id="3">
    <w:p w:rsidR="002C41C4" w:rsidP="002C41C4" w14:paraId="28C4704E" w14:textId="660B13BA">
      <w:pPr>
        <w:pStyle w:val="FootnoteText"/>
      </w:pPr>
      <w:r>
        <w:rPr>
          <w:rStyle w:val="FootnoteReference"/>
        </w:rPr>
        <w:footnoteRef/>
      </w:r>
      <w:r>
        <w:t xml:space="preserve">   </w:t>
      </w:r>
      <w:r w:rsidR="00517A7A">
        <w:t>Alabama Educational Television Commission’s</w:t>
      </w:r>
      <w:r w:rsidR="000B666F">
        <w:t xml:space="preserve"> </w:t>
      </w:r>
      <w:r w:rsidR="00276846">
        <w:t xml:space="preserve">Petition </w:t>
      </w:r>
      <w:r>
        <w:t xml:space="preserve">for Rulemaking (filed </w:t>
      </w:r>
      <w:r w:rsidR="00F3344B">
        <w:t>Oct. 29, 2021</w:t>
      </w:r>
      <w:r w:rsidR="006A5BAA">
        <w:t>) (Petition).  The Petitioner amended the petition shortly thereafter</w:t>
      </w:r>
      <w:r w:rsidR="00604B62">
        <w:t xml:space="preserve"> to </w:t>
      </w:r>
      <w:r w:rsidR="006A5BAA">
        <w:t xml:space="preserve">make a minor </w:t>
      </w:r>
      <w:r w:rsidR="00604B62">
        <w:t xml:space="preserve">update </w:t>
      </w:r>
      <w:r w:rsidR="006A5BAA">
        <w:t xml:space="preserve">to its </w:t>
      </w:r>
      <w:r w:rsidR="00604B62">
        <w:t>technical showing</w:t>
      </w:r>
      <w:r>
        <w:t xml:space="preserve">.  </w:t>
      </w:r>
    </w:p>
  </w:footnote>
  <w:footnote w:id="4">
    <w:p w:rsidR="002C41C4" w:rsidRPr="00560C13" w:rsidP="00FD7B73" w14:paraId="13152D97" w14:textId="5200A295">
      <w:pPr>
        <w:pStyle w:val="FootnoteText"/>
      </w:pPr>
      <w:r>
        <w:rPr>
          <w:rStyle w:val="FootnoteReference"/>
        </w:rPr>
        <w:footnoteRef/>
      </w:r>
      <w:r>
        <w:t xml:space="preserve"> </w:t>
      </w:r>
      <w:r w:rsidR="00104089">
        <w:t xml:space="preserve"> </w:t>
      </w:r>
      <w:r w:rsidRPr="00434B03" w:rsidR="00604B62">
        <w:t xml:space="preserve">The Commission recently released an </w:t>
      </w:r>
      <w:r w:rsidRPr="001A4E0D" w:rsidR="00604B62">
        <w:t>Order</w:t>
      </w:r>
      <w:r w:rsidRPr="00434B03" w:rsidR="00604B62">
        <w:t xml:space="preserve"> adopting a revised Table of Allotments, 47 CFR § 73.622(j), to codify Commission actions taken over the past several years that modified the Post-Transition Table of DTV Allotments, 47 CFR § 73.622(</w:t>
      </w:r>
      <w:r w:rsidRPr="00434B03" w:rsidR="00604B62">
        <w:t>i</w:t>
      </w:r>
      <w:r w:rsidRPr="00434B03" w:rsidR="00604B62">
        <w:t xml:space="preserve">), as it appears in the October 1, 2018 version of the Code of Federal Regulations.  </w:t>
      </w:r>
      <w:r w:rsidRPr="00434B03" w:rsidR="00604B62">
        <w:rPr>
          <w:i/>
          <w:iCs/>
        </w:rPr>
        <w:t>See</w:t>
      </w:r>
      <w:r w:rsidRPr="00434B03" w:rsidR="00604B62">
        <w:t xml:space="preserve"> </w:t>
      </w:r>
      <w:r w:rsidRPr="00434B03" w:rsidR="00604B62">
        <w:rPr>
          <w:i/>
          <w:iCs/>
          <w:spacing w:val="-2"/>
        </w:rPr>
        <w:t>Expanding the Economic and Innovation Opportunities of Spectrum Through Incentive Auction</w:t>
      </w:r>
      <w:r w:rsidRPr="00434B03" w:rsidR="00604B62">
        <w:rPr>
          <w:spacing w:val="-2"/>
        </w:rPr>
        <w:t xml:space="preserve">, Docket No. 12-268, </w:t>
      </w:r>
      <w:r w:rsidR="00604B62">
        <w:rPr>
          <w:spacing w:val="-2"/>
        </w:rPr>
        <w:t xml:space="preserve">Order, </w:t>
      </w:r>
      <w:r w:rsidRPr="00434B03" w:rsidR="00604B62">
        <w:rPr>
          <w:spacing w:val="-2"/>
        </w:rPr>
        <w:t>FCC 21-111</w:t>
      </w:r>
      <w:r w:rsidRPr="00434B03" w:rsidR="00604B62">
        <w:rPr>
          <w:i/>
          <w:iCs/>
          <w:spacing w:val="-2"/>
        </w:rPr>
        <w:t xml:space="preserve"> </w:t>
      </w:r>
      <w:r w:rsidRPr="00434B03" w:rsidR="00604B62">
        <w:rPr>
          <w:spacing w:val="-2"/>
        </w:rPr>
        <w:t xml:space="preserve">(rel. Oct. 25, 2021). </w:t>
      </w:r>
      <w:r w:rsidRPr="00434B03" w:rsidR="00604B62">
        <w:t xml:space="preserve"> These action</w:t>
      </w:r>
      <w:r w:rsidR="00604B62">
        <w:t>s</w:t>
      </w:r>
      <w:r w:rsidRPr="00434B03" w:rsidR="00604B62">
        <w:t xml:space="preserve"> primarily relate</w:t>
      </w:r>
      <w:r w:rsidR="00604B62">
        <w:t>d</w:t>
      </w:r>
      <w:r w:rsidRPr="00434B03" w:rsidR="00604B62">
        <w:t xml:space="preserve"> to the incentive auction and repacking process authorized by the Spectrum Act.  </w:t>
      </w:r>
      <w:r w:rsidRPr="00434B03" w:rsidR="00604B62">
        <w:rPr>
          <w:i/>
          <w:iCs/>
        </w:rPr>
        <w:t>See</w:t>
      </w:r>
      <w:r w:rsidRPr="00434B03" w:rsidR="00604B62">
        <w:t xml:space="preserve"> Middle Class Tax Relief and Job Creation Act of 2012, Pub. L. No. 112-96, §§ 6402 (codified at 47 U.S.C. § 309(j)(8)(G)), 6403 (codified at 47 U.S.C. § 1452), 126 Stat. 156 (2012)</w:t>
      </w:r>
      <w:r w:rsidR="001A7F99">
        <w:t>.</w:t>
      </w:r>
      <w:r w:rsidRPr="00395FEE" w:rsidR="00604B62">
        <w:t xml:space="preserve"> </w:t>
      </w:r>
      <w:r w:rsidR="00604B62">
        <w:t xml:space="preserve"> If the Media Bureau adopts the Petitioner’s allotment proposal, it will amend the recently adopted Table of Allotments.</w:t>
      </w:r>
    </w:p>
  </w:footnote>
  <w:footnote w:id="5">
    <w:p w:rsidR="00745BCF" w14:paraId="6615DA27" w14:textId="3D8F8E15">
      <w:pPr>
        <w:pStyle w:val="FootnoteText"/>
      </w:pPr>
      <w:r>
        <w:rPr>
          <w:rStyle w:val="FootnoteReference"/>
        </w:rPr>
        <w:footnoteRef/>
      </w:r>
      <w:r>
        <w:t xml:space="preserve"> Petition at </w:t>
      </w:r>
      <w:r w:rsidR="00531EB2">
        <w:t>3</w:t>
      </w:r>
      <w:r>
        <w:t>.</w:t>
      </w:r>
    </w:p>
  </w:footnote>
  <w:footnote w:id="6">
    <w:p w:rsidR="00BE7DEE" w14:paraId="01C68991" w14:textId="083229BD">
      <w:pPr>
        <w:pStyle w:val="FootnoteText"/>
      </w:pPr>
      <w:r>
        <w:rPr>
          <w:rStyle w:val="FootnoteReference"/>
        </w:rPr>
        <w:footnoteRef/>
      </w:r>
      <w:r>
        <w:t xml:space="preserve"> Petition at 5, Engineering at </w:t>
      </w:r>
      <w:r w:rsidR="00F82969">
        <w:t>3</w:t>
      </w:r>
      <w:r>
        <w:t>.</w:t>
      </w:r>
    </w:p>
  </w:footnote>
  <w:footnote w:id="7">
    <w:p w:rsidR="00BE7DEE" w14:paraId="470DA510" w14:textId="1A96F469">
      <w:pPr>
        <w:pStyle w:val="FootnoteText"/>
      </w:pPr>
      <w:r>
        <w:rPr>
          <w:rStyle w:val="FootnoteReference"/>
        </w:rPr>
        <w:footnoteRef/>
      </w:r>
      <w:r>
        <w:t xml:space="preserve"> </w:t>
      </w:r>
      <w:r w:rsidRPr="00E964CE" w:rsidR="00E964CE">
        <w:rPr>
          <w:i/>
          <w:iCs/>
        </w:rPr>
        <w:t>Id</w:t>
      </w:r>
      <w:r w:rsidR="00E964CE">
        <w:t>.</w:t>
      </w:r>
    </w:p>
  </w:footnote>
  <w:footnote w:id="8">
    <w:p w:rsidR="007A4250" w14:paraId="0BBC9CCB" w14:textId="6FB27BAE">
      <w:pPr>
        <w:pStyle w:val="FootnoteText"/>
      </w:pPr>
      <w:r>
        <w:rPr>
          <w:rStyle w:val="FootnoteReference"/>
        </w:rPr>
        <w:footnoteRef/>
      </w:r>
      <w:r>
        <w:t xml:space="preserve"> Petition at 3-4, Engineering at </w:t>
      </w:r>
      <w:r>
        <w:t>Exhs</w:t>
      </w:r>
      <w:r>
        <w:t>. 1, 2.</w:t>
      </w:r>
    </w:p>
  </w:footnote>
  <w:footnote w:id="9">
    <w:p w:rsidR="00745BCF" w:rsidP="00745BCF" w14:paraId="02F46486" w14:textId="517D0684">
      <w:pPr>
        <w:pStyle w:val="FootnoteText"/>
      </w:pPr>
      <w:r>
        <w:rPr>
          <w:rStyle w:val="FootnoteReference"/>
        </w:rPr>
        <w:footnoteRef/>
      </w:r>
      <w:r>
        <w:t xml:space="preserve"> </w:t>
      </w:r>
      <w:r w:rsidRPr="00DD68FB">
        <w:t>NCE television stations are identified in the Table by an asterisk to indicate they are reserved for noncommercial educational use.  47 CFR §</w:t>
      </w:r>
      <w:r>
        <w:t xml:space="preserve"> </w:t>
      </w:r>
      <w:r w:rsidRPr="00DD68FB">
        <w:t>73.622(a).</w:t>
      </w:r>
    </w:p>
  </w:footnote>
  <w:footnote w:id="10">
    <w:p w:rsidR="00831CD7" w14:paraId="300CE46A" w14:textId="755C9EB0">
      <w:pPr>
        <w:pStyle w:val="FootnoteText"/>
      </w:pPr>
      <w:r>
        <w:rPr>
          <w:rStyle w:val="FootnoteReference"/>
        </w:rPr>
        <w:footnoteRef/>
      </w:r>
      <w:r>
        <w:t xml:space="preserve"> </w:t>
      </w:r>
      <w:r w:rsidR="005F33E7">
        <w:t xml:space="preserve">Petition at </w:t>
      </w:r>
      <w:r w:rsidR="00BE7DEE">
        <w:t>5</w:t>
      </w:r>
      <w:r w:rsidR="005D19B4">
        <w:t>.</w:t>
      </w:r>
    </w:p>
  </w:footnote>
  <w:footnote w:id="11">
    <w:p w:rsidR="007E3B2F" w:rsidP="007E3B2F" w14:paraId="79A39271" w14:textId="510C765F">
      <w:pPr>
        <w:pStyle w:val="FootnoteText"/>
      </w:pPr>
      <w:r>
        <w:rPr>
          <w:rStyle w:val="FootnoteReference"/>
        </w:rPr>
        <w:footnoteRef/>
      </w:r>
      <w:r>
        <w:t xml:space="preserve"> </w:t>
      </w:r>
      <w:r w:rsidRPr="00581348">
        <w:t xml:space="preserve">The Commission determines a preferential arrangement of </w:t>
      </w:r>
      <w:r w:rsidR="009C1749">
        <w:t xml:space="preserve">television </w:t>
      </w:r>
      <w:r w:rsidRPr="00581348">
        <w:t>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t xml:space="preserve">  </w:t>
      </w:r>
      <w:r>
        <w:rPr>
          <w:i/>
          <w:iCs/>
        </w:rPr>
        <w:t xml:space="preserve">Amendment of Section 3.606 of the Commission’s Rules and Regulations, </w:t>
      </w:r>
      <w:r>
        <w:t>Sixth Report and Order, 41 F.C.C. 148, 167-73 (1952).</w:t>
      </w:r>
    </w:p>
  </w:footnote>
  <w:footnote w:id="12">
    <w:p w:rsidR="00E06190" w14:paraId="1335F463" w14:textId="77777777">
      <w:pPr>
        <w:pStyle w:val="FootnoteText"/>
      </w:pPr>
      <w:r>
        <w:rPr>
          <w:rStyle w:val="FootnoteReference"/>
        </w:rPr>
        <w:footnoteRef/>
      </w:r>
      <w:r>
        <w:t xml:space="preserve"> 47 CFR § 73.623(d).</w:t>
      </w:r>
    </w:p>
  </w:footnote>
  <w:footnote w:id="13">
    <w:p w:rsidR="007828A4" w14:paraId="17ED2CD8" w14:textId="5907D345">
      <w:pPr>
        <w:pStyle w:val="FootnoteText"/>
      </w:pPr>
      <w:r>
        <w:rPr>
          <w:rStyle w:val="FootnoteReference"/>
        </w:rPr>
        <w:footnoteRef/>
      </w:r>
      <w:r>
        <w:t xml:space="preserve"> </w:t>
      </w:r>
      <w:r w:rsidR="002343B9">
        <w:t xml:space="preserve">Engineering </w:t>
      </w:r>
      <w:r>
        <w:t>Exh</w:t>
      </w:r>
      <w:r w:rsidR="002343B9">
        <w:t xml:space="preserve">. at </w:t>
      </w:r>
      <w:r w:rsidR="00E964CE">
        <w:t>2</w:t>
      </w:r>
      <w:r w:rsidR="002343B9">
        <w:t>.</w:t>
      </w:r>
    </w:p>
  </w:footnote>
  <w:footnote w:id="14">
    <w:p w:rsidR="00231873" w14:paraId="00DE1AC3" w14:textId="65DEA9B6">
      <w:pPr>
        <w:pStyle w:val="FootnoteText"/>
      </w:pPr>
      <w:r>
        <w:rPr>
          <w:rStyle w:val="FootnoteReference"/>
        </w:rPr>
        <w:footnoteRef/>
      </w:r>
      <w:r>
        <w:t xml:space="preserve"> </w:t>
      </w:r>
      <w:r w:rsidRPr="00DD68FB" w:rsidR="00360301">
        <w:rPr>
          <w:i/>
          <w:iCs/>
        </w:rPr>
        <w:t>See</w:t>
      </w:r>
      <w:r w:rsidR="00360301">
        <w:t xml:space="preserve"> </w:t>
      </w:r>
      <w:r w:rsidR="00466233">
        <w:t>47 CFR § 73.</w:t>
      </w:r>
      <w:r w:rsidR="00163010">
        <w:t>6</w:t>
      </w:r>
      <w:r w:rsidR="00466233">
        <w:t>25</w:t>
      </w:r>
      <w:r w:rsidR="00163010">
        <w:t>(a)</w:t>
      </w:r>
      <w:r w:rsidR="00466233">
        <w:t>(1).</w:t>
      </w:r>
    </w:p>
  </w:footnote>
  <w:footnote w:id="15">
    <w:p w:rsidR="002C41C4" w:rsidP="002C41C4" w14:paraId="63B55878" w14:textId="446FD317">
      <w:pPr>
        <w:pStyle w:val="FootnoteText"/>
        <w:widowControl w:val="0"/>
      </w:pPr>
      <w:r>
        <w:rPr>
          <w:rStyle w:val="FootnoteReference"/>
        </w:rPr>
        <w:footnoteRef/>
      </w:r>
      <w:r>
        <w:t xml:space="preserve"> 47 CFR § 73.622(</w:t>
      </w:r>
      <w:r w:rsidR="00CA7ED9">
        <w:t>j</w:t>
      </w:r>
      <w:r>
        <w:t>).</w:t>
      </w:r>
    </w:p>
  </w:footnote>
  <w:footnote w:id="16">
    <w:p w:rsidR="002C41C4" w:rsidP="002C41C4" w14:paraId="3F0FE530" w14:textId="708B2DAB">
      <w:pPr>
        <w:pStyle w:val="FootnoteText"/>
      </w:pPr>
      <w:r>
        <w:rPr>
          <w:rStyle w:val="FootnoteReference"/>
        </w:rPr>
        <w:footnoteRef/>
      </w:r>
      <w:r>
        <w:t xml:space="preserve"> </w:t>
      </w:r>
      <w:r>
        <w:rPr>
          <w:i/>
          <w:iCs/>
        </w:rPr>
        <w:t>See, e.g., Buffalo, Iola, Normangee, and Madisonville, Texas</w:t>
      </w:r>
      <w:r>
        <w:t xml:space="preserve">, </w:t>
      </w:r>
      <w:r w:rsidR="009F48EE">
        <w:t xml:space="preserve">MB Docket No. 07-729, </w:t>
      </w:r>
      <w:r>
        <w:t xml:space="preserve">Report and Order, 24 FCC </w:t>
      </w:r>
      <w:r>
        <w:t>Rcd</w:t>
      </w:r>
      <w:r>
        <w:t xml:space="preserve"> 8192, 8194, para. 9 (Aud. Div. 2009).</w:t>
      </w:r>
    </w:p>
  </w:footnote>
  <w:footnote w:id="17">
    <w:p w:rsidR="002C41C4" w:rsidP="002C41C4" w14:paraId="5FD82F76" w14:textId="77777777">
      <w:pPr>
        <w:pStyle w:val="FootnoteText"/>
      </w:pPr>
      <w:r>
        <w:rPr>
          <w:rStyle w:val="FootnoteReference"/>
        </w:rPr>
        <w:footnoteRef/>
      </w:r>
      <w:r>
        <w:t xml:space="preserve"> 47 CFR § 1.420(j).</w:t>
      </w:r>
    </w:p>
  </w:footnote>
  <w:footnote w:id="18">
    <w:p w:rsidR="002C41C4" w:rsidP="002C41C4" w14:paraId="03A1B795" w14:textId="77777777">
      <w:pPr>
        <w:pStyle w:val="FootnoteText"/>
        <w:widowControl w:val="0"/>
      </w:pPr>
      <w:r>
        <w:rPr>
          <w:rStyle w:val="FootnoteReference"/>
        </w:rPr>
        <w:footnoteRef/>
      </w:r>
      <w:r>
        <w:t xml:space="preserve"> 47 CFR §</w:t>
      </w:r>
      <w:r w:rsidR="00F07455">
        <w:t xml:space="preserve"> </w:t>
      </w:r>
      <w:r>
        <w:t>1.420(d).</w:t>
      </w:r>
    </w:p>
  </w:footnote>
  <w:footnote w:id="19">
    <w:p w:rsidR="002C41C4" w:rsidP="002C41C4" w14:paraId="6E0C9050" w14:textId="77777777">
      <w:pPr>
        <w:pStyle w:val="FootnoteText"/>
        <w:widowControl w:val="0"/>
      </w:pPr>
      <w:r>
        <w:rPr>
          <w:rStyle w:val="FootnoteReference"/>
        </w:rPr>
        <w:footnoteRef/>
      </w:r>
      <w:r>
        <w:t xml:space="preserve"> 47 CFR § 1.420(g)(2).</w:t>
      </w:r>
    </w:p>
  </w:footnote>
  <w:footnote w:id="20">
    <w:p w:rsidR="002C41C4" w:rsidP="002C41C4" w14:paraId="73094E50" w14:textId="77777777">
      <w:pPr>
        <w:pStyle w:val="FootnoteText"/>
        <w:widowControl w:val="0"/>
      </w:pPr>
      <w:r>
        <w:rPr>
          <w:rStyle w:val="FootnoteReference"/>
        </w:rPr>
        <w:footnoteRef/>
      </w:r>
      <w:r>
        <w:t xml:space="preserve"> 47 CFR §§ 1.415, 1.419, and 1.420.</w:t>
      </w:r>
    </w:p>
  </w:footnote>
  <w:footnote w:id="21">
    <w:p w:rsidR="002C41C4" w:rsidP="002C41C4" w14:paraId="470E39A4"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22">
    <w:p w:rsidR="002C41C4" w:rsidP="002C41C4" w14:paraId="07C615AF"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Public Notice, 35 FCC Rcd 2788 (2020).</w:t>
      </w:r>
    </w:p>
  </w:footnote>
  <w:footnote w:id="23">
    <w:p w:rsidR="002C41C4" w:rsidP="002C41C4" w14:paraId="553A8A87" w14:textId="77777777">
      <w:pPr>
        <w:pStyle w:val="FootnoteText"/>
        <w:widowControl w:val="0"/>
      </w:pPr>
      <w:r>
        <w:rPr>
          <w:rStyle w:val="FootnoteReference"/>
        </w:rPr>
        <w:footnoteRef/>
      </w:r>
      <w:r>
        <w:t xml:space="preserve"> 47 CFR § 1.420.</w:t>
      </w:r>
    </w:p>
  </w:footnote>
  <w:footnote w:id="24">
    <w:p w:rsidR="002C41C4" w:rsidP="002C41C4" w14:paraId="41E14079" w14:textId="77777777">
      <w:pPr>
        <w:pStyle w:val="FootnoteText"/>
        <w:widowControl w:val="0"/>
      </w:pPr>
      <w:r>
        <w:rPr>
          <w:rStyle w:val="FootnoteReference"/>
        </w:rPr>
        <w:footnoteRef/>
      </w:r>
      <w:r>
        <w:t xml:space="preserve"> </w:t>
      </w:r>
      <w:r>
        <w:rPr>
          <w:i/>
          <w:iCs/>
        </w:rPr>
        <w:t>See</w:t>
      </w:r>
      <w:r>
        <w:t xml:space="preserve"> 47 CFR §</w:t>
      </w:r>
      <w:r w:rsidR="00F07455">
        <w:t xml:space="preserve"> </w:t>
      </w:r>
      <w:r>
        <w:t>1.420(a), (b) and (c).</w:t>
      </w:r>
    </w:p>
  </w:footnote>
  <w:footnote w:id="25">
    <w:p w:rsidR="002C41C4" w:rsidP="002C41C4" w14:paraId="79733D37" w14:textId="77777777">
      <w:pPr>
        <w:pStyle w:val="FootnoteText"/>
        <w:widowControl w:val="0"/>
        <w:rPr>
          <w:i/>
          <w:iCs/>
        </w:rPr>
      </w:pPr>
      <w:r>
        <w:rPr>
          <w:rStyle w:val="FootnoteReference"/>
        </w:rPr>
        <w:footnoteRef/>
      </w:r>
      <w:r>
        <w:t xml:space="preserve"> 47 CFR §§ 1.1200 </w:t>
      </w:r>
      <w:r>
        <w:rPr>
          <w:i/>
          <w:iCs/>
        </w:rPr>
        <w:t>et seq.</w:t>
      </w:r>
    </w:p>
  </w:footnote>
  <w:footnote w:id="26">
    <w:p w:rsidR="002C41C4" w:rsidP="002C41C4" w14:paraId="55007053" w14:textId="77777777">
      <w:pPr>
        <w:pStyle w:val="FootnoteText"/>
        <w:widowControl w:val="0"/>
      </w:pPr>
      <w:r>
        <w:rPr>
          <w:rStyle w:val="FootnoteReference"/>
        </w:rPr>
        <w:footnoteRef/>
      </w:r>
      <w:r>
        <w:t xml:space="preserve"> 47 CFR § 1.1208.</w:t>
      </w:r>
    </w:p>
  </w:footnote>
  <w:footnote w:id="27">
    <w:p w:rsidR="002C41C4" w:rsidP="002C41C4" w14:paraId="0CE1F80C" w14:textId="77777777">
      <w:pPr>
        <w:pStyle w:val="FootnoteText"/>
        <w:widowControl w:val="0"/>
      </w:pPr>
      <w:r>
        <w:rPr>
          <w:rStyle w:val="FootnoteReference"/>
        </w:rPr>
        <w:footnoteRef/>
      </w:r>
      <w:r>
        <w:t xml:space="preserve"> 47 CFR § 1.1204(a)(10).</w:t>
      </w:r>
    </w:p>
  </w:footnote>
  <w:footnote w:id="28">
    <w:p w:rsidR="002C41C4" w:rsidP="002C41C4" w14:paraId="53F59A4F"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ex parte</w:t>
      </w:r>
      <w:r>
        <w:t xml:space="preserve"> presentation, subject to the same service requirement.  47 CFR § 1.1204(a)(11).</w:t>
      </w:r>
    </w:p>
  </w:footnote>
  <w:footnote w:id="29">
    <w:p w:rsidR="002C41C4" w:rsidP="002C41C4" w14:paraId="102D9A26"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30">
    <w:p w:rsidR="002C41C4" w:rsidP="002C41C4" w14:paraId="407F684A" w14:textId="7D40C217">
      <w:pPr>
        <w:pStyle w:val="FootnoteText"/>
        <w:widowControl w:val="0"/>
      </w:pPr>
      <w:r>
        <w:rPr>
          <w:rStyle w:val="FootnoteReference"/>
        </w:rPr>
        <w:footnoteRef/>
      </w:r>
      <w:r>
        <w:t xml:space="preserve"> 47 CFR § 73.622(</w:t>
      </w:r>
      <w:r w:rsidR="00EB6896">
        <w:t>j</w:t>
      </w:r>
      <w:r>
        <w:t>).</w:t>
      </w:r>
    </w:p>
  </w:footnote>
  <w:footnote w:id="31">
    <w:p w:rsidR="002C41C4" w:rsidP="002C41C4" w14:paraId="72D0B978"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32">
    <w:p w:rsidR="002C41C4" w:rsidP="002C41C4" w14:paraId="4C682196"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BE5C8A" w14:textId="13D7D737">
    <w:pPr>
      <w:pStyle w:val="Header"/>
      <w:rPr>
        <w:b w:val="0"/>
      </w:rPr>
    </w:pPr>
    <w:r>
      <w:tab/>
    </w:r>
    <w:r>
      <w:t>Federal Communications Commission</w:t>
    </w:r>
    <w:r>
      <w:tab/>
    </w:r>
    <w:r w:rsidR="00326F5F">
      <w:t>DA 2</w:t>
    </w:r>
    <w:r w:rsidR="00533778">
      <w:t>2</w:t>
    </w:r>
    <w:r w:rsidR="00326F5F">
      <w:t>-</w:t>
    </w:r>
    <w:r w:rsidR="0070328E">
      <w:t>66</w:t>
    </w:r>
  </w:p>
  <w:p w:rsidR="00D25FB5" w14:paraId="57F0E64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FBE60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DD70EA" w14:textId="716386B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326F5F">
      <w:t>DA 2</w:t>
    </w:r>
    <w:r w:rsidR="00533778">
      <w:t>2</w:t>
    </w:r>
    <w:r w:rsidR="00326F5F">
      <w:t>-</w:t>
    </w:r>
    <w:r w:rsidR="0070328E">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36039"/>
    <w:rsid w:val="00037F90"/>
    <w:rsid w:val="000553A7"/>
    <w:rsid w:val="000811BA"/>
    <w:rsid w:val="00087160"/>
    <w:rsid w:val="000875BF"/>
    <w:rsid w:val="00096D8C"/>
    <w:rsid w:val="000B0B10"/>
    <w:rsid w:val="000B666F"/>
    <w:rsid w:val="000C0B65"/>
    <w:rsid w:val="000D0E06"/>
    <w:rsid w:val="000E05FE"/>
    <w:rsid w:val="000E3D42"/>
    <w:rsid w:val="00104089"/>
    <w:rsid w:val="001149E2"/>
    <w:rsid w:val="001205BE"/>
    <w:rsid w:val="00122BD5"/>
    <w:rsid w:val="00133F79"/>
    <w:rsid w:val="0015737E"/>
    <w:rsid w:val="00163010"/>
    <w:rsid w:val="00176C71"/>
    <w:rsid w:val="001820BD"/>
    <w:rsid w:val="00183386"/>
    <w:rsid w:val="00194A66"/>
    <w:rsid w:val="001A4E0D"/>
    <w:rsid w:val="001A7F99"/>
    <w:rsid w:val="001C0D2F"/>
    <w:rsid w:val="001D6BCF"/>
    <w:rsid w:val="001E01CA"/>
    <w:rsid w:val="0021064F"/>
    <w:rsid w:val="00231873"/>
    <w:rsid w:val="002343B9"/>
    <w:rsid w:val="00260A85"/>
    <w:rsid w:val="00270105"/>
    <w:rsid w:val="00275CF5"/>
    <w:rsid w:val="00276846"/>
    <w:rsid w:val="0028301F"/>
    <w:rsid w:val="00285017"/>
    <w:rsid w:val="002A2D2E"/>
    <w:rsid w:val="002B020E"/>
    <w:rsid w:val="002B15EC"/>
    <w:rsid w:val="002C00E8"/>
    <w:rsid w:val="002C0982"/>
    <w:rsid w:val="002C41C4"/>
    <w:rsid w:val="002F7FEC"/>
    <w:rsid w:val="003014A8"/>
    <w:rsid w:val="00326F5F"/>
    <w:rsid w:val="00331344"/>
    <w:rsid w:val="00343749"/>
    <w:rsid w:val="00360301"/>
    <w:rsid w:val="003660ED"/>
    <w:rsid w:val="0039269B"/>
    <w:rsid w:val="00395FEE"/>
    <w:rsid w:val="003A4D31"/>
    <w:rsid w:val="003B0550"/>
    <w:rsid w:val="003B694F"/>
    <w:rsid w:val="003D0AE4"/>
    <w:rsid w:val="003E1763"/>
    <w:rsid w:val="003E6402"/>
    <w:rsid w:val="003F0EC8"/>
    <w:rsid w:val="003F171C"/>
    <w:rsid w:val="003F3BB8"/>
    <w:rsid w:val="00412FC5"/>
    <w:rsid w:val="00422276"/>
    <w:rsid w:val="004242F1"/>
    <w:rsid w:val="00434B03"/>
    <w:rsid w:val="00445A00"/>
    <w:rsid w:val="00447999"/>
    <w:rsid w:val="00451B0F"/>
    <w:rsid w:val="00466233"/>
    <w:rsid w:val="00477CC1"/>
    <w:rsid w:val="004C2EE3"/>
    <w:rsid w:val="004E4A22"/>
    <w:rsid w:val="004E7A57"/>
    <w:rsid w:val="00511968"/>
    <w:rsid w:val="00511DFC"/>
    <w:rsid w:val="00517A7A"/>
    <w:rsid w:val="00531EB2"/>
    <w:rsid w:val="00533778"/>
    <w:rsid w:val="00534867"/>
    <w:rsid w:val="0055614C"/>
    <w:rsid w:val="00560C13"/>
    <w:rsid w:val="00566D06"/>
    <w:rsid w:val="00581348"/>
    <w:rsid w:val="005859AC"/>
    <w:rsid w:val="005B7C2F"/>
    <w:rsid w:val="005C5CF5"/>
    <w:rsid w:val="005D19B4"/>
    <w:rsid w:val="005E14C2"/>
    <w:rsid w:val="005F33E7"/>
    <w:rsid w:val="00604B62"/>
    <w:rsid w:val="00607BA5"/>
    <w:rsid w:val="0061180A"/>
    <w:rsid w:val="00623F40"/>
    <w:rsid w:val="00626EB6"/>
    <w:rsid w:val="00642029"/>
    <w:rsid w:val="00655D03"/>
    <w:rsid w:val="00683388"/>
    <w:rsid w:val="00683F84"/>
    <w:rsid w:val="006A5BAA"/>
    <w:rsid w:val="006A6A81"/>
    <w:rsid w:val="006F5273"/>
    <w:rsid w:val="006F7393"/>
    <w:rsid w:val="0070224F"/>
    <w:rsid w:val="0070328E"/>
    <w:rsid w:val="007115F7"/>
    <w:rsid w:val="007336E4"/>
    <w:rsid w:val="00745BCF"/>
    <w:rsid w:val="007828A4"/>
    <w:rsid w:val="00785689"/>
    <w:rsid w:val="0079754B"/>
    <w:rsid w:val="007A1E6D"/>
    <w:rsid w:val="007A4250"/>
    <w:rsid w:val="007B0EB2"/>
    <w:rsid w:val="007B1B63"/>
    <w:rsid w:val="007E3B2F"/>
    <w:rsid w:val="007F3226"/>
    <w:rsid w:val="007F482F"/>
    <w:rsid w:val="00801F0A"/>
    <w:rsid w:val="00810B6F"/>
    <w:rsid w:val="00822CE0"/>
    <w:rsid w:val="00831CD7"/>
    <w:rsid w:val="00835DEB"/>
    <w:rsid w:val="00841AB1"/>
    <w:rsid w:val="00866815"/>
    <w:rsid w:val="008C68F1"/>
    <w:rsid w:val="008F59E8"/>
    <w:rsid w:val="00903A19"/>
    <w:rsid w:val="00912ECB"/>
    <w:rsid w:val="00921803"/>
    <w:rsid w:val="00926503"/>
    <w:rsid w:val="009726D8"/>
    <w:rsid w:val="00992076"/>
    <w:rsid w:val="009C1749"/>
    <w:rsid w:val="009D1D78"/>
    <w:rsid w:val="009D2B64"/>
    <w:rsid w:val="009D7308"/>
    <w:rsid w:val="009F48EE"/>
    <w:rsid w:val="009F76DB"/>
    <w:rsid w:val="00A15B35"/>
    <w:rsid w:val="00A32C3B"/>
    <w:rsid w:val="00A44247"/>
    <w:rsid w:val="00A45F4F"/>
    <w:rsid w:val="00A600A9"/>
    <w:rsid w:val="00A741BB"/>
    <w:rsid w:val="00A97B35"/>
    <w:rsid w:val="00AA55B7"/>
    <w:rsid w:val="00AA5B9E"/>
    <w:rsid w:val="00AB2407"/>
    <w:rsid w:val="00AB53DF"/>
    <w:rsid w:val="00AD4522"/>
    <w:rsid w:val="00AE0734"/>
    <w:rsid w:val="00B07E5C"/>
    <w:rsid w:val="00B2076A"/>
    <w:rsid w:val="00B66B36"/>
    <w:rsid w:val="00B74B35"/>
    <w:rsid w:val="00B811F7"/>
    <w:rsid w:val="00BA5DC6"/>
    <w:rsid w:val="00BA6196"/>
    <w:rsid w:val="00BC6D8C"/>
    <w:rsid w:val="00BE7DEE"/>
    <w:rsid w:val="00BF1B4B"/>
    <w:rsid w:val="00BF2392"/>
    <w:rsid w:val="00C16C6B"/>
    <w:rsid w:val="00C174DA"/>
    <w:rsid w:val="00C34006"/>
    <w:rsid w:val="00C34BE5"/>
    <w:rsid w:val="00C36B4C"/>
    <w:rsid w:val="00C4053F"/>
    <w:rsid w:val="00C426B1"/>
    <w:rsid w:val="00C5034F"/>
    <w:rsid w:val="00C64AB0"/>
    <w:rsid w:val="00C65232"/>
    <w:rsid w:val="00C66160"/>
    <w:rsid w:val="00C721AC"/>
    <w:rsid w:val="00C90D6A"/>
    <w:rsid w:val="00C97D62"/>
    <w:rsid w:val="00CA247E"/>
    <w:rsid w:val="00CA6D21"/>
    <w:rsid w:val="00CA7ED9"/>
    <w:rsid w:val="00CC3EBF"/>
    <w:rsid w:val="00CC72B6"/>
    <w:rsid w:val="00D0218D"/>
    <w:rsid w:val="00D25FB5"/>
    <w:rsid w:val="00D34F2E"/>
    <w:rsid w:val="00D44223"/>
    <w:rsid w:val="00D67D6C"/>
    <w:rsid w:val="00DA2529"/>
    <w:rsid w:val="00DB130A"/>
    <w:rsid w:val="00DB2EBB"/>
    <w:rsid w:val="00DC10A1"/>
    <w:rsid w:val="00DC655F"/>
    <w:rsid w:val="00DD0B59"/>
    <w:rsid w:val="00DD68FB"/>
    <w:rsid w:val="00DD7EBD"/>
    <w:rsid w:val="00DE47AC"/>
    <w:rsid w:val="00DF62B6"/>
    <w:rsid w:val="00E06190"/>
    <w:rsid w:val="00E07225"/>
    <w:rsid w:val="00E51EEB"/>
    <w:rsid w:val="00E5409F"/>
    <w:rsid w:val="00E964CE"/>
    <w:rsid w:val="00EB6896"/>
    <w:rsid w:val="00EC3D82"/>
    <w:rsid w:val="00EC78E2"/>
    <w:rsid w:val="00EE6488"/>
    <w:rsid w:val="00EF789A"/>
    <w:rsid w:val="00F021FA"/>
    <w:rsid w:val="00F07455"/>
    <w:rsid w:val="00F12658"/>
    <w:rsid w:val="00F26CE2"/>
    <w:rsid w:val="00F3344B"/>
    <w:rsid w:val="00F404CB"/>
    <w:rsid w:val="00F449AF"/>
    <w:rsid w:val="00F5730C"/>
    <w:rsid w:val="00F62E97"/>
    <w:rsid w:val="00F64209"/>
    <w:rsid w:val="00F73A13"/>
    <w:rsid w:val="00F82969"/>
    <w:rsid w:val="00F93BF5"/>
    <w:rsid w:val="00FD2117"/>
    <w:rsid w:val="00FD7B73"/>
    <w:rsid w:val="00FE75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F5F66C"/>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831CD7"/>
    <w:rPr>
      <w:rFonts w:ascii="Segoe UI" w:hAnsi="Segoe UI" w:cs="Segoe UI"/>
      <w:sz w:val="18"/>
      <w:szCs w:val="18"/>
    </w:rPr>
  </w:style>
  <w:style w:type="character" w:customStyle="1" w:styleId="BalloonTextChar">
    <w:name w:val="Balloon Text Char"/>
    <w:basedOn w:val="DefaultParagraphFont"/>
    <w:link w:val="BalloonText"/>
    <w:rsid w:val="00831CD7"/>
    <w:rPr>
      <w:rFonts w:ascii="Segoe UI" w:hAnsi="Segoe UI" w:cs="Segoe UI"/>
      <w:snapToGrid w:val="0"/>
      <w:kern w:val="28"/>
      <w:sz w:val="18"/>
      <w:szCs w:val="18"/>
    </w:rPr>
  </w:style>
  <w:style w:type="paragraph" w:customStyle="1" w:styleId="Default">
    <w:name w:val="Default"/>
    <w:rsid w:val="003E1763"/>
    <w:pPr>
      <w:autoSpaceDE w:val="0"/>
      <w:autoSpaceDN w:val="0"/>
      <w:adjustRightInd w:val="0"/>
    </w:pPr>
    <w:rPr>
      <w:color w:val="000000"/>
      <w:sz w:val="24"/>
      <w:szCs w:val="24"/>
    </w:rPr>
  </w:style>
  <w:style w:type="character" w:styleId="CommentReference">
    <w:name w:val="annotation reference"/>
    <w:basedOn w:val="DefaultParagraphFont"/>
    <w:rsid w:val="00D67D6C"/>
    <w:rPr>
      <w:sz w:val="16"/>
      <w:szCs w:val="16"/>
    </w:rPr>
  </w:style>
  <w:style w:type="paragraph" w:styleId="CommentText">
    <w:name w:val="annotation text"/>
    <w:basedOn w:val="Normal"/>
    <w:link w:val="CommentTextChar"/>
    <w:rsid w:val="00D67D6C"/>
    <w:rPr>
      <w:sz w:val="20"/>
    </w:rPr>
  </w:style>
  <w:style w:type="character" w:customStyle="1" w:styleId="CommentTextChar">
    <w:name w:val="Comment Text Char"/>
    <w:basedOn w:val="DefaultParagraphFont"/>
    <w:link w:val="CommentText"/>
    <w:rsid w:val="00D67D6C"/>
    <w:rPr>
      <w:snapToGrid w:val="0"/>
      <w:kern w:val="28"/>
    </w:rPr>
  </w:style>
  <w:style w:type="paragraph" w:styleId="CommentSubject">
    <w:name w:val="annotation subject"/>
    <w:basedOn w:val="CommentText"/>
    <w:next w:val="CommentText"/>
    <w:link w:val="CommentSubjectChar"/>
    <w:rsid w:val="00D67D6C"/>
    <w:rPr>
      <w:b/>
      <w:bCs/>
    </w:rPr>
  </w:style>
  <w:style w:type="character" w:customStyle="1" w:styleId="CommentSubjectChar">
    <w:name w:val="Comment Subject Char"/>
    <w:basedOn w:val="CommentTextChar"/>
    <w:link w:val="CommentSubject"/>
    <w:rsid w:val="00D67D6C"/>
    <w:rPr>
      <w:b/>
      <w:bCs/>
      <w:snapToGrid w:val="0"/>
      <w:kern w:val="28"/>
    </w:rPr>
  </w:style>
  <w:style w:type="paragraph" w:styleId="Revision">
    <w:name w:val="Revision"/>
    <w:hidden/>
    <w:uiPriority w:val="99"/>
    <w:semiHidden/>
    <w:rsid w:val="00D67D6C"/>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 Char Char Char,Footnote Text Char1 Char Char Char1,Footnote Text Char1 Char1 Char"/>
    <w:rsid w:val="0051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