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41E6" w:rsidRPr="006823C2" w:rsidP="008C41E6" w14:paraId="01B910AD" w14:textId="77777777">
      <w:pPr>
        <w:jc w:val="center"/>
        <w:rPr>
          <w:b/>
          <w:szCs w:val="22"/>
        </w:rPr>
      </w:pPr>
      <w:r w:rsidRPr="006823C2">
        <w:rPr>
          <w:b/>
          <w:szCs w:val="22"/>
        </w:rPr>
        <w:t>Before the</w:t>
      </w:r>
    </w:p>
    <w:p w:rsidR="008C41E6" w:rsidRPr="006823C2" w:rsidP="008C41E6" w14:paraId="33C18082" w14:textId="77777777">
      <w:pPr>
        <w:jc w:val="center"/>
        <w:rPr>
          <w:b/>
          <w:szCs w:val="22"/>
        </w:rPr>
      </w:pPr>
      <w:r w:rsidRPr="006823C2">
        <w:rPr>
          <w:b/>
          <w:szCs w:val="22"/>
        </w:rPr>
        <w:t>Federal Communications Commission</w:t>
      </w:r>
    </w:p>
    <w:p w:rsidR="008C41E6" w:rsidRPr="006823C2" w:rsidP="008C41E6" w14:paraId="216BD5E5" w14:textId="77777777">
      <w:pPr>
        <w:jc w:val="center"/>
        <w:rPr>
          <w:b/>
          <w:szCs w:val="22"/>
        </w:rPr>
      </w:pPr>
      <w:r w:rsidRPr="006823C2">
        <w:rPr>
          <w:b/>
          <w:szCs w:val="22"/>
        </w:rPr>
        <w:t>Washington, D.C. 20554</w:t>
      </w:r>
    </w:p>
    <w:p w:rsidR="008C41E6" w:rsidRPr="006823C2" w:rsidP="008C41E6" w14:paraId="40F9746E" w14:textId="77777777">
      <w:pPr>
        <w:rPr>
          <w:szCs w:val="22"/>
        </w:rPr>
      </w:pPr>
    </w:p>
    <w:p w:rsidR="008C41E6" w:rsidRPr="006823C2" w:rsidP="008C41E6" w14:paraId="3CF46951" w14:textId="77777777">
      <w:pPr>
        <w:rPr>
          <w:szCs w:val="22"/>
        </w:rPr>
      </w:pPr>
    </w:p>
    <w:tbl>
      <w:tblPr>
        <w:tblW w:w="9743" w:type="dxa"/>
        <w:tblInd w:w="-95" w:type="dxa"/>
        <w:tblLayout w:type="fixed"/>
        <w:tblLook w:val="0000"/>
      </w:tblPr>
      <w:tblGrid>
        <w:gridCol w:w="4793"/>
        <w:gridCol w:w="720"/>
        <w:gridCol w:w="4230"/>
      </w:tblGrid>
      <w:tr w14:paraId="5338C360" w14:textId="77777777" w:rsidTr="00D225CB">
        <w:tblPrEx>
          <w:tblW w:w="9743" w:type="dxa"/>
          <w:tblInd w:w="-95" w:type="dxa"/>
          <w:tblLayout w:type="fixed"/>
          <w:tblLook w:val="0000"/>
        </w:tblPrEx>
        <w:tc>
          <w:tcPr>
            <w:tcW w:w="4793" w:type="dxa"/>
          </w:tcPr>
          <w:p w:rsidR="008C41E6" w:rsidRPr="00477E6D" w:rsidP="008C41E6" w14:paraId="07791B9A" w14:textId="77777777">
            <w:pPr>
              <w:ind w:right="-18"/>
              <w:rPr>
                <w:szCs w:val="22"/>
              </w:rPr>
            </w:pPr>
            <w:r w:rsidRPr="00477E6D">
              <w:rPr>
                <w:szCs w:val="22"/>
              </w:rPr>
              <w:t>In the Matter of</w:t>
            </w:r>
          </w:p>
          <w:p w:rsidR="008C41E6" w:rsidRPr="00477E6D" w:rsidP="008C41E6" w14:paraId="4C2487E2" w14:textId="77777777">
            <w:pPr>
              <w:ind w:right="-18"/>
              <w:rPr>
                <w:szCs w:val="22"/>
              </w:rPr>
            </w:pPr>
          </w:p>
          <w:p w:rsidR="008C41E6" w:rsidRPr="00477E6D" w:rsidP="008C41E6" w14:paraId="307DD7FF" w14:textId="77777777">
            <w:pPr>
              <w:ind w:right="-18"/>
              <w:rPr>
                <w:szCs w:val="22"/>
              </w:rPr>
            </w:pPr>
            <w:r w:rsidRPr="00477E6D">
              <w:rPr>
                <w:szCs w:val="22"/>
              </w:rPr>
              <w:t>Telephone Number Portability</w:t>
            </w:r>
          </w:p>
          <w:p w:rsidR="008C41E6" w:rsidRPr="00477E6D" w:rsidP="008C41E6" w14:paraId="66D424E1" w14:textId="77777777">
            <w:pPr>
              <w:ind w:right="-18"/>
              <w:rPr>
                <w:szCs w:val="22"/>
              </w:rPr>
            </w:pPr>
          </w:p>
          <w:p w:rsidR="008C41E6" w:rsidRPr="00477E6D" w:rsidP="008C41E6" w14:paraId="7397C45F" w14:textId="77777777">
            <w:pPr>
              <w:ind w:right="-18"/>
              <w:rPr>
                <w:szCs w:val="22"/>
              </w:rPr>
            </w:pPr>
            <w:r w:rsidRPr="00477E6D">
              <w:rPr>
                <w:szCs w:val="22"/>
              </w:rPr>
              <w:t>Numbering Resource Optimization</w:t>
            </w:r>
          </w:p>
        </w:tc>
        <w:tc>
          <w:tcPr>
            <w:tcW w:w="720" w:type="dxa"/>
          </w:tcPr>
          <w:p w:rsidR="008C41E6" w:rsidRPr="00477E6D" w:rsidP="008C41E6" w14:paraId="20555B49" w14:textId="77777777">
            <w:pPr>
              <w:rPr>
                <w:b/>
                <w:szCs w:val="22"/>
              </w:rPr>
            </w:pPr>
            <w:r w:rsidRPr="00477E6D">
              <w:rPr>
                <w:b/>
                <w:szCs w:val="22"/>
              </w:rPr>
              <w:t>)</w:t>
            </w:r>
          </w:p>
          <w:p w:rsidR="008C41E6" w:rsidRPr="00477E6D" w:rsidP="008C41E6" w14:paraId="059BD338" w14:textId="77777777">
            <w:pPr>
              <w:rPr>
                <w:b/>
                <w:szCs w:val="22"/>
              </w:rPr>
            </w:pPr>
            <w:r w:rsidRPr="00477E6D">
              <w:rPr>
                <w:b/>
                <w:szCs w:val="22"/>
              </w:rPr>
              <w:t>)</w:t>
            </w:r>
          </w:p>
          <w:p w:rsidR="008C41E6" w:rsidRPr="00477E6D" w:rsidP="008C41E6" w14:paraId="4602BAB3" w14:textId="77777777">
            <w:pPr>
              <w:rPr>
                <w:b/>
                <w:szCs w:val="22"/>
              </w:rPr>
            </w:pPr>
            <w:r w:rsidRPr="00477E6D">
              <w:rPr>
                <w:b/>
                <w:szCs w:val="22"/>
              </w:rPr>
              <w:t>)</w:t>
            </w:r>
          </w:p>
          <w:p w:rsidR="008C41E6" w:rsidRPr="00477E6D" w:rsidP="008C41E6" w14:paraId="71C13712" w14:textId="77777777">
            <w:pPr>
              <w:rPr>
                <w:b/>
                <w:szCs w:val="22"/>
              </w:rPr>
            </w:pPr>
            <w:r w:rsidRPr="00477E6D">
              <w:rPr>
                <w:b/>
                <w:szCs w:val="22"/>
              </w:rPr>
              <w:t>)</w:t>
            </w:r>
          </w:p>
          <w:p w:rsidR="008C41E6" w:rsidRPr="00477E6D" w:rsidP="008C41E6" w14:paraId="1C6AA9C6" w14:textId="77777777">
            <w:pPr>
              <w:rPr>
                <w:b/>
                <w:szCs w:val="22"/>
              </w:rPr>
            </w:pPr>
            <w:r w:rsidRPr="00477E6D">
              <w:rPr>
                <w:b/>
                <w:szCs w:val="22"/>
              </w:rPr>
              <w:t>)</w:t>
            </w:r>
          </w:p>
          <w:p w:rsidR="008C41E6" w:rsidRPr="00477E6D" w:rsidP="008C41E6" w14:paraId="42FFCAB3" w14:textId="77777777">
            <w:pPr>
              <w:rPr>
                <w:b/>
                <w:szCs w:val="22"/>
              </w:rPr>
            </w:pPr>
          </w:p>
        </w:tc>
        <w:tc>
          <w:tcPr>
            <w:tcW w:w="4230" w:type="dxa"/>
          </w:tcPr>
          <w:p w:rsidR="008C41E6" w:rsidRPr="00477E6D" w:rsidP="008C41E6" w14:paraId="6A101096" w14:textId="77777777">
            <w:pPr>
              <w:rPr>
                <w:szCs w:val="22"/>
              </w:rPr>
            </w:pPr>
          </w:p>
          <w:p w:rsidR="008C41E6" w:rsidRPr="00477E6D" w:rsidP="008C41E6" w14:paraId="0559495A" w14:textId="77777777">
            <w:pPr>
              <w:rPr>
                <w:szCs w:val="22"/>
              </w:rPr>
            </w:pPr>
          </w:p>
          <w:p w:rsidR="008C41E6" w:rsidRPr="00477E6D" w:rsidP="008C41E6" w14:paraId="4D5FA2AA" w14:textId="77777777">
            <w:pPr>
              <w:rPr>
                <w:szCs w:val="22"/>
              </w:rPr>
            </w:pPr>
            <w:r w:rsidRPr="00477E6D">
              <w:rPr>
                <w:spacing w:val="-2"/>
                <w:szCs w:val="22"/>
              </w:rPr>
              <w:t>CC Docket No. 95-116</w:t>
            </w:r>
          </w:p>
          <w:p w:rsidR="008C41E6" w:rsidRPr="00477E6D" w:rsidP="008C41E6" w14:paraId="68F02A99" w14:textId="77777777">
            <w:pPr>
              <w:rPr>
                <w:szCs w:val="22"/>
              </w:rPr>
            </w:pPr>
          </w:p>
          <w:p w:rsidR="008C41E6" w:rsidRPr="00477E6D" w:rsidP="008C41E6" w14:paraId="609F1D6D" w14:textId="77777777">
            <w:pPr>
              <w:rPr>
                <w:szCs w:val="22"/>
              </w:rPr>
            </w:pPr>
            <w:r w:rsidRPr="00477E6D">
              <w:rPr>
                <w:szCs w:val="22"/>
              </w:rPr>
              <w:t>CC Docket No. 99-200</w:t>
            </w:r>
          </w:p>
        </w:tc>
      </w:tr>
    </w:tbl>
    <w:p w:rsidR="008C41E6" w:rsidRPr="00477E6D" w:rsidP="008C41E6" w14:paraId="3D4070D9" w14:textId="77777777">
      <w:pPr>
        <w:spacing w:before="120"/>
        <w:jc w:val="center"/>
        <w:rPr>
          <w:b/>
          <w:szCs w:val="22"/>
        </w:rPr>
      </w:pPr>
      <w:r w:rsidRPr="00477E6D">
        <w:rPr>
          <w:b/>
          <w:szCs w:val="22"/>
        </w:rPr>
        <w:t>ORDER</w:t>
      </w:r>
    </w:p>
    <w:p w:rsidR="008C41E6" w:rsidRPr="00477E6D" w:rsidP="008C41E6" w14:paraId="6C361364" w14:textId="77777777">
      <w:pPr>
        <w:rPr>
          <w:szCs w:val="22"/>
        </w:rPr>
      </w:pPr>
    </w:p>
    <w:p w:rsidR="008C41E6" w:rsidRPr="00B1761F" w:rsidP="00B1761F" w14:paraId="7192C602" w14:textId="79535658">
      <w:pPr>
        <w:tabs>
          <w:tab w:val="left" w:pos="720"/>
          <w:tab w:val="right" w:pos="9360"/>
        </w:tabs>
        <w:suppressAutoHyphens/>
        <w:spacing w:line="227" w:lineRule="auto"/>
        <w:rPr>
          <w:spacing w:val="-2"/>
        </w:rPr>
      </w:pPr>
      <w:r>
        <w:rPr>
          <w:b/>
          <w:spacing w:val="-2"/>
        </w:rPr>
        <w:t xml:space="preserve">Adopted:  </w:t>
      </w:r>
      <w:r>
        <w:rPr>
          <w:b/>
          <w:spacing w:val="-2"/>
        </w:rPr>
        <w:t xml:space="preserve">June 29, </w:t>
      </w:r>
      <w:r>
        <w:rPr>
          <w:b/>
          <w:spacing w:val="-2"/>
        </w:rPr>
        <w:t>2022</w:t>
      </w:r>
      <w:r>
        <w:rPr>
          <w:b/>
          <w:spacing w:val="-2"/>
        </w:rPr>
        <w:tab/>
        <w:t xml:space="preserve">Released:  </w:t>
      </w:r>
      <w:r>
        <w:rPr>
          <w:b/>
          <w:spacing w:val="-2"/>
        </w:rPr>
        <w:t>June 29, 2022</w:t>
      </w:r>
    </w:p>
    <w:p w:rsidR="008C41E6" w:rsidRPr="00477E6D" w:rsidP="008C41E6" w14:paraId="26C31D1C" w14:textId="77777777">
      <w:pPr>
        <w:tabs>
          <w:tab w:val="left" w:pos="5760"/>
        </w:tabs>
        <w:rPr>
          <w:b/>
          <w:szCs w:val="22"/>
        </w:rPr>
      </w:pPr>
    </w:p>
    <w:p w:rsidR="008C41E6" w:rsidRPr="00477E6D" w:rsidP="008C41E6" w14:paraId="264081AE" w14:textId="77777777">
      <w:pPr>
        <w:tabs>
          <w:tab w:val="left" w:pos="5760"/>
        </w:tabs>
        <w:rPr>
          <w:szCs w:val="22"/>
        </w:rPr>
      </w:pPr>
      <w:r w:rsidRPr="00477E6D">
        <w:rPr>
          <w:szCs w:val="22"/>
        </w:rPr>
        <w:t>By the</w:t>
      </w:r>
      <w:r w:rsidRPr="00477E6D">
        <w:rPr>
          <w:spacing w:val="-2"/>
          <w:szCs w:val="22"/>
        </w:rPr>
        <w:t xml:space="preserve"> Chief, Wireline Competition Bureau:</w:t>
      </w:r>
    </w:p>
    <w:p w:rsidR="008C41E6" w:rsidRPr="00477E6D" w:rsidP="008C41E6" w14:paraId="13BBC721" w14:textId="77777777">
      <w:pPr>
        <w:pStyle w:val="Heading1"/>
        <w:numPr>
          <w:ilvl w:val="0"/>
          <w:numId w:val="0"/>
        </w:numPr>
        <w:rPr>
          <w:szCs w:val="22"/>
        </w:rPr>
      </w:pPr>
    </w:p>
    <w:p w:rsidR="008C41E6" w:rsidRPr="001E7F4D" w:rsidP="00CF359B" w14:paraId="25D30B71" w14:textId="62FCD288">
      <w:pPr>
        <w:pStyle w:val="ParaNum"/>
        <w:widowControl/>
        <w:numPr>
          <w:ilvl w:val="0"/>
          <w:numId w:val="8"/>
        </w:numPr>
        <w:tabs>
          <w:tab w:val="clear" w:pos="990"/>
        </w:tabs>
        <w:spacing w:after="220"/>
        <w:ind w:left="0"/>
      </w:pPr>
      <w:r w:rsidRPr="00477E6D">
        <w:rPr>
          <w:szCs w:val="22"/>
        </w:rPr>
        <w:t xml:space="preserve"> </w:t>
      </w:r>
      <w:r w:rsidRPr="6CEC4F28" w:rsidR="00FC49CD">
        <w:t xml:space="preserve">On </w:t>
      </w:r>
      <w:r w:rsidR="00B6725C">
        <w:t>June 16</w:t>
      </w:r>
      <w:r w:rsidRPr="6CEC4F28" w:rsidR="00FC49CD">
        <w:t xml:space="preserve">, 2022, the Federal Emergency Management Agency (FEMA), Department of Homeland Security, announced that the President had issued a Major Disaster Declaration </w:t>
      </w:r>
      <w:r w:rsidR="00B6725C">
        <w:t>for the State of Montana to supplement state and local recovery efforts in the areas affected by a severe storm and flooding from June 10, 2022 and continuing</w:t>
      </w:r>
      <w:r w:rsidRPr="6CEC4F28" w:rsidR="00FC49CD">
        <w:t>.</w:t>
      </w:r>
      <w:r>
        <w:rPr>
          <w:rStyle w:val="FootnoteReference"/>
        </w:rPr>
        <w:footnoteReference w:id="3"/>
      </w:r>
      <w:r w:rsidRPr="6CEC4F28" w:rsidR="00FC49CD">
        <w:t xml:space="preserve">  </w:t>
      </w:r>
      <w:r w:rsidRPr="6CEC4F28">
        <w:rPr>
          <w:color w:val="000000"/>
        </w:rPr>
        <w:t xml:space="preserve">To assist telephone subscribers in </w:t>
      </w:r>
      <w:r w:rsidR="00821F01">
        <w:rPr>
          <w:color w:val="000000"/>
        </w:rPr>
        <w:t>Montana</w:t>
      </w:r>
      <w:r w:rsidRPr="6CEC4F28">
        <w:rPr>
          <w:color w:val="000000"/>
        </w:rPr>
        <w:t xml:space="preserve">, we </w:t>
      </w:r>
      <w:bookmarkStart w:id="0" w:name="Document1zzSDUNumber2"/>
      <w:bookmarkEnd w:id="0"/>
      <w:r w:rsidRPr="6CEC4F28">
        <w:rPr>
          <w:color w:val="000000"/>
        </w:rPr>
        <w:t>grant, on our own motion, a temporary waiver of the Commission’s telephone number “aging” rule</w:t>
      </w:r>
      <w:r>
        <w:rPr>
          <w:szCs w:val="22"/>
        </w:rPr>
        <w:t>.</w:t>
      </w:r>
      <w:r w:rsidRPr="6CEC4F28">
        <w:rPr>
          <w:color w:val="000000"/>
        </w:rPr>
        <w:t xml:space="preserve">  Specifically, we waive section 52.15(f)(ii), which says that service providers may only age telephone numbers that have been disconnected for up to 90 days before assigning them to other customers.</w:t>
      </w:r>
      <w:r>
        <w:rPr>
          <w:rStyle w:val="FootnoteReference"/>
        </w:rPr>
        <w:footnoteReference w:id="4"/>
      </w:r>
      <w:r w:rsidRPr="6CEC4F28">
        <w:rPr>
          <w:color w:val="000000"/>
        </w:rPr>
        <w:t xml:space="preserve"> </w:t>
      </w:r>
    </w:p>
    <w:p w:rsidR="008C41E6" w:rsidRPr="001E7F4D" w:rsidP="00CF359B" w14:paraId="2C6AA859" w14:textId="1E903141">
      <w:pPr>
        <w:pStyle w:val="ParaNum"/>
        <w:widowControl/>
        <w:numPr>
          <w:ilvl w:val="0"/>
          <w:numId w:val="8"/>
        </w:numPr>
        <w:tabs>
          <w:tab w:val="clear" w:pos="990"/>
        </w:tabs>
        <w:spacing w:after="240"/>
        <w:ind w:left="0"/>
      </w:pPr>
      <w:r w:rsidRPr="6CEC4F28">
        <w:rPr>
          <w:color w:val="000000" w:themeColor="text1"/>
        </w:rPr>
        <w:t xml:space="preserve">We recognize that customers who have been displaced by the </w:t>
      </w:r>
      <w:r w:rsidR="00821F01">
        <w:rPr>
          <w:color w:val="000000" w:themeColor="text1"/>
        </w:rPr>
        <w:t xml:space="preserve">storm and flooding </w:t>
      </w:r>
      <w:r w:rsidRPr="6CEC4F28">
        <w:rPr>
          <w:color w:val="000000" w:themeColor="text1"/>
        </w:rPr>
        <w:t xml:space="preserve">in </w:t>
      </w:r>
      <w:r w:rsidR="00821F01">
        <w:rPr>
          <w:color w:val="000000" w:themeColor="text1"/>
        </w:rPr>
        <w:t xml:space="preserve">Montana </w:t>
      </w:r>
      <w:r w:rsidRPr="6CEC4F28">
        <w:rPr>
          <w:color w:val="000000" w:themeColor="text1"/>
        </w:rPr>
        <w:t xml:space="preserve">may want to discontinue their service temporarily and reinstate it </w:t>
      </w:r>
      <w:r w:rsidRPr="6CEC4F28">
        <w:rPr>
          <w:color w:val="000000" w:themeColor="text1"/>
        </w:rPr>
        <w:t>at a later time</w:t>
      </w:r>
      <w:r w:rsidRPr="6CEC4F28">
        <w:rPr>
          <w:color w:val="000000" w:themeColor="text1"/>
        </w:rPr>
        <w:t xml:space="preserve">.  Due to the catastrophic nature of the damage to telecommunications systems in </w:t>
      </w:r>
      <w:r w:rsidR="00821F01">
        <w:rPr>
          <w:color w:val="000000" w:themeColor="text1"/>
        </w:rPr>
        <w:t>Montana</w:t>
      </w:r>
      <w:r w:rsidRPr="6CEC4F28">
        <w:rPr>
          <w:color w:val="000000" w:themeColor="text1"/>
        </w:rPr>
        <w:t xml:space="preserve">, we expect that in many cases these customers may seek to reinstate their service after the 90-day period has lapsed.  </w:t>
      </w:r>
      <w:r>
        <w:t xml:space="preserve">Assisting </w:t>
      </w:r>
      <w:r w:rsidRPr="6CEC4F28">
        <w:rPr>
          <w:color w:val="000000" w:themeColor="text1"/>
        </w:rPr>
        <w:t xml:space="preserve">residential subscribers who are dealing with the effects of a </w:t>
      </w:r>
      <w:r w:rsidR="00821F01">
        <w:rPr>
          <w:color w:val="000000" w:themeColor="text1"/>
        </w:rPr>
        <w:t>storm and flooding</w:t>
      </w:r>
      <w:r w:rsidRPr="6CEC4F28">
        <w:rPr>
          <w:color w:val="000000" w:themeColor="text1"/>
        </w:rPr>
        <w:t xml:space="preserve"> is in the public interest and thus warrants a temporary waiver of section 52.15(f)(ii) of the Commission’s rules.  Waiver of section 52.15(f)(ii) will allow service providers in the affected areas, upon customers’ request, to disconnect temporarily customers’ telephone service to avoid billing issues, and then reinstate the customers’ same numbers when service is reconnected.  This waiver applies to all companies that provide service in areas of </w:t>
      </w:r>
      <w:r w:rsidR="00821F01">
        <w:rPr>
          <w:color w:val="000000" w:themeColor="text1"/>
        </w:rPr>
        <w:t>Montana</w:t>
      </w:r>
      <w:r w:rsidRPr="6CEC4F28" w:rsidR="293ACCED">
        <w:rPr>
          <w:color w:val="000000" w:themeColor="text1"/>
        </w:rPr>
        <w:t xml:space="preserve"> </w:t>
      </w:r>
      <w:r w:rsidRPr="6CEC4F28">
        <w:rPr>
          <w:color w:val="000000" w:themeColor="text1"/>
        </w:rPr>
        <w:t>covered by the Major Disaster Declaration</w:t>
      </w:r>
      <w:r w:rsidRPr="6CEC4F28" w:rsidR="293ACCED">
        <w:rPr>
          <w:color w:val="000000" w:themeColor="text1"/>
        </w:rPr>
        <w:t>s</w:t>
      </w:r>
      <w:r w:rsidRPr="6CEC4F28">
        <w:rPr>
          <w:color w:val="000000" w:themeColor="text1"/>
        </w:rPr>
        <w:t xml:space="preserve">. </w:t>
      </w:r>
      <w:r w:rsidR="009675D0">
        <w:rPr>
          <w:color w:val="000000" w:themeColor="text1"/>
        </w:rPr>
        <w:t xml:space="preserve"> </w:t>
      </w:r>
      <w:r w:rsidRPr="6CEC4F28">
        <w:rPr>
          <w:color w:val="000000" w:themeColor="text1"/>
        </w:rPr>
        <w:t xml:space="preserve">This waiver is in effect immediately and for a 270-day period, expiring on </w:t>
      </w:r>
      <w:r w:rsidR="00765BA1">
        <w:rPr>
          <w:color w:val="000000" w:themeColor="text1"/>
        </w:rPr>
        <w:t>March 27, 2023</w:t>
      </w:r>
      <w:r w:rsidRPr="6CEC4F28">
        <w:rPr>
          <w:color w:val="000000" w:themeColor="text1"/>
        </w:rPr>
        <w:t xml:space="preserve">. </w:t>
      </w:r>
      <w:r w:rsidR="009675D0">
        <w:rPr>
          <w:color w:val="000000" w:themeColor="text1"/>
        </w:rPr>
        <w:t xml:space="preserve"> </w:t>
      </w:r>
      <w:r w:rsidRPr="6CEC4F28">
        <w:rPr>
          <w:color w:val="000000" w:themeColor="text1"/>
        </w:rPr>
        <w:t>Th</w:t>
      </w:r>
      <w:r w:rsidRPr="6CEC4F28" w:rsidR="293ACCED">
        <w:rPr>
          <w:color w:val="000000" w:themeColor="text1"/>
        </w:rPr>
        <w:t>ese</w:t>
      </w:r>
      <w:r w:rsidRPr="6CEC4F28">
        <w:rPr>
          <w:color w:val="000000" w:themeColor="text1"/>
        </w:rPr>
        <w:t xml:space="preserve"> waiver</w:t>
      </w:r>
      <w:r w:rsidRPr="6CEC4F28" w:rsidR="293ACCED">
        <w:rPr>
          <w:color w:val="000000" w:themeColor="text1"/>
        </w:rPr>
        <w:t>s</w:t>
      </w:r>
      <w:r w:rsidRPr="6CEC4F28">
        <w:rPr>
          <w:color w:val="000000" w:themeColor="text1"/>
        </w:rPr>
        <w:t xml:space="preserve"> of the aging rule will also apply to residential customers in other areas subject to future Major Disaster or Emergency Declarations signed by the President, due to </w:t>
      </w:r>
      <w:r w:rsidR="005F5C34">
        <w:rPr>
          <w:color w:val="000000" w:themeColor="text1"/>
        </w:rPr>
        <w:t xml:space="preserve">storms and flooding </w:t>
      </w:r>
      <w:r w:rsidRPr="6CEC4F28">
        <w:rPr>
          <w:color w:val="000000" w:themeColor="text1"/>
        </w:rPr>
        <w:t xml:space="preserve">during </w:t>
      </w:r>
      <w:r w:rsidRPr="6CEC4F28" w:rsidR="293ACCED">
        <w:rPr>
          <w:color w:val="000000" w:themeColor="text1"/>
        </w:rPr>
        <w:t>2022</w:t>
      </w:r>
      <w:r w:rsidRPr="6CEC4F28">
        <w:rPr>
          <w:color w:val="000000" w:themeColor="text1"/>
        </w:rPr>
        <w:t xml:space="preserve">.  Any future waivers will expire 270 days from the date the President declares a state of emergency or major disaster for affected areas. </w:t>
      </w:r>
      <w:r w:rsidR="009675D0">
        <w:rPr>
          <w:color w:val="000000" w:themeColor="text1"/>
        </w:rPr>
        <w:t xml:space="preserve"> </w:t>
      </w:r>
      <w:r w:rsidRPr="6CEC4F28">
        <w:rPr>
          <w:color w:val="000000" w:themeColor="text1"/>
        </w:rPr>
        <w:t xml:space="preserve">If service providers are unable to resume service on a normal basis after this </w:t>
      </w:r>
      <w:r w:rsidRPr="6CEC4F28">
        <w:rPr>
          <w:color w:val="000000" w:themeColor="text1"/>
        </w:rPr>
        <w:t>time period</w:t>
      </w:r>
      <w:r w:rsidRPr="6CEC4F28">
        <w:rPr>
          <w:color w:val="000000" w:themeColor="text1"/>
        </w:rPr>
        <w:t xml:space="preserve"> has lapsed, they should request additional relief from the Wireline Competition Bureau.</w:t>
      </w:r>
    </w:p>
    <w:p w:rsidR="008C41E6" w:rsidRPr="00184BEB" w:rsidP="00CF359B" w14:paraId="12C91DF3" w14:textId="6C531324">
      <w:pPr>
        <w:pStyle w:val="ParaNum"/>
        <w:widowControl/>
        <w:numPr>
          <w:ilvl w:val="0"/>
          <w:numId w:val="8"/>
        </w:numPr>
        <w:tabs>
          <w:tab w:val="clear" w:pos="990"/>
        </w:tabs>
        <w:spacing w:after="220"/>
        <w:ind w:left="0"/>
      </w:pPr>
      <w:r w:rsidRPr="41153AAD">
        <w:t xml:space="preserve">Also, because of substantial damage to telecommunications systems caused by </w:t>
      </w:r>
      <w:r w:rsidR="005F5C34">
        <w:t>the storm and flooding in Montana</w:t>
      </w:r>
      <w:r w:rsidRPr="00184BEB">
        <w:rPr>
          <w:szCs w:val="22"/>
        </w:rPr>
        <w:t xml:space="preserve">, </w:t>
      </w:r>
      <w:r w:rsidRPr="41153AAD">
        <w:rPr>
          <w:snapToGrid/>
          <w:color w:val="000000"/>
          <w:kern w:val="0"/>
        </w:rPr>
        <w:t xml:space="preserve">we recognize that customers </w:t>
      </w:r>
      <w:r w:rsidRPr="41153AAD">
        <w:rPr>
          <w:snapToGrid/>
          <w:kern w:val="0"/>
        </w:rPr>
        <w:t xml:space="preserve">in the affected areas may wish to port numbers to </w:t>
      </w:r>
      <w:r w:rsidRPr="41153AAD">
        <w:rPr>
          <w:snapToGrid/>
          <w:kern w:val="0"/>
        </w:rPr>
        <w:t xml:space="preserve">locations outside their rate centers.  </w:t>
      </w:r>
      <w:r w:rsidRPr="41153AAD">
        <w:rPr>
          <w:snapToGrid/>
          <w:color w:val="000000"/>
          <w:kern w:val="0"/>
        </w:rPr>
        <w:t xml:space="preserve">To facilitate their customers’ continued access to telecommunications service </w:t>
      </w:r>
      <w:r w:rsidRPr="41153AAD">
        <w:rPr>
          <w:snapToGrid/>
          <w:kern w:val="0"/>
        </w:rPr>
        <w:t xml:space="preserve">following the </w:t>
      </w:r>
      <w:r w:rsidR="00D63ADA">
        <w:rPr>
          <w:snapToGrid/>
          <w:kern w:val="0"/>
        </w:rPr>
        <w:t>flooding</w:t>
      </w:r>
      <w:r w:rsidRPr="41153AAD">
        <w:rPr>
          <w:snapToGrid/>
          <w:kern w:val="0"/>
        </w:rPr>
        <w:t xml:space="preserve">, we encourage </w:t>
      </w:r>
      <w:r w:rsidRPr="41153AAD">
        <w:rPr>
          <w:snapToGrid/>
          <w:color w:val="000000"/>
          <w:kern w:val="0"/>
        </w:rPr>
        <w:t xml:space="preserve">service providers to port telephone numbers geographically outside a rate center to the extent it is technically feasible.  </w:t>
      </w:r>
      <w:r w:rsidRPr="41153AAD">
        <w:rPr>
          <w:snapToGrid/>
          <w:kern w:val="0"/>
        </w:rPr>
        <w:t xml:space="preserve">We also encourage all service providers in the areas affected by the </w:t>
      </w:r>
      <w:r w:rsidR="005F5C34">
        <w:rPr>
          <w:snapToGrid/>
          <w:kern w:val="0"/>
        </w:rPr>
        <w:t>Montana storm and flooding</w:t>
      </w:r>
      <w:r w:rsidRPr="41153AAD">
        <w:rPr>
          <w:snapToGrid/>
          <w:kern w:val="0"/>
        </w:rPr>
        <w:t xml:space="preserve"> and any future </w:t>
      </w:r>
      <w:r w:rsidR="005F5C34">
        <w:rPr>
          <w:snapToGrid/>
          <w:kern w:val="0"/>
        </w:rPr>
        <w:t>such events</w:t>
      </w:r>
      <w:r w:rsidRPr="41153AAD">
        <w:rPr>
          <w:snapToGrid/>
          <w:kern w:val="0"/>
        </w:rPr>
        <w:t xml:space="preserve"> covered under this Order to waive call forwarding, message center, and voicemail service charges for affected customers, to the extent lawfully permitted, until the customers’ service is restored.   </w:t>
      </w:r>
    </w:p>
    <w:p w:rsidR="008C41E6" w:rsidRPr="006823C2" w:rsidP="00CF359B" w14:paraId="488EAEEC" w14:textId="77777777">
      <w:pPr>
        <w:pStyle w:val="ParaNum"/>
        <w:numPr>
          <w:ilvl w:val="0"/>
          <w:numId w:val="8"/>
        </w:numPr>
        <w:tabs>
          <w:tab w:val="clear" w:pos="990"/>
        </w:tabs>
        <w:ind w:left="0"/>
        <w:rPr>
          <w:szCs w:val="22"/>
        </w:rPr>
      </w:pPr>
      <w:r w:rsidRPr="002218A8">
        <w:rPr>
          <w:szCs w:val="22"/>
        </w:rPr>
        <w:t xml:space="preserve">Accordingly, IT IS ORDERED, pursuant to sections 4(i), 251(b)(2), and 251(e) of the Communications Act of 1934, as amended, 47 U.S.C. §§ 154(i), 251(b)(2) and 251(e), and sections 0.291 and 1.3 of the Commission’s rules, 47 CFR §§ 0.291, 1.3, that section 52.15(f)(ii), </w:t>
      </w:r>
      <w:hyperlink r:id="rId5" w:history="1">
        <w:r w:rsidRPr="002218A8">
          <w:rPr>
            <w:szCs w:val="22"/>
          </w:rPr>
          <w:t>47 C.F.R. § 52.15(f)(ii)</w:t>
        </w:r>
      </w:hyperlink>
      <w:r w:rsidRPr="002218A8">
        <w:rPr>
          <w:szCs w:val="22"/>
        </w:rPr>
        <w:t xml:space="preserve">, </w:t>
      </w:r>
      <w:r w:rsidRPr="002218A8">
        <w:rPr>
          <w:color w:val="000000"/>
          <w:szCs w:val="22"/>
        </w:rPr>
        <w:t xml:space="preserve">is waived to the extent herein described herein. </w:t>
      </w:r>
    </w:p>
    <w:p w:rsidR="008C41E6" w:rsidRPr="00184BEB" w:rsidP="008C41E6" w14:paraId="24D95DB1" w14:textId="77777777">
      <w:pPr>
        <w:pStyle w:val="ParaNum"/>
        <w:widowControl/>
        <w:numPr>
          <w:ilvl w:val="0"/>
          <w:numId w:val="0"/>
        </w:numPr>
        <w:tabs>
          <w:tab w:val="left" w:pos="1440"/>
        </w:tabs>
        <w:spacing w:after="240"/>
        <w:ind w:left="630"/>
        <w:rPr>
          <w:szCs w:val="22"/>
        </w:rPr>
      </w:pPr>
    </w:p>
    <w:p w:rsidR="008C41E6" w:rsidRPr="006823C2" w:rsidP="008C41E6" w14:paraId="41EC0D7E"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8C41E6" w:rsidP="008C41E6" w14:paraId="17CE6B79" w14:textId="77777777">
      <w:pPr>
        <w:pStyle w:val="ParaNum"/>
        <w:numPr>
          <w:ilvl w:val="0"/>
          <w:numId w:val="0"/>
        </w:numPr>
        <w:ind w:firstLine="720"/>
        <w:contextualSpacing/>
        <w:rPr>
          <w:szCs w:val="22"/>
        </w:rPr>
      </w:pPr>
    </w:p>
    <w:p w:rsidR="008C41E6" w:rsidP="008C41E6" w14:paraId="64FDCC7C" w14:textId="77777777">
      <w:pPr>
        <w:pStyle w:val="ParaNum"/>
        <w:numPr>
          <w:ilvl w:val="0"/>
          <w:numId w:val="0"/>
        </w:numPr>
        <w:ind w:firstLine="720"/>
        <w:contextualSpacing/>
        <w:rPr>
          <w:szCs w:val="22"/>
        </w:rPr>
      </w:pPr>
    </w:p>
    <w:p w:rsidR="008C41E6" w:rsidRPr="006823C2" w:rsidP="008C41E6" w14:paraId="779A8E7B" w14:textId="77777777">
      <w:pPr>
        <w:pStyle w:val="ParaNum"/>
        <w:numPr>
          <w:ilvl w:val="0"/>
          <w:numId w:val="0"/>
        </w:numPr>
        <w:ind w:firstLine="720"/>
        <w:contextualSpacing/>
        <w:rPr>
          <w:szCs w:val="22"/>
        </w:rPr>
      </w:pPr>
    </w:p>
    <w:p w:rsidR="008C41E6" w:rsidRPr="006823C2" w:rsidP="008C41E6" w14:paraId="7F58F1ED" w14:textId="77777777">
      <w:pPr>
        <w:pStyle w:val="ParaNum"/>
        <w:numPr>
          <w:ilvl w:val="0"/>
          <w:numId w:val="0"/>
        </w:numPr>
        <w:ind w:firstLine="720"/>
        <w:contextualSpacing/>
        <w:rPr>
          <w:szCs w:val="22"/>
        </w:rPr>
      </w:pPr>
    </w:p>
    <w:p w:rsidR="008C41E6" w:rsidRPr="006823C2" w:rsidP="008C41E6" w14:paraId="12460B02" w14:textId="67F1F76D">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r>
      <w:r w:rsidR="001F0DA0">
        <w:rPr>
          <w:szCs w:val="22"/>
        </w:rPr>
        <w:t xml:space="preserve">Trent </w:t>
      </w:r>
      <w:r w:rsidR="00765BA1">
        <w:rPr>
          <w:szCs w:val="22"/>
        </w:rPr>
        <w:t xml:space="preserve">B. </w:t>
      </w:r>
      <w:r w:rsidR="001F0DA0">
        <w:rPr>
          <w:szCs w:val="22"/>
        </w:rPr>
        <w:t>Harkrader</w:t>
      </w:r>
    </w:p>
    <w:p w:rsidR="008C41E6" w:rsidRPr="006823C2" w:rsidP="008C41E6" w14:paraId="24211396"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8C41E6" w:rsidP="008C41E6" w14:paraId="23F91C63" w14:textId="77777777">
      <w:pPr>
        <w:ind w:left="3600" w:firstLine="720"/>
        <w:contextualSpacing/>
        <w:rPr>
          <w:szCs w:val="22"/>
        </w:rPr>
      </w:pPr>
      <w:r w:rsidRPr="006823C2">
        <w:rPr>
          <w:szCs w:val="22"/>
        </w:rPr>
        <w:t>Wireline Competition Bureau</w:t>
      </w:r>
    </w:p>
    <w:p w:rsidR="008C41E6" w:rsidP="008C41E6" w14:paraId="26C2D2F7" w14:textId="77777777">
      <w:pPr>
        <w:ind w:left="3600" w:firstLine="720"/>
        <w:contextualSpacing/>
        <w:rPr>
          <w:szCs w:val="22"/>
        </w:rPr>
      </w:pPr>
    </w:p>
    <w:p w:rsidR="008C41E6" w:rsidRPr="006823C2" w:rsidP="008C41E6" w14:paraId="1B240EC5" w14:textId="77777777">
      <w:pPr>
        <w:ind w:left="3600" w:firstLine="720"/>
        <w:contextualSpacing/>
        <w:rPr>
          <w:szCs w:val="22"/>
        </w:rPr>
      </w:pPr>
    </w:p>
    <w:p w:rsidR="008C41E6" w:rsidP="008C41E6" w14:paraId="51576884" w14:textId="77777777">
      <w:pPr>
        <w:contextualSpacing/>
        <w:rPr>
          <w:szCs w:val="22"/>
        </w:rPr>
      </w:pPr>
    </w:p>
    <w:p w:rsidR="008C41E6" w:rsidRPr="006823C2" w:rsidP="008C41E6" w14:paraId="21517EB3" w14:textId="77777777">
      <w:pPr>
        <w:rPr>
          <w:szCs w:val="22"/>
        </w:rPr>
      </w:pPr>
    </w:p>
    <w:sectPr w:rsidSect="008C41E6">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1E6" w:rsidP="008C41E6" w14:paraId="48BA3C79"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8C41E6" w14:paraId="2BAEC2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1E6" w:rsidP="008C41E6" w14:paraId="6E10E77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C41E6" w14:paraId="198D34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1E6" w14:paraId="00C496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F2D" w14:paraId="28043A64" w14:textId="77777777">
      <w:r>
        <w:separator/>
      </w:r>
    </w:p>
  </w:footnote>
  <w:footnote w:type="continuationSeparator" w:id="1">
    <w:p w:rsidR="00F44F2D" w:rsidP="008C41E6" w14:paraId="62463743" w14:textId="77777777">
      <w:pPr>
        <w:spacing w:before="120"/>
        <w:rPr>
          <w:sz w:val="20"/>
        </w:rPr>
      </w:pPr>
      <w:r>
        <w:rPr>
          <w:sz w:val="20"/>
        </w:rPr>
        <w:t xml:space="preserve">(Continued from previous page)  </w:t>
      </w:r>
      <w:r>
        <w:rPr>
          <w:sz w:val="20"/>
        </w:rPr>
        <w:separator/>
      </w:r>
    </w:p>
  </w:footnote>
  <w:footnote w:type="continuationNotice" w:id="2">
    <w:p w:rsidR="00F44F2D" w:rsidP="008C41E6" w14:paraId="63E9D77F" w14:textId="77777777">
      <w:pPr>
        <w:jc w:val="right"/>
        <w:rPr>
          <w:sz w:val="20"/>
        </w:rPr>
      </w:pPr>
      <w:r>
        <w:rPr>
          <w:sz w:val="20"/>
        </w:rPr>
        <w:t>(</w:t>
      </w:r>
      <w:r>
        <w:rPr>
          <w:sz w:val="20"/>
        </w:rPr>
        <w:t>continued</w:t>
      </w:r>
      <w:r>
        <w:rPr>
          <w:sz w:val="20"/>
        </w:rPr>
        <w:t>….)</w:t>
      </w:r>
    </w:p>
  </w:footnote>
  <w:footnote w:id="3">
    <w:p w:rsidR="00B6725C" w14:paraId="071AC547" w14:textId="3235BF23">
      <w:pPr>
        <w:pStyle w:val="FootnoteText"/>
      </w:pPr>
      <w:r>
        <w:rPr>
          <w:rStyle w:val="FootnoteReference"/>
        </w:rPr>
        <w:footnoteRef/>
      </w:r>
      <w:r>
        <w:t xml:space="preserve"> FEMA, President Joseph R. Biden, Jr. Approves Major Disaster Declaration for </w:t>
      </w:r>
      <w:r>
        <w:t>Montana</w:t>
      </w:r>
      <w:r>
        <w:t xml:space="preserve"> (</w:t>
      </w:r>
      <w:r>
        <w:t>June 16</w:t>
      </w:r>
      <w:r>
        <w:t xml:space="preserve">, 2022), </w:t>
      </w:r>
      <w:hyperlink r:id="rId1" w:history="1">
        <w:r w:rsidRPr="00DB52EE">
          <w:rPr>
            <w:rStyle w:val="Hyperlink"/>
          </w:rPr>
          <w:t>https://www.fema.gov/press-release/20220616/president-joseph-r-biden-jr-approves-major-disaster-declaration-montana</w:t>
        </w:r>
      </w:hyperlink>
      <w:r>
        <w:t>.</w:t>
      </w:r>
    </w:p>
  </w:footnote>
  <w:footnote w:id="4">
    <w:p w:rsidR="008C41E6" w:rsidRPr="00261975" w:rsidP="008C41E6" w14:paraId="4A7DDC34" w14:textId="0051B570">
      <w:pPr>
        <w:pStyle w:val="FootnoteText"/>
      </w:pPr>
      <w:r>
        <w:rPr>
          <w:rStyle w:val="FootnoteReference"/>
        </w:rPr>
        <w:footnoteRef/>
      </w:r>
      <w:r w:rsidR="6CEC4F28">
        <w:t xml:space="preserve"> </w:t>
      </w:r>
      <w:hyperlink r:id="rId2" w:history="1">
        <w:r w:rsidRPr="00B9791D" w:rsidR="6CEC4F28">
          <w:t>47 CFR § 52.15(f)(ii)</w:t>
        </w:r>
      </w:hyperlink>
      <w:r w:rsidR="6CEC4F28">
        <w:t xml:space="preserve"> (“</w:t>
      </w:r>
      <w:r w:rsidRPr="00412685" w:rsidR="6CEC4F28">
        <w:t xml:space="preserve">Aging numbers are disconnected numbers that are not available for assignment to another end user or customer for a specified </w:t>
      </w:r>
      <w:r w:rsidRPr="00412685" w:rsidR="6CEC4F28">
        <w:t>period of time</w:t>
      </w:r>
      <w:r w:rsidRPr="00412685" w:rsidR="6CEC4F28">
        <w:t xml:space="preserve">. </w:t>
      </w:r>
      <w:r w:rsidR="6CEC4F28">
        <w:t xml:space="preserve"> </w:t>
      </w:r>
      <w:r w:rsidRPr="00412685" w:rsidR="6CEC4F28">
        <w:t>Number</w:t>
      </w:r>
      <w:r w:rsidR="6CEC4F28">
        <w:t>s</w:t>
      </w:r>
      <w:r w:rsidRPr="00412685" w:rsidR="6CEC4F28">
        <w:t xml:space="preserve"> previously assigned to residential customers may be aged for no more than 90 days.</w:t>
      </w:r>
      <w:r w:rsidR="6CEC4F28">
        <w:t>”)</w:t>
      </w:r>
      <w:r w:rsidR="007924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1E6" w:rsidRPr="002D484A" w:rsidP="008C41E6" w14:paraId="21CB6AF4" w14:textId="3121C877">
    <w:pPr>
      <w:pStyle w:val="Header"/>
    </w:pPr>
    <w:r>
      <w:tab/>
      <w:t>Federal Communications Commission</w:t>
    </w:r>
    <w:r>
      <w:tab/>
      <w:t>DA</w:t>
    </w:r>
    <w:r w:rsidR="00C27852">
      <w:t xml:space="preserve"> 22-687</w:t>
    </w:r>
    <w:r>
      <w:t xml:space="preserve"> </w:t>
    </w:r>
  </w:p>
  <w:p w:rsidR="008C41E6" w14:paraId="13D2D8B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C41E6" w14:paraId="1AD01E8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1E6" w:rsidP="008C41E6" w14:paraId="0662F73B" w14:textId="5BC5DDB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7BB37D75">
      <w:t>Federal Communications Commission</w:t>
    </w:r>
    <w:r>
      <w:tab/>
    </w:r>
    <w:r w:rsidR="7BB37D75">
      <w:rPr>
        <w:spacing w:val="-2"/>
      </w:rPr>
      <w:t>DA 22-</w:t>
    </w:r>
    <w:r w:rsidR="00C27852">
      <w:rPr>
        <w:spacing w:val="-2"/>
      </w:rPr>
      <w:t>687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B5236"/>
    <w:multiLevelType w:val="singleLevel"/>
    <w:tmpl w:val="D65ADCE6"/>
    <w:lvl w:ilvl="0">
      <w:start w:val="1"/>
      <w:numFmt w:val="decimal"/>
      <w:lvlText w:val="%1."/>
      <w:lvlJc w:val="left"/>
      <w:pPr>
        <w:tabs>
          <w:tab w:val="num" w:pos="1170"/>
        </w:tabs>
        <w:ind w:left="90" w:firstLine="720"/>
      </w:pPr>
      <w:rPr>
        <w:rFonts w:ascii="Times New Roman" w:hAnsi="Times New Roman" w:hint="default"/>
        <w:b w:val="0"/>
        <w:i w:val="0"/>
        <w:sz w:val="22"/>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13"/>
    <w:rsid w:val="000128C1"/>
    <w:rsid w:val="00072457"/>
    <w:rsid w:val="00184BEB"/>
    <w:rsid w:val="00191408"/>
    <w:rsid w:val="0019766E"/>
    <w:rsid w:val="0019791C"/>
    <w:rsid w:val="001A2393"/>
    <w:rsid w:val="001B3E65"/>
    <w:rsid w:val="001E2648"/>
    <w:rsid w:val="001E7F4D"/>
    <w:rsid w:val="001F0DA0"/>
    <w:rsid w:val="0022054C"/>
    <w:rsid w:val="002218A8"/>
    <w:rsid w:val="002278C7"/>
    <w:rsid w:val="00253B0D"/>
    <w:rsid w:val="002576D3"/>
    <w:rsid w:val="00261975"/>
    <w:rsid w:val="002A5A2C"/>
    <w:rsid w:val="002B68B3"/>
    <w:rsid w:val="002C25EA"/>
    <w:rsid w:val="002C33DF"/>
    <w:rsid w:val="002D40AD"/>
    <w:rsid w:val="002D484A"/>
    <w:rsid w:val="003451C5"/>
    <w:rsid w:val="00350494"/>
    <w:rsid w:val="00352EC0"/>
    <w:rsid w:val="00363DAD"/>
    <w:rsid w:val="00381045"/>
    <w:rsid w:val="003C2697"/>
    <w:rsid w:val="003E2143"/>
    <w:rsid w:val="003F7B60"/>
    <w:rsid w:val="00412685"/>
    <w:rsid w:val="004214C1"/>
    <w:rsid w:val="0043353E"/>
    <w:rsid w:val="00433651"/>
    <w:rsid w:val="004340DB"/>
    <w:rsid w:val="00453D98"/>
    <w:rsid w:val="00465462"/>
    <w:rsid w:val="004724A6"/>
    <w:rsid w:val="00477E6D"/>
    <w:rsid w:val="004861E5"/>
    <w:rsid w:val="004B04B0"/>
    <w:rsid w:val="004D5FDB"/>
    <w:rsid w:val="00515EEC"/>
    <w:rsid w:val="0055217B"/>
    <w:rsid w:val="00567489"/>
    <w:rsid w:val="005B1E0B"/>
    <w:rsid w:val="005F29E8"/>
    <w:rsid w:val="005F5C34"/>
    <w:rsid w:val="00636D74"/>
    <w:rsid w:val="00651A14"/>
    <w:rsid w:val="00655DE4"/>
    <w:rsid w:val="00672938"/>
    <w:rsid w:val="00680713"/>
    <w:rsid w:val="006823C2"/>
    <w:rsid w:val="00682FF8"/>
    <w:rsid w:val="006955D2"/>
    <w:rsid w:val="00705829"/>
    <w:rsid w:val="00765BA1"/>
    <w:rsid w:val="007924AD"/>
    <w:rsid w:val="007B0505"/>
    <w:rsid w:val="007C6EBC"/>
    <w:rsid w:val="007E0BBB"/>
    <w:rsid w:val="00821F01"/>
    <w:rsid w:val="008244C7"/>
    <w:rsid w:val="00835858"/>
    <w:rsid w:val="00852063"/>
    <w:rsid w:val="008A52E5"/>
    <w:rsid w:val="008B1005"/>
    <w:rsid w:val="008B1982"/>
    <w:rsid w:val="008C41E6"/>
    <w:rsid w:val="008E1697"/>
    <w:rsid w:val="00910AAF"/>
    <w:rsid w:val="009330B0"/>
    <w:rsid w:val="00955753"/>
    <w:rsid w:val="009675D0"/>
    <w:rsid w:val="00986EE0"/>
    <w:rsid w:val="009F07E3"/>
    <w:rsid w:val="00A96EE2"/>
    <w:rsid w:val="00AE3F46"/>
    <w:rsid w:val="00B142A1"/>
    <w:rsid w:val="00B1761F"/>
    <w:rsid w:val="00B26EAD"/>
    <w:rsid w:val="00B32A3E"/>
    <w:rsid w:val="00B33E0B"/>
    <w:rsid w:val="00B53E5C"/>
    <w:rsid w:val="00B6725C"/>
    <w:rsid w:val="00B9791D"/>
    <w:rsid w:val="00BD73DA"/>
    <w:rsid w:val="00C27852"/>
    <w:rsid w:val="00C3407D"/>
    <w:rsid w:val="00C87D59"/>
    <w:rsid w:val="00CB062F"/>
    <w:rsid w:val="00CC01FD"/>
    <w:rsid w:val="00CD653A"/>
    <w:rsid w:val="00CF359B"/>
    <w:rsid w:val="00D04FC9"/>
    <w:rsid w:val="00D225CB"/>
    <w:rsid w:val="00D2681D"/>
    <w:rsid w:val="00D63ADA"/>
    <w:rsid w:val="00DB52EE"/>
    <w:rsid w:val="00DC2216"/>
    <w:rsid w:val="00DD7BFB"/>
    <w:rsid w:val="00DF6F47"/>
    <w:rsid w:val="00DF77C4"/>
    <w:rsid w:val="00E11343"/>
    <w:rsid w:val="00E129F0"/>
    <w:rsid w:val="00E210A3"/>
    <w:rsid w:val="00E43819"/>
    <w:rsid w:val="00E92101"/>
    <w:rsid w:val="00EF246A"/>
    <w:rsid w:val="00F17B13"/>
    <w:rsid w:val="00F4062C"/>
    <w:rsid w:val="00F44F2D"/>
    <w:rsid w:val="00F47450"/>
    <w:rsid w:val="00F65305"/>
    <w:rsid w:val="00F96C40"/>
    <w:rsid w:val="00FC49CD"/>
    <w:rsid w:val="00FE30C3"/>
    <w:rsid w:val="00FE4968"/>
    <w:rsid w:val="0140F14D"/>
    <w:rsid w:val="07A16D4F"/>
    <w:rsid w:val="0EA32C47"/>
    <w:rsid w:val="11F570C0"/>
    <w:rsid w:val="13A48C73"/>
    <w:rsid w:val="24E415F3"/>
    <w:rsid w:val="293ACCED"/>
    <w:rsid w:val="2B896987"/>
    <w:rsid w:val="2C0EE6F6"/>
    <w:rsid w:val="37DCB490"/>
    <w:rsid w:val="3948A8B4"/>
    <w:rsid w:val="41153AAD"/>
    <w:rsid w:val="41872F1E"/>
    <w:rsid w:val="44794179"/>
    <w:rsid w:val="4BDD74E0"/>
    <w:rsid w:val="4F147E2A"/>
    <w:rsid w:val="50646730"/>
    <w:rsid w:val="506DB57C"/>
    <w:rsid w:val="6A1DCE08"/>
    <w:rsid w:val="6CEC4F28"/>
    <w:rsid w:val="763DBE81"/>
    <w:rsid w:val="7BB37D75"/>
    <w:rsid w:val="7FAEE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76C7FC"/>
  <w15:docId w15:val="{51B562F1-6324-4F59-825C-95E6D9AA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567489"/>
    <w:pPr>
      <w:widowControl w:val="0"/>
    </w:pPr>
    <w:rPr>
      <w:snapToGrid w:val="0"/>
      <w:kern w:val="28"/>
      <w:sz w:val="22"/>
    </w:rPr>
  </w:style>
  <w:style w:type="paragraph" w:styleId="Heading1">
    <w:name w:val="heading 1"/>
    <w:basedOn w:val="Normal"/>
    <w:next w:val="ParaNum"/>
    <w:qFormat/>
    <w:rsid w:val="005674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67489"/>
    <w:pPr>
      <w:keepNext/>
      <w:numPr>
        <w:ilvl w:val="1"/>
        <w:numId w:val="3"/>
      </w:numPr>
      <w:spacing w:after="120"/>
      <w:outlineLvl w:val="1"/>
    </w:pPr>
    <w:rPr>
      <w:b/>
    </w:rPr>
  </w:style>
  <w:style w:type="paragraph" w:styleId="Heading3">
    <w:name w:val="heading 3"/>
    <w:basedOn w:val="Normal"/>
    <w:next w:val="ParaNum"/>
    <w:qFormat/>
    <w:rsid w:val="00567489"/>
    <w:pPr>
      <w:keepNext/>
      <w:numPr>
        <w:ilvl w:val="2"/>
        <w:numId w:val="3"/>
      </w:numPr>
      <w:tabs>
        <w:tab w:val="left" w:pos="2160"/>
      </w:tabs>
      <w:spacing w:after="120"/>
      <w:outlineLvl w:val="2"/>
    </w:pPr>
    <w:rPr>
      <w:b/>
    </w:rPr>
  </w:style>
  <w:style w:type="paragraph" w:styleId="Heading4">
    <w:name w:val="heading 4"/>
    <w:basedOn w:val="Normal"/>
    <w:next w:val="ParaNum"/>
    <w:qFormat/>
    <w:rsid w:val="00567489"/>
    <w:pPr>
      <w:keepNext/>
      <w:numPr>
        <w:ilvl w:val="3"/>
        <w:numId w:val="3"/>
      </w:numPr>
      <w:tabs>
        <w:tab w:val="left" w:pos="2880"/>
      </w:tabs>
      <w:spacing w:after="120"/>
      <w:outlineLvl w:val="3"/>
    </w:pPr>
    <w:rPr>
      <w:b/>
    </w:rPr>
  </w:style>
  <w:style w:type="paragraph" w:styleId="Heading5">
    <w:name w:val="heading 5"/>
    <w:basedOn w:val="Normal"/>
    <w:next w:val="ParaNum"/>
    <w:qFormat/>
    <w:rsid w:val="005674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67489"/>
    <w:pPr>
      <w:numPr>
        <w:ilvl w:val="5"/>
        <w:numId w:val="3"/>
      </w:numPr>
      <w:tabs>
        <w:tab w:val="left" w:pos="4320"/>
      </w:tabs>
      <w:spacing w:after="120"/>
      <w:outlineLvl w:val="5"/>
    </w:pPr>
    <w:rPr>
      <w:b/>
    </w:rPr>
  </w:style>
  <w:style w:type="paragraph" w:styleId="Heading7">
    <w:name w:val="heading 7"/>
    <w:basedOn w:val="Normal"/>
    <w:next w:val="ParaNum"/>
    <w:qFormat/>
    <w:rsid w:val="005674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674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674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67489"/>
    <w:pPr>
      <w:numPr>
        <w:numId w:val="2"/>
      </w:numPr>
      <w:tabs>
        <w:tab w:val="clear" w:pos="1080"/>
        <w:tab w:val="num" w:pos="1440"/>
      </w:tabs>
      <w:spacing w:after="120"/>
    </w:pPr>
  </w:style>
  <w:style w:type="paragraph" w:styleId="EndnoteText">
    <w:name w:val="endnote text"/>
    <w:basedOn w:val="Normal"/>
    <w:semiHidden/>
    <w:rsid w:val="00567489"/>
    <w:rPr>
      <w:sz w:val="20"/>
    </w:rPr>
  </w:style>
  <w:style w:type="character" w:styleId="EndnoteReference">
    <w:name w:val="endnote reference"/>
    <w:semiHidden/>
    <w:rsid w:val="00567489"/>
    <w:rPr>
      <w:vertAlign w:val="superscript"/>
    </w:rPr>
  </w:style>
  <w:style w:type="paragraph" w:styleId="FootnoteText">
    <w:name w:val="footnote text"/>
    <w:link w:val="FootnoteTextChar"/>
    <w:rsid w:val="00567489"/>
    <w:pPr>
      <w:spacing w:after="120"/>
    </w:pPr>
  </w:style>
  <w:style w:type="character" w:styleId="FootnoteReference">
    <w:name w:val="footnote reference"/>
    <w:rsid w:val="00567489"/>
    <w:rPr>
      <w:rFonts w:ascii="Times New Roman" w:hAnsi="Times New Roman"/>
      <w:dstrike w:val="0"/>
      <w:color w:val="auto"/>
      <w:sz w:val="20"/>
      <w:vertAlign w:val="superscript"/>
    </w:rPr>
  </w:style>
  <w:style w:type="paragraph" w:styleId="TOC1">
    <w:name w:val="toc 1"/>
    <w:basedOn w:val="Normal"/>
    <w:next w:val="Normal"/>
    <w:semiHidden/>
    <w:rsid w:val="005674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67489"/>
    <w:pPr>
      <w:tabs>
        <w:tab w:val="left" w:pos="720"/>
        <w:tab w:val="right" w:leader="dot" w:pos="9360"/>
      </w:tabs>
      <w:suppressAutoHyphens/>
      <w:ind w:left="720" w:right="720" w:hanging="360"/>
    </w:pPr>
    <w:rPr>
      <w:noProof/>
    </w:rPr>
  </w:style>
  <w:style w:type="paragraph" w:styleId="TOC3">
    <w:name w:val="toc 3"/>
    <w:basedOn w:val="Normal"/>
    <w:next w:val="Normal"/>
    <w:semiHidden/>
    <w:rsid w:val="005674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74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74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74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74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74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74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7489"/>
    <w:pPr>
      <w:tabs>
        <w:tab w:val="right" w:pos="9360"/>
      </w:tabs>
      <w:suppressAutoHyphens/>
    </w:pPr>
  </w:style>
  <w:style w:type="character" w:customStyle="1" w:styleId="EquationCaption">
    <w:name w:val="_Equation Caption"/>
    <w:rsid w:val="00567489"/>
  </w:style>
  <w:style w:type="paragraph" w:styleId="Header">
    <w:name w:val="header"/>
    <w:basedOn w:val="Normal"/>
    <w:autoRedefine/>
    <w:rsid w:val="00567489"/>
    <w:pPr>
      <w:tabs>
        <w:tab w:val="center" w:pos="4680"/>
        <w:tab w:val="right" w:pos="9360"/>
      </w:tabs>
    </w:pPr>
    <w:rPr>
      <w:b/>
    </w:rPr>
  </w:style>
  <w:style w:type="paragraph" w:styleId="Footer">
    <w:name w:val="footer"/>
    <w:basedOn w:val="Normal"/>
    <w:link w:val="FooterChar"/>
    <w:uiPriority w:val="99"/>
    <w:rsid w:val="00567489"/>
    <w:pPr>
      <w:tabs>
        <w:tab w:val="center" w:pos="4320"/>
        <w:tab w:val="right" w:pos="8640"/>
      </w:tabs>
    </w:pPr>
  </w:style>
  <w:style w:type="character" w:styleId="PageNumber">
    <w:name w:val="page number"/>
    <w:basedOn w:val="DefaultParagraphFont"/>
    <w:rsid w:val="00567489"/>
  </w:style>
  <w:style w:type="paragraph" w:styleId="BlockText">
    <w:name w:val="Block Text"/>
    <w:basedOn w:val="Normal"/>
    <w:rsid w:val="00567489"/>
    <w:pPr>
      <w:spacing w:after="240"/>
      <w:ind w:left="1440" w:right="1440"/>
    </w:pPr>
  </w:style>
  <w:style w:type="paragraph" w:customStyle="1" w:styleId="Paratitle">
    <w:name w:val="Para title"/>
    <w:basedOn w:val="Normal"/>
    <w:rsid w:val="00567489"/>
    <w:pPr>
      <w:tabs>
        <w:tab w:val="center" w:pos="9270"/>
      </w:tabs>
      <w:spacing w:after="240"/>
    </w:pPr>
    <w:rPr>
      <w:spacing w:val="-2"/>
    </w:rPr>
  </w:style>
  <w:style w:type="paragraph" w:customStyle="1" w:styleId="Bullet">
    <w:name w:val="Bullet"/>
    <w:basedOn w:val="Normal"/>
    <w:rsid w:val="00567489"/>
    <w:pPr>
      <w:tabs>
        <w:tab w:val="left" w:pos="2160"/>
      </w:tabs>
      <w:spacing w:after="220"/>
      <w:ind w:left="2160" w:hanging="720"/>
    </w:pPr>
  </w:style>
  <w:style w:type="paragraph" w:customStyle="1" w:styleId="TableFormat">
    <w:name w:val="TableFormat"/>
    <w:basedOn w:val="Bullet"/>
    <w:rsid w:val="00567489"/>
    <w:pPr>
      <w:tabs>
        <w:tab w:val="clear" w:pos="2160"/>
        <w:tab w:val="left" w:pos="5040"/>
      </w:tabs>
      <w:ind w:left="5040" w:hanging="3600"/>
    </w:pPr>
  </w:style>
  <w:style w:type="paragraph" w:customStyle="1" w:styleId="TOCTitle">
    <w:name w:val="TOC Title"/>
    <w:basedOn w:val="Normal"/>
    <w:rsid w:val="005674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7489"/>
    <w:pPr>
      <w:jc w:val="center"/>
    </w:pPr>
    <w:rPr>
      <w:rFonts w:ascii="Times New Roman Bold" w:hAnsi="Times New Roman Bold"/>
      <w:b/>
      <w:bCs/>
      <w:caps/>
      <w:szCs w:val="22"/>
    </w:rPr>
  </w:style>
  <w:style w:type="character" w:styleId="Hyperlink">
    <w:name w:val="Hyperlink"/>
    <w:rsid w:val="00567489"/>
    <w:rPr>
      <w:color w:val="0000FF"/>
      <w:u w:val="single"/>
    </w:rPr>
  </w:style>
  <w:style w:type="character" w:customStyle="1" w:styleId="Mention1">
    <w:name w:val="Mention1"/>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paragraph" w:styleId="BalloonText">
    <w:name w:val="Balloon Text"/>
    <w:basedOn w:val="Normal"/>
    <w:link w:val="BalloonTextChar"/>
    <w:rsid w:val="00B1495D"/>
    <w:rPr>
      <w:rFonts w:ascii="Segoe UI" w:hAnsi="Segoe UI" w:cs="Segoe UI"/>
      <w:sz w:val="18"/>
      <w:szCs w:val="18"/>
    </w:rPr>
  </w:style>
  <w:style w:type="character" w:customStyle="1" w:styleId="BalloonTextChar">
    <w:name w:val="Balloon Text Char"/>
    <w:link w:val="BalloonText"/>
    <w:rsid w:val="00B1495D"/>
    <w:rPr>
      <w:rFonts w:ascii="Segoe UI" w:hAnsi="Segoe UI" w:cs="Segoe UI"/>
      <w:snapToGrid w:val="0"/>
      <w:kern w:val="28"/>
      <w:sz w:val="18"/>
      <w:szCs w:val="18"/>
    </w:rPr>
  </w:style>
  <w:style w:type="character" w:customStyle="1" w:styleId="Mention2">
    <w:name w:val="Mention2"/>
    <w:uiPriority w:val="99"/>
    <w:semiHidden/>
    <w:unhideWhenUsed/>
    <w:rsid w:val="00B1495D"/>
    <w:rPr>
      <w:color w:val="2B579A"/>
      <w:shd w:val="clear" w:color="auto" w:fill="E6E6E6"/>
    </w:rPr>
  </w:style>
  <w:style w:type="paragraph" w:styleId="Revision">
    <w:name w:val="Revision"/>
    <w:hidden/>
    <w:uiPriority w:val="99"/>
    <w:semiHidden/>
    <w:rsid w:val="00B409DC"/>
    <w:rPr>
      <w:snapToGrid w:val="0"/>
      <w:kern w:val="28"/>
      <w:sz w:val="22"/>
    </w:rPr>
  </w:style>
  <w:style w:type="character" w:customStyle="1" w:styleId="Mention3">
    <w:name w:val="Mention3"/>
    <w:basedOn w:val="DefaultParagraphFont"/>
    <w:uiPriority w:val="99"/>
    <w:semiHidden/>
    <w:unhideWhenUsed/>
    <w:rsid w:val="001F4203"/>
    <w:rPr>
      <w:color w:val="2B579A"/>
      <w:shd w:val="clear" w:color="auto" w:fill="E6E6E6"/>
    </w:rPr>
  </w:style>
  <w:style w:type="character" w:styleId="CommentReference">
    <w:name w:val="annotation reference"/>
    <w:basedOn w:val="DefaultParagraphFont"/>
    <w:semiHidden/>
    <w:unhideWhenUsed/>
    <w:rsid w:val="00D15AE5"/>
    <w:rPr>
      <w:sz w:val="16"/>
      <w:szCs w:val="16"/>
    </w:rPr>
  </w:style>
  <w:style w:type="paragraph" w:styleId="CommentText">
    <w:name w:val="annotation text"/>
    <w:basedOn w:val="Normal"/>
    <w:link w:val="CommentTextChar"/>
    <w:unhideWhenUsed/>
    <w:rsid w:val="00D15AE5"/>
    <w:rPr>
      <w:sz w:val="20"/>
    </w:rPr>
  </w:style>
  <w:style w:type="character" w:customStyle="1" w:styleId="CommentTextChar">
    <w:name w:val="Comment Text Char"/>
    <w:basedOn w:val="DefaultParagraphFont"/>
    <w:link w:val="CommentText"/>
    <w:rsid w:val="00D15AE5"/>
    <w:rPr>
      <w:snapToGrid w:val="0"/>
      <w:kern w:val="28"/>
    </w:rPr>
  </w:style>
  <w:style w:type="paragraph" w:styleId="CommentSubject">
    <w:name w:val="annotation subject"/>
    <w:basedOn w:val="CommentText"/>
    <w:next w:val="CommentText"/>
    <w:link w:val="CommentSubjectChar"/>
    <w:semiHidden/>
    <w:unhideWhenUsed/>
    <w:rsid w:val="00D15AE5"/>
    <w:rPr>
      <w:b/>
      <w:bCs/>
    </w:rPr>
  </w:style>
  <w:style w:type="character" w:customStyle="1" w:styleId="CommentSubjectChar">
    <w:name w:val="Comment Subject Char"/>
    <w:basedOn w:val="CommentTextChar"/>
    <w:link w:val="CommentSubject"/>
    <w:semiHidden/>
    <w:rsid w:val="00D15AE5"/>
    <w:rPr>
      <w:b/>
      <w:bCs/>
      <w:snapToGrid w:val="0"/>
      <w:kern w:val="28"/>
    </w:rPr>
  </w:style>
  <w:style w:type="character" w:customStyle="1" w:styleId="FooterChar">
    <w:name w:val="Footer Char"/>
    <w:link w:val="Footer"/>
    <w:uiPriority w:val="99"/>
    <w:rsid w:val="00567489"/>
    <w:rPr>
      <w:snapToGrid w:val="0"/>
      <w:kern w:val="28"/>
      <w:sz w:val="22"/>
    </w:rPr>
  </w:style>
  <w:style w:type="character" w:customStyle="1" w:styleId="UnresolvedMention1">
    <w:name w:val="Unresolved Mention1"/>
    <w:basedOn w:val="DefaultParagraphFont"/>
    <w:uiPriority w:val="99"/>
    <w:semiHidden/>
    <w:unhideWhenUsed/>
    <w:rsid w:val="00700458"/>
    <w:rPr>
      <w:color w:val="808080"/>
      <w:shd w:val="clear" w:color="auto" w:fill="E6E6E6"/>
    </w:rPr>
  </w:style>
  <w:style w:type="character" w:customStyle="1" w:styleId="FootnoteTextChar">
    <w:name w:val="Footnote Text Char"/>
    <w:basedOn w:val="DefaultParagraphFont"/>
    <w:link w:val="FootnoteText"/>
    <w:rsid w:val="001A58A8"/>
  </w:style>
  <w:style w:type="character" w:customStyle="1" w:styleId="UnresolvedMention">
    <w:name w:val="Unresolved Mention"/>
    <w:basedOn w:val="DefaultParagraphFont"/>
    <w:rsid w:val="0065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Find/Default.wl?rs=dfa1.0&amp;vr=2.0&amp;DB=1000547&amp;DocName=47CFRS52.15&amp;FindType=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20616/president-joseph-r-biden-jr-approves-major-disaster-declaration-montana" TargetMode="External" /><Relationship Id="rId2" Type="http://schemas.openxmlformats.org/officeDocument/2006/relationships/hyperlink" Target="http://www.westlaw.com/Find/Default.wl?rs=dfa1.0&amp;vr=2.0&amp;DB=1000547&amp;DocName=47CFRS52.15&amp;FindType=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