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33832" w:rsidP="00033832" w14:paraId="51065C61" w14:textId="77777777">
      <w:pPr>
        <w:jc w:val="center"/>
        <w:rPr>
          <w:b/>
        </w:rPr>
      </w:pPr>
      <w:r>
        <w:rPr>
          <w:b/>
        </w:rPr>
        <w:t>Before the</w:t>
      </w:r>
    </w:p>
    <w:p w:rsidR="00033832" w:rsidP="00033832" w14:paraId="7C12E69A" w14:textId="77777777">
      <w:pPr>
        <w:jc w:val="center"/>
        <w:rPr>
          <w:b/>
        </w:rPr>
      </w:pPr>
      <w:r>
        <w:rPr>
          <w:b/>
        </w:rPr>
        <w:t>Federal Communications Commission</w:t>
      </w:r>
    </w:p>
    <w:p w:rsidR="00033832" w:rsidP="00033832" w14:paraId="7C259B53" w14:textId="77777777">
      <w:pPr>
        <w:jc w:val="center"/>
        <w:rPr>
          <w:b/>
        </w:rPr>
      </w:pPr>
      <w:r>
        <w:rPr>
          <w:b/>
        </w:rPr>
        <w:t>Washington, D.C. 20554</w:t>
      </w:r>
    </w:p>
    <w:p w:rsidR="00033832" w:rsidP="00033832" w14:paraId="49C4C93F" w14:textId="77777777"/>
    <w:tbl>
      <w:tblPr>
        <w:tblW w:w="9648" w:type="dxa"/>
        <w:tblLayout w:type="fixed"/>
        <w:tblLook w:val="0000"/>
      </w:tblPr>
      <w:tblGrid>
        <w:gridCol w:w="4698"/>
        <w:gridCol w:w="720"/>
        <w:gridCol w:w="4230"/>
      </w:tblGrid>
      <w:tr w14:paraId="464A69F3" w14:textId="77777777" w:rsidTr="008E24B2">
        <w:tblPrEx>
          <w:tblW w:w="9648" w:type="dxa"/>
          <w:tblLayout w:type="fixed"/>
          <w:tblLook w:val="0000"/>
        </w:tblPrEx>
        <w:tc>
          <w:tcPr>
            <w:tcW w:w="4698" w:type="dxa"/>
          </w:tcPr>
          <w:p w:rsidR="00033832" w:rsidP="008E24B2" w14:paraId="1D6946BD" w14:textId="77777777">
            <w:pPr>
              <w:ind w:right="-18"/>
            </w:pPr>
            <w:r>
              <w:t>In the Matter of</w:t>
            </w:r>
          </w:p>
          <w:p w:rsidR="00033832" w:rsidP="008E24B2" w14:paraId="6ACB73C2" w14:textId="77777777">
            <w:pPr>
              <w:ind w:right="-18"/>
            </w:pPr>
          </w:p>
          <w:p w:rsidR="00033832" w:rsidP="008E24B2" w14:paraId="1A24D509" w14:textId="77777777">
            <w:pPr>
              <w:ind w:right="-18"/>
            </w:pPr>
            <w:r>
              <w:t>Southwest Arkansas Telephone Cooperative, Inc.</w:t>
            </w:r>
          </w:p>
          <w:p w:rsidR="00033832" w:rsidP="008E24B2" w14:paraId="120D81FB" w14:textId="77777777">
            <w:pPr>
              <w:ind w:right="-18"/>
            </w:pPr>
          </w:p>
          <w:p w:rsidR="00033832" w:rsidP="008E24B2" w14:paraId="2B402724" w14:textId="2C683F32">
            <w:pPr>
              <w:ind w:right="-18"/>
            </w:pPr>
            <w:r>
              <w:t xml:space="preserve">Request for Authority to Include in </w:t>
            </w:r>
            <w:r w:rsidR="003A37B6">
              <w:t>I</w:t>
            </w:r>
            <w:r>
              <w:t>ts Rate Base the Interstate Portion of the Prepaid Accumulated Postretirement Benefits Recorded in Account 1410, Other Noncurrent Assets</w:t>
            </w:r>
          </w:p>
        </w:tc>
        <w:tc>
          <w:tcPr>
            <w:tcW w:w="720" w:type="dxa"/>
          </w:tcPr>
          <w:p w:rsidR="00033832" w:rsidRPr="00046C70" w:rsidP="008E24B2" w14:paraId="572A6951" w14:textId="77777777">
            <w:r w:rsidRPr="00046C70">
              <w:t>)</w:t>
            </w:r>
          </w:p>
          <w:p w:rsidR="00033832" w:rsidRPr="00046C70" w:rsidP="008E24B2" w14:paraId="11172F15" w14:textId="77777777">
            <w:r w:rsidRPr="00046C70">
              <w:t>)</w:t>
            </w:r>
          </w:p>
          <w:p w:rsidR="00033832" w:rsidRPr="00046C70" w:rsidP="008E24B2" w14:paraId="4175E643" w14:textId="77777777">
            <w:r w:rsidRPr="00046C70">
              <w:t>)</w:t>
            </w:r>
          </w:p>
          <w:p w:rsidR="00033832" w:rsidRPr="00046C70" w:rsidP="008E24B2" w14:paraId="630F6391" w14:textId="77777777">
            <w:r w:rsidRPr="00046C70">
              <w:t>)</w:t>
            </w:r>
          </w:p>
          <w:p w:rsidR="00033832" w:rsidRPr="00046C70" w:rsidP="008E24B2" w14:paraId="606B999A" w14:textId="77777777">
            <w:r w:rsidRPr="00046C70">
              <w:t>)</w:t>
            </w:r>
          </w:p>
          <w:p w:rsidR="00033832" w:rsidRPr="00046C70" w:rsidP="008E24B2" w14:paraId="1AF08050" w14:textId="77777777">
            <w:r w:rsidRPr="00046C70">
              <w:t>)</w:t>
            </w:r>
          </w:p>
          <w:p w:rsidR="00033832" w:rsidRPr="00046C70" w:rsidP="008E24B2" w14:paraId="17774EF6" w14:textId="77777777">
            <w:r w:rsidRPr="00046C70">
              <w:t>)</w:t>
            </w:r>
          </w:p>
          <w:p w:rsidR="00033832" w:rsidRPr="00046C70" w:rsidP="008E24B2" w14:paraId="571CFB4C" w14:textId="77777777">
            <w:r w:rsidRPr="00046C70">
              <w:t>)</w:t>
            </w:r>
          </w:p>
          <w:p w:rsidR="00033832" w:rsidRPr="00046C70" w:rsidP="008E24B2" w14:paraId="0680052E" w14:textId="77777777"/>
        </w:tc>
        <w:tc>
          <w:tcPr>
            <w:tcW w:w="4230" w:type="dxa"/>
          </w:tcPr>
          <w:p w:rsidR="00033832" w:rsidP="008E24B2" w14:paraId="785358C6" w14:textId="77777777"/>
          <w:p w:rsidR="00033832" w:rsidP="008E24B2" w14:paraId="3081A46F" w14:textId="77777777"/>
          <w:p w:rsidR="00033832" w:rsidP="008E24B2" w14:paraId="788DFD94" w14:textId="77777777"/>
          <w:p w:rsidR="00033832" w:rsidP="008E24B2" w14:paraId="7A460D00" w14:textId="77777777">
            <w:pPr>
              <w:rPr>
                <w:spacing w:val="-2"/>
              </w:rPr>
            </w:pPr>
            <w:r>
              <w:rPr>
                <w:spacing w:val="-2"/>
              </w:rPr>
              <w:t>WC Docket No. 19-286</w:t>
            </w:r>
          </w:p>
          <w:p w:rsidR="00033832" w:rsidP="008E24B2" w14:paraId="6C6DAB1D" w14:textId="586C2427"/>
        </w:tc>
      </w:tr>
    </w:tbl>
    <w:p w:rsidR="00033832" w:rsidP="00033832" w14:paraId="2FCF7734" w14:textId="77777777">
      <w:pPr>
        <w:spacing w:before="120"/>
        <w:jc w:val="center"/>
        <w:rPr>
          <w:b/>
        </w:rPr>
      </w:pPr>
      <w:r>
        <w:rPr>
          <w:b/>
          <w:spacing w:val="-2"/>
        </w:rPr>
        <w:t>ORDER</w:t>
      </w:r>
    </w:p>
    <w:p w:rsidR="00033832" w:rsidP="00033832" w14:paraId="451CDD42" w14:textId="77777777"/>
    <w:p w:rsidR="00033832" w:rsidP="00033832" w14:paraId="7F60FEDF" w14:textId="77777777"/>
    <w:p w:rsidR="00033832" w:rsidP="00033832" w14:paraId="471E9F4E" w14:textId="45AE7F2E">
      <w:pPr>
        <w:tabs>
          <w:tab w:val="left" w:pos="5760"/>
        </w:tabs>
        <w:rPr>
          <w:b/>
        </w:rPr>
      </w:pPr>
      <w:r>
        <w:rPr>
          <w:b/>
        </w:rPr>
        <w:t xml:space="preserve">Adopted:  </w:t>
      </w:r>
      <w:r w:rsidR="00205403">
        <w:rPr>
          <w:b/>
        </w:rPr>
        <w:t>January</w:t>
      </w:r>
      <w:r w:rsidRPr="0038567F" w:rsidR="00D13864">
        <w:rPr>
          <w:b/>
        </w:rPr>
        <w:t xml:space="preserve"> </w:t>
      </w:r>
      <w:r w:rsidR="00205403">
        <w:rPr>
          <w:b/>
        </w:rPr>
        <w:t>20</w:t>
      </w:r>
      <w:r w:rsidRPr="0038567F">
        <w:rPr>
          <w:b/>
          <w:spacing w:val="-2"/>
        </w:rPr>
        <w:t>, 20</w:t>
      </w:r>
      <w:r>
        <w:rPr>
          <w:b/>
          <w:spacing w:val="-2"/>
        </w:rPr>
        <w:t>2</w:t>
      </w:r>
      <w:r w:rsidR="00B54799">
        <w:rPr>
          <w:b/>
          <w:spacing w:val="-2"/>
        </w:rPr>
        <w:t>2</w:t>
      </w:r>
      <w:r>
        <w:rPr>
          <w:b/>
        </w:rPr>
        <w:tab/>
        <w:t xml:space="preserve">Released:  </w:t>
      </w:r>
      <w:r w:rsidR="00205403">
        <w:rPr>
          <w:b/>
        </w:rPr>
        <w:t>January 20</w:t>
      </w:r>
      <w:r w:rsidRPr="00706144">
        <w:rPr>
          <w:b/>
        </w:rPr>
        <w:t xml:space="preserve">, </w:t>
      </w:r>
      <w:r w:rsidRPr="00706144">
        <w:rPr>
          <w:b/>
          <w:spacing w:val="-2"/>
        </w:rPr>
        <w:t>20</w:t>
      </w:r>
      <w:r>
        <w:rPr>
          <w:b/>
          <w:spacing w:val="-2"/>
        </w:rPr>
        <w:t>2</w:t>
      </w:r>
      <w:r w:rsidR="00B54799">
        <w:rPr>
          <w:b/>
          <w:spacing w:val="-2"/>
        </w:rPr>
        <w:t>2</w:t>
      </w:r>
    </w:p>
    <w:p w:rsidR="00033832" w:rsidP="00033832" w14:paraId="7CD25B8F" w14:textId="77777777">
      <w:pPr>
        <w:tabs>
          <w:tab w:val="left" w:pos="5760"/>
        </w:tabs>
        <w:rPr>
          <w:b/>
        </w:rPr>
      </w:pPr>
    </w:p>
    <w:p w:rsidR="00033832" w:rsidP="00033832" w14:paraId="2D0F7031" w14:textId="77777777">
      <w:pPr>
        <w:tabs>
          <w:tab w:val="left" w:pos="5760"/>
        </w:tabs>
      </w:pPr>
      <w:r>
        <w:t>By the Chief, Wireline Competition Bureau</w:t>
      </w:r>
    </w:p>
    <w:p w:rsidR="00033832" w:rsidP="00033832" w14:paraId="444FC95D" w14:textId="77777777">
      <w:pPr>
        <w:pStyle w:val="Heading1"/>
        <w:numPr>
          <w:ilvl w:val="0"/>
          <w:numId w:val="0"/>
        </w:numPr>
        <w:jc w:val="center"/>
      </w:pPr>
    </w:p>
    <w:p w:rsidR="00033832" w:rsidP="00033832" w14:paraId="43ECCC27" w14:textId="77777777">
      <w:pPr>
        <w:pStyle w:val="Heading1"/>
        <w:numPr>
          <w:ilvl w:val="0"/>
          <w:numId w:val="8"/>
        </w:numPr>
        <w:tabs>
          <w:tab w:val="left" w:pos="720"/>
        </w:tabs>
      </w:pPr>
      <w:r>
        <w:t>INTRODUCTION</w:t>
      </w:r>
    </w:p>
    <w:p w:rsidR="00033832" w:rsidRPr="00033832" w:rsidP="00B107C9" w14:paraId="6E60C610" w14:textId="77777777">
      <w:pPr>
        <w:pStyle w:val="ParaNum"/>
      </w:pPr>
      <w:r w:rsidRPr="00033832">
        <w:t>In this Order, the Wireline Competition Bureau (Bureau) approves a request filed by Southwest Arkansas Telephone Cooperative, Inc. (SWAT) to include in its rate base the interstate portion of its prepaid accumulated postretirement benefit obligation recorded in Account 1410, Other noncurrent assets.</w:t>
      </w:r>
      <w:r>
        <w:rPr>
          <w:rStyle w:val="FootnoteReference"/>
          <w:szCs w:val="22"/>
        </w:rPr>
        <w:footnoteReference w:id="3"/>
      </w:r>
      <w:r w:rsidRPr="00033832">
        <w:t xml:space="preserve"> </w:t>
      </w:r>
      <w:r w:rsidRPr="00033832">
        <w:rPr>
          <w:rStyle w:val="MessageHeaderLabel"/>
          <w:rFonts w:ascii="Times New Roman" w:hAnsi="Times New Roman"/>
          <w:b w:val="0"/>
          <w:sz w:val="22"/>
          <w:szCs w:val="22"/>
        </w:rPr>
        <w:t xml:space="preserve"> Based on the record before us, and consistent with precedent, we find that granting the unopposed request will serve the public interest by reducing future expenses to be included in SWAT’s rate base, thereby benefitting the carrier’s ratepayers</w:t>
      </w:r>
      <w:r w:rsidRPr="00033832">
        <w:t xml:space="preserve">. </w:t>
      </w:r>
    </w:p>
    <w:p w:rsidR="00033832" w:rsidRPr="00B92DFA" w:rsidP="00033832" w14:paraId="119B421C" w14:textId="77777777">
      <w:pPr>
        <w:pStyle w:val="Heading1"/>
        <w:numPr>
          <w:ilvl w:val="0"/>
          <w:numId w:val="8"/>
        </w:numPr>
        <w:tabs>
          <w:tab w:val="left" w:pos="720"/>
        </w:tabs>
      </w:pPr>
      <w:r>
        <w:t>BACKGROUND</w:t>
      </w:r>
    </w:p>
    <w:p w:rsidR="00033832" w:rsidRPr="009C6AD3" w:rsidP="00B107C9" w14:paraId="0C43EE0A" w14:textId="77777777">
      <w:pPr>
        <w:pStyle w:val="ParaNum"/>
        <w:rPr>
          <w:spacing w:val="-4"/>
        </w:rPr>
      </w:pPr>
      <w:r>
        <w:t xml:space="preserve">SWAT is a rate-of-return carrier serving </w:t>
      </w:r>
      <w:r w:rsidRPr="00981960">
        <w:t>Doddridge, Emerson, Fouke, Fulton, Garland City, Trigg</w:t>
      </w:r>
      <w:r>
        <w:t>,</w:t>
      </w:r>
      <w:r w:rsidRPr="00981960">
        <w:t xml:space="preserve"> and Washington in Arkansas</w:t>
      </w:r>
      <w:r>
        <w:t>,</w:t>
      </w:r>
      <w:r w:rsidRPr="00981960">
        <w:t xml:space="preserve"> and Bloomburg in Texas.</w:t>
      </w:r>
      <w:r>
        <w:rPr>
          <w:sz w:val="20"/>
          <w:vertAlign w:val="superscript"/>
        </w:rPr>
        <w:footnoteReference w:id="4"/>
      </w:r>
      <w:r w:rsidRPr="00981960">
        <w:t xml:space="preserve"> </w:t>
      </w:r>
      <w:r>
        <w:t xml:space="preserve"> SWAT serves approximately 4,087 lines, 3,762 of which are in Arkansas and 325 of which are in Texas.</w:t>
      </w:r>
      <w:r>
        <w:rPr>
          <w:sz w:val="20"/>
          <w:vertAlign w:val="superscript"/>
        </w:rPr>
        <w:footnoteReference w:id="5"/>
      </w:r>
      <w:r>
        <w:t xml:space="preserve">  It is a participant in the National Exchange Carrier Association (NECA) common line and traffic sensitive pools and is an issuing carrier for the NECA access tariff, NECA Tariff F.C.C. No. 5.</w:t>
      </w:r>
      <w:r>
        <w:rPr>
          <w:rStyle w:val="FootnoteReference"/>
          <w:szCs w:val="22"/>
        </w:rPr>
        <w:footnoteReference w:id="6"/>
      </w:r>
      <w:r>
        <w:t xml:space="preserve">      </w:t>
      </w:r>
    </w:p>
    <w:p w:rsidR="00033832" w:rsidRPr="009C6AD3" w:rsidP="0078799D" w14:paraId="250F9C26" w14:textId="08A34F5C">
      <w:pPr>
        <w:pStyle w:val="ParaNum"/>
        <w:widowControl/>
        <w:rPr>
          <w:spacing w:val="-4"/>
        </w:rPr>
      </w:pPr>
      <w:r>
        <w:t xml:space="preserve">As part of its compensation package, SWAT offers its employees certain postretirement benefits (OPEBs).  These benefits are pre-funded through a trust sponsored by the National </w:t>
      </w:r>
      <w:r>
        <w:t>Telecommunications Cooperative Association (NTCA).</w:t>
      </w:r>
      <w:r>
        <w:rPr>
          <w:rStyle w:val="FootnoteReference"/>
          <w:szCs w:val="22"/>
        </w:rPr>
        <w:footnoteReference w:id="7"/>
      </w:r>
      <w:r>
        <w:t xml:space="preserve">  As of December 31, 2018, the total balance of pre-funded OPEB benefits totaled $2,869,512.</w:t>
      </w:r>
      <w:r>
        <w:rPr>
          <w:rStyle w:val="FootnoteReference"/>
          <w:szCs w:val="22"/>
        </w:rPr>
        <w:footnoteReference w:id="8"/>
      </w:r>
    </w:p>
    <w:p w:rsidR="00033832" w:rsidRPr="009C6AD3" w:rsidP="00B107C9" w14:paraId="62E61F37" w14:textId="77777777">
      <w:pPr>
        <w:pStyle w:val="ParaNum"/>
        <w:rPr>
          <w:spacing w:val="-4"/>
        </w:rPr>
      </w:pPr>
      <w:r>
        <w:t>SWAT seeks approval to include in its rate base the interstate portion of its prepaid accumulated OPEB obligation recorded in Account 1410, Other noncurrent assets, beginning with the date the prepayments were made.</w:t>
      </w:r>
      <w:r>
        <w:rPr>
          <w:sz w:val="20"/>
          <w:vertAlign w:val="superscript"/>
        </w:rPr>
        <w:footnoteReference w:id="9"/>
      </w:r>
      <w:r>
        <w:t xml:space="preserve">  SWAT estimates the 2019 cost study year increase for the interstate access portion of these costs was $1,194,293, with an estimated return of $123,908 at the 2019 rate of 10.375 percent.</w:t>
      </w:r>
      <w:r>
        <w:rPr>
          <w:rStyle w:val="FootnoteReference"/>
          <w:szCs w:val="22"/>
        </w:rPr>
        <w:footnoteReference w:id="10"/>
      </w:r>
      <w:r>
        <w:t xml:space="preserve">  SWAT claims that while such a figure is significant to SWAT, its impact on the overall NECA pool and Universal Service Fund should be </w:t>
      </w:r>
      <w:r>
        <w:rPr>
          <w:i/>
          <w:iCs/>
        </w:rPr>
        <w:t>de minimis</w:t>
      </w:r>
      <w:r>
        <w:t>.</w:t>
      </w:r>
      <w:r>
        <w:rPr>
          <w:rStyle w:val="FootnoteReference"/>
          <w:szCs w:val="22"/>
        </w:rPr>
        <w:footnoteReference w:id="11"/>
      </w:r>
    </w:p>
    <w:p w:rsidR="00033832" w:rsidRPr="000F69F3" w:rsidP="00B107C9" w14:paraId="314870C6" w14:textId="77777777">
      <w:pPr>
        <w:pStyle w:val="ParaNum"/>
        <w:rPr>
          <w:spacing w:val="-4"/>
        </w:rPr>
      </w:pPr>
      <w:r>
        <w:t>SWAT states that its prepayment costs benefit ratepayers by earning interest while maintained in the NTCA trust.</w:t>
      </w:r>
      <w:r>
        <w:rPr>
          <w:rStyle w:val="FootnoteReference"/>
          <w:szCs w:val="22"/>
        </w:rPr>
        <w:footnoteReference w:id="12"/>
      </w:r>
      <w:r>
        <w:t xml:space="preserve">  In particular, the earned interest reduces SWAT’s future OPEB expenses, resulting in lower future rates for its ratepayers.</w:t>
      </w:r>
      <w:r>
        <w:rPr>
          <w:rStyle w:val="FootnoteReference"/>
          <w:szCs w:val="22"/>
        </w:rPr>
        <w:footnoteReference w:id="13"/>
      </w:r>
      <w:r>
        <w:t xml:space="preserve">  In support of its position, SWAT includes a memorandum from the NTCA Benefits Administrator confirming the reduction in future expenses.</w:t>
      </w:r>
      <w:r>
        <w:rPr>
          <w:rStyle w:val="FootnoteReference"/>
          <w:szCs w:val="22"/>
        </w:rPr>
        <w:footnoteReference w:id="14"/>
      </w:r>
      <w:r>
        <w:t xml:space="preserve">  </w:t>
      </w:r>
      <w:r w:rsidRPr="000F69F3">
        <w:t>The NTCA memorandum states that prepayments serve three specific benefits.  First, the expected returns on prepayments serve to reduce annual expenses in a given year.</w:t>
      </w:r>
      <w:r>
        <w:rPr>
          <w:rStyle w:val="FootnoteReference"/>
          <w:szCs w:val="22"/>
        </w:rPr>
        <w:footnoteReference w:id="15"/>
      </w:r>
      <w:r w:rsidRPr="000F69F3">
        <w:t xml:space="preserve">  Second, accumulated total assets, held in the prefunding trust, serve to reduce the accumulated unfunded benefits obligation.</w:t>
      </w:r>
      <w:r>
        <w:rPr>
          <w:rStyle w:val="FootnoteReference"/>
          <w:szCs w:val="22"/>
        </w:rPr>
        <w:footnoteReference w:id="16"/>
      </w:r>
      <w:r w:rsidRPr="000F69F3">
        <w:t xml:space="preserve">  </w:t>
      </w:r>
      <w:r>
        <w:t>Third</w:t>
      </w:r>
      <w:r w:rsidRPr="003068F3">
        <w:t>, prefunded OPEB amounts are included as assets in SWAT’s financial statements</w:t>
      </w:r>
      <w:r>
        <w:t xml:space="preserve"> that</w:t>
      </w:r>
      <w:r w:rsidRPr="003068F3">
        <w:t xml:space="preserve"> offset a portion of the company’s liabilities.</w:t>
      </w:r>
      <w:r>
        <w:rPr>
          <w:sz w:val="20"/>
          <w:vertAlign w:val="superscript"/>
        </w:rPr>
        <w:footnoteReference w:id="17"/>
      </w:r>
      <w:r w:rsidRPr="003068F3">
        <w:t xml:space="preserve">  </w:t>
      </w:r>
      <w:r>
        <w:t>According to SWAT, t</w:t>
      </w:r>
      <w:r w:rsidRPr="000F69F3">
        <w:t>hese benefits serve to reduce the company’s overall costs, resulting in lower rates for consumers.</w:t>
      </w:r>
    </w:p>
    <w:p w:rsidR="00033832" w:rsidRPr="009C6AD3" w:rsidP="00B107C9" w14:paraId="431B3612" w14:textId="49E2033E">
      <w:pPr>
        <w:pStyle w:val="ParaNum"/>
        <w:rPr>
          <w:spacing w:val="-4"/>
        </w:rPr>
      </w:pPr>
      <w:r>
        <w:rPr>
          <w:spacing w:val="-4"/>
        </w:rPr>
        <w:t>On October 8, 2019, the Bureau released a Public Notice seeking comment on SWAT’s request.</w:t>
      </w:r>
      <w:r>
        <w:rPr>
          <w:spacing w:val="-4"/>
          <w:sz w:val="20"/>
          <w:vertAlign w:val="superscript"/>
        </w:rPr>
        <w:footnoteReference w:id="18"/>
      </w:r>
      <w:r>
        <w:rPr>
          <w:spacing w:val="-4"/>
        </w:rPr>
        <w:t xml:space="preserve">  No comments were filed. </w:t>
      </w:r>
    </w:p>
    <w:p w:rsidR="00033832" w:rsidRPr="009C6AD3" w:rsidP="00033832" w14:paraId="05F617BA" w14:textId="77777777">
      <w:pPr>
        <w:pStyle w:val="Heading1"/>
        <w:numPr>
          <w:ilvl w:val="0"/>
          <w:numId w:val="8"/>
        </w:numPr>
        <w:tabs>
          <w:tab w:val="left" w:pos="720"/>
        </w:tabs>
        <w:rPr>
          <w:spacing w:val="-4"/>
        </w:rPr>
      </w:pPr>
      <w:r>
        <w:t>DISCUSSION</w:t>
      </w:r>
    </w:p>
    <w:p w:rsidR="00033832" w:rsidRPr="0097690E" w:rsidP="00B107C9" w14:paraId="4CF8DD1D" w14:textId="1BCF5F5A">
      <w:pPr>
        <w:pStyle w:val="ParaNum"/>
        <w:rPr>
          <w:spacing w:val="-4"/>
        </w:rPr>
      </w:pPr>
      <w:r w:rsidRPr="00373767">
        <w:t>Under the Commission’s rules, noncurrent assets recorded in Account 1410 may be included in a rate-of-return carrier’s rate base when the carrier makes a showing that those assets are used-and-useful in the provision of telecommunications services and specifically obtains</w:t>
      </w:r>
      <w:r>
        <w:t xml:space="preserve"> the</w:t>
      </w:r>
      <w:r w:rsidRPr="00373767">
        <w:t xml:space="preserve"> Commission</w:t>
      </w:r>
      <w:r>
        <w:t>’s</w:t>
      </w:r>
      <w:r w:rsidRPr="00373767">
        <w:t xml:space="preserve"> approval for inclusion.</w:t>
      </w:r>
      <w:r>
        <w:rPr>
          <w:rStyle w:val="FootnoteReference"/>
          <w:szCs w:val="22"/>
        </w:rPr>
        <w:footnoteReference w:id="19"/>
      </w:r>
      <w:r>
        <w:t xml:space="preserve">  In setting this standard in the </w:t>
      </w:r>
      <w:r w:rsidRPr="00B107C9">
        <w:rPr>
          <w:i/>
          <w:iCs/>
        </w:rPr>
        <w:t>RAO Report and Order</w:t>
      </w:r>
      <w:r>
        <w:t xml:space="preserve">, the </w:t>
      </w:r>
      <w:r>
        <w:t>Commission articulated the principle that “ratepayers must not be forced to pay a return on investment that does not benefit them directly.”</w:t>
      </w:r>
      <w:r>
        <w:rPr>
          <w:rStyle w:val="FootnoteReference"/>
        </w:rPr>
        <w:footnoteReference w:id="20"/>
      </w:r>
      <w:r>
        <w:t xml:space="preserve"> </w:t>
      </w:r>
      <w:r w:rsidRPr="00373767">
        <w:t xml:space="preserve"> </w:t>
      </w:r>
      <w:r>
        <w:t xml:space="preserve">The Commission allowed prepaid pension costs to be included in the rate base because </w:t>
      </w:r>
      <w:r w:rsidRPr="001877E1">
        <w:t>“these costs can earn a return that later reduces expenses.”</w:t>
      </w:r>
      <w:r>
        <w:rPr>
          <w:rStyle w:val="FootnoteReference"/>
          <w:szCs w:val="22"/>
        </w:rPr>
        <w:footnoteReference w:id="21"/>
      </w:r>
      <w:r w:rsidRPr="001877E1">
        <w:t xml:space="preserve">  In another proceeding, the Commission acknowledged that prepaid OPEB costs</w:t>
      </w:r>
      <w:r>
        <w:t xml:space="preserve"> specifically</w:t>
      </w:r>
      <w:r w:rsidRPr="001877E1">
        <w:t xml:space="preserve"> “produce returns that reduce the pension amounts companies must accrue in future periods.”</w:t>
      </w:r>
      <w:r>
        <w:rPr>
          <w:rStyle w:val="FootnoteReference"/>
          <w:szCs w:val="22"/>
        </w:rPr>
        <w:footnoteReference w:id="22"/>
      </w:r>
      <w:r w:rsidRPr="001877E1">
        <w:t xml:space="preserve">  In line with this reasoning, the Commission approved a request by a carrier to include prepaid OPEB costs in </w:t>
      </w:r>
      <w:r>
        <w:t>its</w:t>
      </w:r>
      <w:r w:rsidRPr="001877E1">
        <w:t xml:space="preserve"> rate base, holding that </w:t>
      </w:r>
      <w:r>
        <w:t xml:space="preserve">the </w:t>
      </w:r>
      <w:r w:rsidRPr="001877E1">
        <w:t>interest earned on pension prepayments serves to benefit ratepayers by reducing future expenses and future increases to the rate base,</w:t>
      </w:r>
      <w:r w:rsidRPr="002D50EF">
        <w:t xml:space="preserve"> </w:t>
      </w:r>
      <w:r w:rsidRPr="001877E1">
        <w:t>thus satisfying the used-and-useful standard.</w:t>
      </w:r>
      <w:r>
        <w:rPr>
          <w:rStyle w:val="FootnoteReference"/>
          <w:szCs w:val="22"/>
        </w:rPr>
        <w:footnoteReference w:id="23"/>
      </w:r>
      <w:r w:rsidRPr="001877E1">
        <w:t xml:space="preserve">  Following the Commission’s precedent, the Bureau has approved similar requests</w:t>
      </w:r>
      <w:r>
        <w:t xml:space="preserve"> over the years</w:t>
      </w:r>
      <w:r w:rsidRPr="001877E1">
        <w:t>.</w:t>
      </w:r>
      <w:r>
        <w:rPr>
          <w:rStyle w:val="FootnoteReference"/>
          <w:szCs w:val="22"/>
        </w:rPr>
        <w:footnoteReference w:id="24"/>
      </w:r>
      <w:r>
        <w:rPr>
          <w:spacing w:val="-4"/>
        </w:rPr>
        <w:t xml:space="preserve"> </w:t>
      </w:r>
    </w:p>
    <w:p w:rsidR="00033832" w:rsidRPr="00BE0DF6" w:rsidP="00B107C9" w14:paraId="02477143" w14:textId="77777777">
      <w:pPr>
        <w:pStyle w:val="ParaNum"/>
      </w:pPr>
      <w:r>
        <w:t>In light of the Commission and Bureau precedent,</w:t>
      </w:r>
      <w:r w:rsidRPr="00F12D84">
        <w:t xml:space="preserve"> </w:t>
      </w:r>
      <w:r>
        <w:t xml:space="preserve">we find </w:t>
      </w:r>
      <w:r w:rsidRPr="00F12D84">
        <w:t xml:space="preserve">that SWAT has demonstrated that its prepaid </w:t>
      </w:r>
      <w:r w:rsidRPr="00D41B9A">
        <w:t>OPEB costs</w:t>
      </w:r>
      <w:r w:rsidRPr="00A7062A">
        <w:t xml:space="preserve"> recor</w:t>
      </w:r>
      <w:r w:rsidRPr="00BE0DF6">
        <w:t xml:space="preserve">ded in Account 1410 </w:t>
      </w:r>
      <w:r>
        <w:t>meet the used-and-useful standard</w:t>
      </w:r>
      <w:r w:rsidRPr="00BE0DF6">
        <w:t>.</w:t>
      </w:r>
      <w:r>
        <w:rPr>
          <w:rStyle w:val="FootnoteReference"/>
          <w:szCs w:val="22"/>
        </w:rPr>
        <w:footnoteReference w:id="25"/>
      </w:r>
      <w:r>
        <w:t xml:space="preserve">  Ratepayers will reap benefits from this inclusion because the accumulated interest from the prepayments will reduce future OPEB obligations and decrease future additions to the rate base and corresponding consumer rates.  </w:t>
      </w:r>
      <w:r w:rsidRPr="00F12D84">
        <w:t xml:space="preserve">Accordingly, we grant </w:t>
      </w:r>
      <w:r>
        <w:t>SWAT’s</w:t>
      </w:r>
      <w:r w:rsidRPr="00F12D84">
        <w:t xml:space="preserve"> unopposed request to include the interstate portion of its prepaid accumulated postretirement benefit obligation recorded in Account 1410 in i</w:t>
      </w:r>
      <w:r w:rsidRPr="00D41B9A">
        <w:t>ts rate base beginnin</w:t>
      </w:r>
      <w:r w:rsidRPr="00A7062A">
        <w:t>g</w:t>
      </w:r>
      <w:r w:rsidRPr="00BE0DF6">
        <w:t xml:space="preserve"> with the date the prepayments were made.</w:t>
      </w:r>
    </w:p>
    <w:p w:rsidR="00033832" w:rsidRPr="00605604" w:rsidP="00033832" w14:paraId="09D0D502" w14:textId="77777777">
      <w:pPr>
        <w:pStyle w:val="Heading1"/>
        <w:numPr>
          <w:ilvl w:val="0"/>
          <w:numId w:val="8"/>
        </w:numPr>
        <w:tabs>
          <w:tab w:val="left" w:pos="720"/>
        </w:tabs>
      </w:pPr>
      <w:r>
        <w:t>ORDERING CLAUSES</w:t>
      </w:r>
    </w:p>
    <w:p w:rsidR="00033832" w:rsidP="00B107C9" w14:paraId="2B887403" w14:textId="4D8434A3">
      <w:pPr>
        <w:pStyle w:val="ParaNum"/>
        <w:rPr>
          <w:rStyle w:val="MessageHeaderLabel"/>
          <w:rFonts w:ascii="Times New Roman" w:hAnsi="Times New Roman"/>
          <w:b w:val="0"/>
          <w:sz w:val="22"/>
          <w:szCs w:val="22"/>
        </w:rPr>
      </w:pPr>
      <w:r w:rsidRPr="008A235F">
        <w:rPr>
          <w:szCs w:val="22"/>
        </w:rPr>
        <w:t>A</w:t>
      </w:r>
      <w:r w:rsidRPr="00B107C9">
        <w:rPr>
          <w:szCs w:val="22"/>
        </w:rPr>
        <w:t>ccordingly, IT IS ORDERED, pursuant to sections 4(i), and 220 of the Communications Act of 1934, as amended, 47 U.S.C. §§ 154(i), and 220, and sections 0.91, 0.291, and 65.820(c) of the Commission’s rules, 47 CFR §§</w:t>
      </w:r>
      <w:r w:rsidR="00277B6A">
        <w:rPr>
          <w:szCs w:val="22"/>
        </w:rPr>
        <w:t> </w:t>
      </w:r>
      <w:r w:rsidRPr="00B107C9">
        <w:rPr>
          <w:szCs w:val="22"/>
        </w:rPr>
        <w:t xml:space="preserve">0.91, 0.291, and 65.820(c), that the request by Southwest Arkansas Telephone Cooperative, Inc., </w:t>
      </w:r>
      <w:r w:rsidR="00BA4806">
        <w:rPr>
          <w:szCs w:val="22"/>
        </w:rPr>
        <w:t xml:space="preserve">filed </w:t>
      </w:r>
      <w:r w:rsidRPr="00B107C9">
        <w:rPr>
          <w:szCs w:val="22"/>
        </w:rPr>
        <w:t>on September 13, 2019</w:t>
      </w:r>
      <w:r w:rsidR="00277B6A">
        <w:rPr>
          <w:szCs w:val="22"/>
        </w:rPr>
        <w:t>,</w:t>
      </w:r>
      <w:r w:rsidRPr="00B107C9">
        <w:rPr>
          <w:rStyle w:val="MessageHeaderLabel"/>
          <w:rFonts w:ascii="Times New Roman" w:hAnsi="Times New Roman"/>
          <w:b w:val="0"/>
          <w:sz w:val="22"/>
          <w:szCs w:val="22"/>
        </w:rPr>
        <w:t xml:space="preserve"> IS GRANTED AS PROVIDED HEREIN.</w:t>
      </w:r>
    </w:p>
    <w:p w:rsidR="0078799D" w:rsidP="0078799D" w14:paraId="63E43B50" w14:textId="45C44DB2">
      <w:pPr>
        <w:pStyle w:val="ParaNum"/>
        <w:numPr>
          <w:ilvl w:val="0"/>
          <w:numId w:val="0"/>
        </w:numPr>
        <w:ind w:firstLine="720"/>
        <w:rPr>
          <w:rStyle w:val="MessageHeaderLabel"/>
          <w:rFonts w:ascii="Times New Roman" w:hAnsi="Times New Roman"/>
          <w:b w:val="0"/>
          <w:sz w:val="22"/>
          <w:szCs w:val="22"/>
        </w:rPr>
      </w:pPr>
    </w:p>
    <w:p w:rsidR="0078799D" w:rsidP="0078799D" w14:paraId="16E57325" w14:textId="7B7EFEDF">
      <w:pPr>
        <w:pStyle w:val="ParaNum"/>
        <w:numPr>
          <w:ilvl w:val="0"/>
          <w:numId w:val="0"/>
        </w:numPr>
        <w:ind w:firstLine="720"/>
        <w:rPr>
          <w:rStyle w:val="MessageHeaderLabel"/>
          <w:rFonts w:ascii="Times New Roman" w:hAnsi="Times New Roman"/>
          <w:b w:val="0"/>
          <w:sz w:val="22"/>
          <w:szCs w:val="22"/>
        </w:rPr>
      </w:pPr>
    </w:p>
    <w:p w:rsidR="0078799D" w:rsidP="0078799D" w14:paraId="5204A633" w14:textId="1768CFAA">
      <w:pPr>
        <w:pStyle w:val="ParaNum"/>
        <w:numPr>
          <w:ilvl w:val="0"/>
          <w:numId w:val="0"/>
        </w:numPr>
        <w:ind w:firstLine="720"/>
        <w:rPr>
          <w:rStyle w:val="MessageHeaderLabel"/>
          <w:rFonts w:ascii="Times New Roman" w:hAnsi="Times New Roman"/>
          <w:b w:val="0"/>
          <w:sz w:val="22"/>
          <w:szCs w:val="22"/>
        </w:rPr>
      </w:pPr>
    </w:p>
    <w:p w:rsidR="0078799D" w:rsidP="0078799D" w14:paraId="2AF37E22" w14:textId="5A3A9BDE">
      <w:pPr>
        <w:pStyle w:val="ParaNum"/>
        <w:numPr>
          <w:ilvl w:val="0"/>
          <w:numId w:val="0"/>
        </w:numPr>
        <w:ind w:firstLine="720"/>
        <w:rPr>
          <w:rStyle w:val="MessageHeaderLabel"/>
          <w:rFonts w:ascii="Times New Roman" w:hAnsi="Times New Roman"/>
          <w:b w:val="0"/>
          <w:sz w:val="22"/>
          <w:szCs w:val="22"/>
        </w:rPr>
      </w:pPr>
    </w:p>
    <w:p w:rsidR="0078799D" w:rsidP="0078799D" w14:paraId="157A725C" w14:textId="1581FDAE">
      <w:pPr>
        <w:pStyle w:val="ParaNum"/>
        <w:numPr>
          <w:ilvl w:val="0"/>
          <w:numId w:val="0"/>
        </w:numPr>
        <w:ind w:firstLine="720"/>
        <w:rPr>
          <w:rStyle w:val="MessageHeaderLabel"/>
          <w:rFonts w:ascii="Times New Roman" w:hAnsi="Times New Roman"/>
          <w:b w:val="0"/>
          <w:sz w:val="22"/>
          <w:szCs w:val="22"/>
        </w:rPr>
      </w:pPr>
    </w:p>
    <w:p w:rsidR="0078799D" w:rsidRPr="00B107C9" w:rsidP="0078799D" w14:paraId="36EDAFEA" w14:textId="77777777">
      <w:pPr>
        <w:pStyle w:val="ParaNum"/>
        <w:numPr>
          <w:ilvl w:val="0"/>
          <w:numId w:val="0"/>
        </w:numPr>
        <w:ind w:firstLine="720"/>
        <w:rPr>
          <w:rStyle w:val="MessageHeaderLabel"/>
          <w:rFonts w:ascii="Times New Roman" w:hAnsi="Times New Roman"/>
          <w:b w:val="0"/>
          <w:sz w:val="22"/>
          <w:szCs w:val="22"/>
        </w:rPr>
      </w:pPr>
    </w:p>
    <w:p w:rsidR="00033832" w:rsidRPr="00B107C9" w:rsidP="00B107C9" w14:paraId="2CD77019" w14:textId="6A30826F">
      <w:pPr>
        <w:pStyle w:val="ParaNum"/>
        <w:rPr>
          <w:rStyle w:val="MessageHeaderLabel"/>
          <w:rFonts w:ascii="Times New Roman" w:hAnsi="Times New Roman"/>
          <w:b w:val="0"/>
          <w:sz w:val="22"/>
          <w:szCs w:val="22"/>
        </w:rPr>
      </w:pPr>
      <w:r w:rsidRPr="00B107C9">
        <w:rPr>
          <w:rStyle w:val="MessageHeaderLabel"/>
          <w:rFonts w:ascii="Times New Roman" w:hAnsi="Times New Roman"/>
          <w:b w:val="0"/>
          <w:sz w:val="22"/>
          <w:szCs w:val="22"/>
        </w:rPr>
        <w:t>IT IS FURTHER ORDERED, pursuant to section 1.102(b)(1) of the Commission’s rules, 47 CFR §</w:t>
      </w:r>
      <w:r w:rsidR="00277B6A">
        <w:rPr>
          <w:rStyle w:val="MessageHeaderLabel"/>
          <w:rFonts w:ascii="Times New Roman" w:hAnsi="Times New Roman"/>
          <w:b w:val="0"/>
          <w:sz w:val="22"/>
          <w:szCs w:val="22"/>
        </w:rPr>
        <w:t> </w:t>
      </w:r>
      <w:r w:rsidRPr="00B107C9">
        <w:rPr>
          <w:rStyle w:val="MessageHeaderLabel"/>
          <w:rFonts w:ascii="Times New Roman" w:hAnsi="Times New Roman"/>
          <w:b w:val="0"/>
          <w:sz w:val="22"/>
          <w:szCs w:val="22"/>
        </w:rPr>
        <w:t>1.102(b)(1), that this Order SHALL BE EFFECTIVE upon release.</w:t>
      </w:r>
    </w:p>
    <w:p w:rsidR="00033832" w:rsidP="00033832" w14:paraId="361EEFB1" w14:textId="6D535EBC">
      <w:pPr>
        <w:pStyle w:val="ParaNum"/>
        <w:numPr>
          <w:ilvl w:val="0"/>
          <w:numId w:val="0"/>
        </w:numPr>
        <w:rPr>
          <w:szCs w:val="22"/>
        </w:rPr>
      </w:pPr>
      <w:r>
        <w:rPr>
          <w:szCs w:val="22"/>
        </w:rPr>
        <w:tab/>
      </w:r>
      <w:r>
        <w:rPr>
          <w:szCs w:val="22"/>
        </w:rPr>
        <w:tab/>
      </w:r>
      <w:r>
        <w:rPr>
          <w:szCs w:val="22"/>
        </w:rPr>
        <w:tab/>
      </w:r>
      <w:r>
        <w:rPr>
          <w:szCs w:val="22"/>
        </w:rPr>
        <w:tab/>
      </w:r>
      <w:r>
        <w:rPr>
          <w:szCs w:val="22"/>
        </w:rPr>
        <w:tab/>
      </w:r>
      <w:r w:rsidR="008A235F">
        <w:rPr>
          <w:szCs w:val="22"/>
        </w:rPr>
        <w:tab/>
      </w:r>
      <w:r>
        <w:rPr>
          <w:szCs w:val="22"/>
        </w:rPr>
        <w:t>FEDERAL COMMUNICATIONS COMMISSION</w:t>
      </w:r>
    </w:p>
    <w:p w:rsidR="00033832" w:rsidP="00033832" w14:paraId="5BDE3144" w14:textId="77777777">
      <w:pPr>
        <w:pStyle w:val="ParaNum"/>
        <w:numPr>
          <w:ilvl w:val="0"/>
          <w:numId w:val="0"/>
        </w:numPr>
        <w:rPr>
          <w:szCs w:val="22"/>
        </w:rPr>
      </w:pPr>
    </w:p>
    <w:p w:rsidR="00033832" w:rsidP="00033832" w14:paraId="7614E0FB" w14:textId="6A0D9029">
      <w:pPr>
        <w:pStyle w:val="ParaNum"/>
        <w:numPr>
          <w:ilvl w:val="0"/>
          <w:numId w:val="0"/>
        </w:numPr>
        <w:spacing w:after="0"/>
        <w:ind w:left="4320"/>
        <w:rPr>
          <w:szCs w:val="22"/>
        </w:rPr>
      </w:pPr>
    </w:p>
    <w:p w:rsidR="00277B6A" w:rsidP="00033832" w14:paraId="25606CDB" w14:textId="77777777">
      <w:pPr>
        <w:pStyle w:val="ParaNum"/>
        <w:numPr>
          <w:ilvl w:val="0"/>
          <w:numId w:val="0"/>
        </w:numPr>
        <w:spacing w:after="0"/>
        <w:ind w:left="4320"/>
        <w:rPr>
          <w:szCs w:val="22"/>
        </w:rPr>
      </w:pPr>
    </w:p>
    <w:p w:rsidR="00033832" w:rsidP="00033832" w14:paraId="1A07F0E0" w14:textId="77777777">
      <w:pPr>
        <w:pStyle w:val="ParaNum"/>
        <w:numPr>
          <w:ilvl w:val="0"/>
          <w:numId w:val="0"/>
        </w:numPr>
        <w:spacing w:after="0"/>
        <w:ind w:left="4320"/>
        <w:rPr>
          <w:szCs w:val="22"/>
        </w:rPr>
      </w:pPr>
      <w:r>
        <w:rPr>
          <w:szCs w:val="22"/>
        </w:rPr>
        <w:t>Kris Anne Monteith</w:t>
      </w:r>
    </w:p>
    <w:p w:rsidR="00033832" w:rsidP="00033832" w14:paraId="3DB0863C" w14:textId="77777777">
      <w:pPr>
        <w:pStyle w:val="ParaNum"/>
        <w:numPr>
          <w:ilvl w:val="0"/>
          <w:numId w:val="0"/>
        </w:numPr>
        <w:spacing w:after="0"/>
        <w:ind w:left="4320"/>
        <w:rPr>
          <w:szCs w:val="22"/>
        </w:rPr>
      </w:pPr>
      <w:r>
        <w:rPr>
          <w:szCs w:val="22"/>
        </w:rPr>
        <w:t>Chief</w:t>
      </w:r>
    </w:p>
    <w:p w:rsidR="00412FC5" w:rsidRPr="00033832" w:rsidP="00B107C9" w14:paraId="5888CAF4" w14:textId="32E76434">
      <w:pPr>
        <w:pStyle w:val="ParaNum"/>
        <w:numPr>
          <w:ilvl w:val="0"/>
          <w:numId w:val="0"/>
        </w:numPr>
        <w:spacing w:after="0"/>
        <w:ind w:left="4320"/>
      </w:pPr>
      <w:r>
        <w:rPr>
          <w:szCs w:val="22"/>
        </w:rPr>
        <w:t>Wireline Competition Bureau</w:t>
      </w:r>
      <w:r>
        <w:rPr>
          <w:szCs w:val="22"/>
        </w:rPr>
        <w:tab/>
      </w:r>
      <w:r>
        <w:rPr>
          <w:szCs w:val="22"/>
        </w:rPr>
        <w:tab/>
        <w:t xml:space="preserve"> </w:t>
      </w:r>
      <w:r>
        <w:rPr>
          <w:szCs w:val="22"/>
        </w:rPr>
        <w:tab/>
      </w:r>
      <w:r>
        <w:rPr>
          <w:szCs w:val="22"/>
        </w:rPr>
        <w:tab/>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DA75195"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6F191F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D7308" w14:paraId="6EF6AE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p w:rsidR="00D25FB5" w14:paraId="08996A31"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0928900D"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33832" w14:paraId="12DEDEFD" w14:textId="77777777">
      <w:r>
        <w:separator/>
      </w:r>
    </w:p>
  </w:footnote>
  <w:footnote w:type="continuationSeparator" w:id="1">
    <w:p w:rsidR="00033832" w:rsidP="00C721AC" w14:paraId="006F1372" w14:textId="77777777">
      <w:pPr>
        <w:spacing w:before="120"/>
        <w:rPr>
          <w:sz w:val="20"/>
        </w:rPr>
      </w:pPr>
      <w:r>
        <w:rPr>
          <w:sz w:val="20"/>
        </w:rPr>
        <w:t xml:space="preserve">(Continued from previous page)  </w:t>
      </w:r>
      <w:r>
        <w:rPr>
          <w:sz w:val="20"/>
        </w:rPr>
        <w:separator/>
      </w:r>
    </w:p>
  </w:footnote>
  <w:footnote w:type="continuationNotice" w:id="2">
    <w:p w:rsidR="00033832" w:rsidP="00C721AC" w14:paraId="668E8842" w14:textId="77777777">
      <w:pPr>
        <w:jc w:val="right"/>
        <w:rPr>
          <w:sz w:val="20"/>
        </w:rPr>
      </w:pPr>
      <w:r>
        <w:rPr>
          <w:sz w:val="20"/>
        </w:rPr>
        <w:t>(continued….)</w:t>
      </w:r>
    </w:p>
  </w:footnote>
  <w:footnote w:id="3">
    <w:p w:rsidR="00033832" w:rsidP="00033832" w14:paraId="6AC082E6" w14:textId="6E7184A4">
      <w:pPr>
        <w:pStyle w:val="FootnoteText"/>
      </w:pPr>
      <w:r>
        <w:rPr>
          <w:rStyle w:val="FootnoteReference"/>
        </w:rPr>
        <w:footnoteRef/>
      </w:r>
      <w:r>
        <w:t xml:space="preserve"> Letter from Tina Moore, Compliance Officer, Southwest Arkansas Telephone Cooperative, Inc., to Kris Monteith, Bureau </w:t>
      </w:r>
      <w:r w:rsidRPr="00C7718E">
        <w:t>Chief, Wireline Competition Bureau, F</w:t>
      </w:r>
      <w:r>
        <w:t>ederal Communications Commission (</w:t>
      </w:r>
      <w:r w:rsidR="00586F5A">
        <w:t>filed</w:t>
      </w:r>
      <w:r>
        <w:t xml:space="preserve"> Sept. 13, 2019) (SWAT Request).  </w:t>
      </w:r>
      <w:r w:rsidR="004E4303">
        <w:t>Postretirement benefit</w:t>
      </w:r>
      <w:r w:rsidRPr="00A85860" w:rsidR="004E4303">
        <w:t xml:space="preserve">s </w:t>
      </w:r>
      <w:r w:rsidR="004E4303">
        <w:t>(</w:t>
      </w:r>
      <w:r w:rsidRPr="00A85860">
        <w:t>OPEBs</w:t>
      </w:r>
      <w:r w:rsidR="004E4303">
        <w:t>)</w:t>
      </w:r>
      <w:r w:rsidRPr="00A85860">
        <w:t xml:space="preserve"> typically include health and dental care benefits and life insurance</w:t>
      </w:r>
      <w:r>
        <w:t xml:space="preserve"> for retired employees</w:t>
      </w:r>
      <w:r w:rsidRPr="00A85860">
        <w:t>.</w:t>
      </w:r>
      <w:r w:rsidRPr="00A85860">
        <w:rPr>
          <w:i/>
          <w:iCs/>
        </w:rPr>
        <w:t xml:space="preserve"> </w:t>
      </w:r>
      <w:r>
        <w:rPr>
          <w:i/>
          <w:iCs/>
        </w:rPr>
        <w:t xml:space="preserve"> See 1993 Annual Access Tariff Filings Phase 1, et al.</w:t>
      </w:r>
      <w:r>
        <w:t>, CC Docket No. 94-65 et al., 20 FCC Rcd 7672, 7673, para. 2 (2005).</w:t>
      </w:r>
    </w:p>
  </w:footnote>
  <w:footnote w:id="4">
    <w:p w:rsidR="00033832" w:rsidP="00033832" w14:paraId="766A9847" w14:textId="2241B52C">
      <w:pPr>
        <w:pStyle w:val="FootnoteText"/>
      </w:pPr>
      <w:r>
        <w:rPr>
          <w:rStyle w:val="FootnoteReference"/>
        </w:rPr>
        <w:footnoteRef/>
      </w:r>
      <w:r>
        <w:t xml:space="preserve"> </w:t>
      </w:r>
      <w:r w:rsidR="008678D1">
        <w:rPr>
          <w:i/>
          <w:iCs/>
        </w:rPr>
        <w:t xml:space="preserve">See </w:t>
      </w:r>
      <w:r w:rsidRPr="008C32AD" w:rsidR="007225D8">
        <w:rPr>
          <w:i/>
          <w:iCs/>
        </w:rPr>
        <w:t>Arkansas Local Access Transport,</w:t>
      </w:r>
      <w:r w:rsidR="007225D8">
        <w:rPr>
          <w:i/>
          <w:iCs/>
        </w:rPr>
        <w:t xml:space="preserve"> Southwest Arkansas Telephone Cooperative Latas</w:t>
      </w:r>
      <w:r>
        <w:t xml:space="preserve">, </w:t>
      </w:r>
      <w:hyperlink r:id="rId1" w:history="1">
        <w:r w:rsidRPr="00C11076" w:rsidR="006B0809">
          <w:rPr>
            <w:rStyle w:val="Hyperlink"/>
          </w:rPr>
          <w:t>https://www.swat.coop/documents/arkansas-local-access-transport</w:t>
        </w:r>
      </w:hyperlink>
      <w:r w:rsidR="006B0809">
        <w:t xml:space="preserve"> </w:t>
      </w:r>
      <w:r>
        <w:t xml:space="preserve">(last visited </w:t>
      </w:r>
      <w:r w:rsidR="00696657">
        <w:t>Jan. 20, 2022</w:t>
      </w:r>
      <w:r>
        <w:t>).</w:t>
      </w:r>
    </w:p>
  </w:footnote>
  <w:footnote w:id="5">
    <w:p w:rsidR="00033832" w:rsidP="00033832" w14:paraId="7260DD1E" w14:textId="77777777">
      <w:pPr>
        <w:pStyle w:val="FootnoteText"/>
      </w:pPr>
      <w:r>
        <w:rPr>
          <w:rStyle w:val="FootnoteReference"/>
        </w:rPr>
        <w:footnoteRef/>
      </w:r>
      <w:r>
        <w:t xml:space="preserve"> SWAT Request at 1.</w:t>
      </w:r>
    </w:p>
  </w:footnote>
  <w:footnote w:id="6">
    <w:p w:rsidR="00033832" w:rsidRPr="009813A4" w:rsidP="00033832" w14:paraId="090FB586" w14:textId="49700E69">
      <w:pPr>
        <w:pStyle w:val="FootnoteText"/>
      </w:pPr>
      <w:r>
        <w:rPr>
          <w:rStyle w:val="FootnoteReference"/>
        </w:rPr>
        <w:footnoteRef/>
      </w:r>
      <w:r>
        <w:t xml:space="preserve"> </w:t>
      </w:r>
      <w:r w:rsidR="001F060B">
        <w:rPr>
          <w:i/>
          <w:iCs/>
        </w:rPr>
        <w:t>Id</w:t>
      </w:r>
      <w:r>
        <w:t>.</w:t>
      </w:r>
    </w:p>
  </w:footnote>
  <w:footnote w:id="7">
    <w:p w:rsidR="00033832" w:rsidRPr="009813A4" w:rsidP="00033832" w14:paraId="3AB37F44" w14:textId="41E95A47">
      <w:pPr>
        <w:pStyle w:val="FootnoteText"/>
      </w:pPr>
      <w:r>
        <w:rPr>
          <w:rStyle w:val="FootnoteReference"/>
        </w:rPr>
        <w:footnoteRef/>
      </w:r>
      <w:r>
        <w:t xml:space="preserve"> </w:t>
      </w:r>
      <w:r w:rsidR="005D3434">
        <w:rPr>
          <w:i/>
          <w:iCs/>
        </w:rPr>
        <w:t xml:space="preserve">Id. </w:t>
      </w:r>
      <w:r>
        <w:t>at 2.</w:t>
      </w:r>
    </w:p>
  </w:footnote>
  <w:footnote w:id="8">
    <w:p w:rsidR="00033832" w:rsidRPr="00BA2701" w:rsidP="00033832" w14:paraId="13262647" w14:textId="05DB7EA1">
      <w:pPr>
        <w:pStyle w:val="FootnoteText"/>
      </w:pPr>
      <w:r>
        <w:rPr>
          <w:rStyle w:val="FootnoteReference"/>
        </w:rPr>
        <w:footnoteRef/>
      </w:r>
      <w:r>
        <w:t xml:space="preserve"> </w:t>
      </w:r>
      <w:r w:rsidR="00E8001D">
        <w:rPr>
          <w:i/>
          <w:iCs/>
        </w:rPr>
        <w:t>Id.</w:t>
      </w:r>
      <w:r>
        <w:t xml:space="preserve"> at 2.</w:t>
      </w:r>
    </w:p>
  </w:footnote>
  <w:footnote w:id="9">
    <w:p w:rsidR="00033832" w:rsidP="00033832" w14:paraId="39972BB7" w14:textId="3625BCB5">
      <w:pPr>
        <w:pStyle w:val="FootnoteText"/>
      </w:pPr>
      <w:r>
        <w:rPr>
          <w:rStyle w:val="FootnoteReference"/>
        </w:rPr>
        <w:footnoteRef/>
      </w:r>
      <w:r>
        <w:t xml:space="preserve"> </w:t>
      </w:r>
      <w:r w:rsidR="00E8001D">
        <w:rPr>
          <w:i/>
          <w:iCs/>
        </w:rPr>
        <w:t>Id.</w:t>
      </w:r>
      <w:r>
        <w:t xml:space="preserve"> at 1.</w:t>
      </w:r>
    </w:p>
  </w:footnote>
  <w:footnote w:id="10">
    <w:p w:rsidR="00033832" w:rsidRPr="00392704" w:rsidP="00033832" w14:paraId="7774CE9D" w14:textId="2B6A2CFA">
      <w:pPr>
        <w:pStyle w:val="FootnoteText"/>
      </w:pPr>
      <w:r>
        <w:rPr>
          <w:rStyle w:val="FootnoteReference"/>
        </w:rPr>
        <w:footnoteRef/>
      </w:r>
      <w:r w:rsidRPr="00981960">
        <w:t xml:space="preserve"> </w:t>
      </w:r>
      <w:r w:rsidR="00E8001D">
        <w:rPr>
          <w:i/>
          <w:iCs/>
        </w:rPr>
        <w:t>Id.</w:t>
      </w:r>
      <w:r>
        <w:t xml:space="preserve"> at 2</w:t>
      </w:r>
      <w:r w:rsidRPr="00392704">
        <w:t xml:space="preserve">. </w:t>
      </w:r>
      <w:r>
        <w:t xml:space="preserve"> </w:t>
      </w:r>
      <w:r w:rsidRPr="008451AF">
        <w:t>The current rate of return is 9.75 percent.</w:t>
      </w:r>
      <w:r>
        <w:t xml:space="preserve"> </w:t>
      </w:r>
      <w:r w:rsidR="00155B27">
        <w:t xml:space="preserve"> </w:t>
      </w:r>
      <w:r w:rsidR="00321B23">
        <w:rPr>
          <w:i/>
          <w:iCs/>
        </w:rPr>
        <w:t xml:space="preserve">See </w:t>
      </w:r>
      <w:r w:rsidRPr="00574A74" w:rsidR="00155B27">
        <w:rPr>
          <w:i/>
          <w:iCs/>
        </w:rPr>
        <w:t>Connect America Fund et al.</w:t>
      </w:r>
      <w:r w:rsidRPr="00155B27" w:rsidR="00155B27">
        <w:t>, WC Docket No. 10-90 et al., Report and Order, Order and Order on Reconsideration and Further Notice of Proposed Rulemaking, 31 FCC Rcd 308</w:t>
      </w:r>
      <w:r w:rsidR="008C32AD">
        <w:t>7</w:t>
      </w:r>
      <w:r w:rsidR="00155B27">
        <w:t xml:space="preserve">, </w:t>
      </w:r>
      <w:r w:rsidR="008C32AD">
        <w:t>3212</w:t>
      </w:r>
      <w:r w:rsidR="00DD5B2B">
        <w:t>,</w:t>
      </w:r>
      <w:r w:rsidR="008C32AD">
        <w:t xml:space="preserve"> </w:t>
      </w:r>
      <w:r w:rsidR="00155B27">
        <w:t>para. 326</w:t>
      </w:r>
      <w:r w:rsidRPr="00155B27" w:rsidR="00155B27">
        <w:t xml:space="preserve"> (2016)</w:t>
      </w:r>
      <w:r w:rsidR="00155B27">
        <w:t xml:space="preserve">. </w:t>
      </w:r>
    </w:p>
  </w:footnote>
  <w:footnote w:id="11">
    <w:p w:rsidR="00033832" w:rsidP="00033832" w14:paraId="572753A5" w14:textId="77777777">
      <w:pPr>
        <w:pStyle w:val="FootnoteText"/>
      </w:pPr>
      <w:r>
        <w:rPr>
          <w:rStyle w:val="FootnoteReference"/>
        </w:rPr>
        <w:footnoteRef/>
      </w:r>
      <w:r>
        <w:t xml:space="preserve"> SWAT Request at 2.</w:t>
      </w:r>
    </w:p>
  </w:footnote>
  <w:footnote w:id="12">
    <w:p w:rsidR="00033832" w:rsidP="00033832" w14:paraId="1AC0CF77" w14:textId="6AE5A31A">
      <w:pPr>
        <w:pStyle w:val="FootnoteText"/>
      </w:pPr>
      <w:r>
        <w:rPr>
          <w:rStyle w:val="FootnoteReference"/>
        </w:rPr>
        <w:footnoteRef/>
      </w:r>
      <w:r>
        <w:t xml:space="preserve"> </w:t>
      </w:r>
      <w:r w:rsidR="001F060B">
        <w:rPr>
          <w:i/>
          <w:iCs/>
        </w:rPr>
        <w:t>Id</w:t>
      </w:r>
      <w:r>
        <w:t>.</w:t>
      </w:r>
    </w:p>
  </w:footnote>
  <w:footnote w:id="13">
    <w:p w:rsidR="00033832" w:rsidRPr="00373767" w:rsidP="00033832" w14:paraId="71E3B8A2" w14:textId="06AF1396">
      <w:pPr>
        <w:pStyle w:val="FootnoteText"/>
      </w:pPr>
      <w:r>
        <w:rPr>
          <w:rStyle w:val="FootnoteReference"/>
        </w:rPr>
        <w:footnoteRef/>
      </w:r>
      <w:r>
        <w:t xml:space="preserve"> </w:t>
      </w:r>
      <w:r w:rsidR="001F060B">
        <w:rPr>
          <w:i/>
          <w:iCs/>
        </w:rPr>
        <w:t>Id</w:t>
      </w:r>
      <w:r>
        <w:rPr>
          <w:i/>
          <w:iCs/>
        </w:rPr>
        <w:t>.</w:t>
      </w:r>
    </w:p>
  </w:footnote>
  <w:footnote w:id="14">
    <w:p w:rsidR="00033832" w:rsidRPr="00246EB7" w:rsidP="00033832" w14:paraId="482F05BA" w14:textId="77777777">
      <w:pPr>
        <w:pStyle w:val="FootnoteText"/>
      </w:pPr>
      <w:r>
        <w:rPr>
          <w:rStyle w:val="FootnoteReference"/>
        </w:rPr>
        <w:footnoteRef/>
      </w:r>
      <w:r>
        <w:t xml:space="preserve"> SWAT Request, Attachment (NTCA Memorandum).</w:t>
      </w:r>
    </w:p>
  </w:footnote>
  <w:footnote w:id="15">
    <w:p w:rsidR="00033832" w:rsidP="00033832" w14:paraId="4EFB998B" w14:textId="77777777">
      <w:pPr>
        <w:pStyle w:val="FootnoteText"/>
      </w:pPr>
      <w:r>
        <w:rPr>
          <w:rStyle w:val="FootnoteReference"/>
        </w:rPr>
        <w:footnoteRef/>
      </w:r>
      <w:r>
        <w:t xml:space="preserve"> NTCA Memorandum at 1.</w:t>
      </w:r>
    </w:p>
  </w:footnote>
  <w:footnote w:id="16">
    <w:p w:rsidR="00033832" w:rsidRPr="00707561" w:rsidP="00033832" w14:paraId="253E55B2" w14:textId="058F0DC7">
      <w:pPr>
        <w:pStyle w:val="FootnoteText"/>
      </w:pPr>
      <w:r>
        <w:rPr>
          <w:rStyle w:val="FootnoteReference"/>
        </w:rPr>
        <w:footnoteRef/>
      </w:r>
      <w:r>
        <w:t xml:space="preserve"> </w:t>
      </w:r>
      <w:r w:rsidR="001F060B">
        <w:rPr>
          <w:i/>
          <w:iCs/>
        </w:rPr>
        <w:t>Id</w:t>
      </w:r>
      <w:r>
        <w:rPr>
          <w:i/>
          <w:iCs/>
        </w:rPr>
        <w:t>.</w:t>
      </w:r>
    </w:p>
  </w:footnote>
  <w:footnote w:id="17">
    <w:p w:rsidR="00033832" w:rsidRPr="00505A56" w:rsidP="00033832" w14:paraId="636A4C3A" w14:textId="5C104C2E">
      <w:pPr>
        <w:pStyle w:val="FootnoteText"/>
      </w:pPr>
      <w:r>
        <w:rPr>
          <w:rStyle w:val="FootnoteReference"/>
        </w:rPr>
        <w:footnoteRef/>
      </w:r>
      <w:r>
        <w:t xml:space="preserve"> </w:t>
      </w:r>
      <w:r w:rsidR="001F060B">
        <w:rPr>
          <w:i/>
          <w:iCs/>
        </w:rPr>
        <w:t>Id</w:t>
      </w:r>
      <w:r>
        <w:t xml:space="preserve">. </w:t>
      </w:r>
    </w:p>
  </w:footnote>
  <w:footnote w:id="18">
    <w:p w:rsidR="00033832" w:rsidP="00033832" w14:paraId="7FFB409B" w14:textId="72702E0B">
      <w:pPr>
        <w:pStyle w:val="FootnoteText"/>
      </w:pPr>
      <w:r>
        <w:rPr>
          <w:rStyle w:val="FootnoteReference"/>
        </w:rPr>
        <w:footnoteRef/>
      </w:r>
      <w:r>
        <w:t xml:space="preserve"> </w:t>
      </w:r>
      <w:r w:rsidRPr="007648C4">
        <w:rPr>
          <w:i/>
          <w:iCs/>
        </w:rPr>
        <w:t>Request of Southwest Arkansas Telephone Cooperative, Inc., for Authority to Include in Its Rate Base the Interstate Portion of the Prepaid Accumulated Post-Retirement Benefits in Account 1410, Other Noncurrent Assets</w:t>
      </w:r>
      <w:r>
        <w:t>,</w:t>
      </w:r>
      <w:r w:rsidR="007648C4">
        <w:t xml:space="preserve"> </w:t>
      </w:r>
      <w:r>
        <w:t xml:space="preserve"> WC Docket No. 19-286</w:t>
      </w:r>
      <w:r w:rsidR="007648C4">
        <w:t xml:space="preserve">, Public Notice, </w:t>
      </w:r>
      <w:r w:rsidR="00EB3D2B">
        <w:t>34 FCC Rcd 9317</w:t>
      </w:r>
      <w:r w:rsidR="008A0465">
        <w:t xml:space="preserve"> </w:t>
      </w:r>
      <w:r>
        <w:t>(</w:t>
      </w:r>
      <w:r w:rsidR="008A0465">
        <w:t>WCB</w:t>
      </w:r>
      <w:r>
        <w:t xml:space="preserve"> 2019).</w:t>
      </w:r>
    </w:p>
  </w:footnote>
  <w:footnote w:id="19">
    <w:p w:rsidR="00033832" w:rsidP="00033832" w14:paraId="64EA7DF5" w14:textId="0720EE51">
      <w:pPr>
        <w:pStyle w:val="FootnoteText"/>
      </w:pPr>
      <w:r>
        <w:rPr>
          <w:rStyle w:val="FootnoteReference"/>
        </w:rPr>
        <w:footnoteRef/>
      </w:r>
      <w:r>
        <w:t xml:space="preserve"> 47 CFR §§</w:t>
      </w:r>
      <w:r w:rsidR="00277B6A">
        <w:t> </w:t>
      </w:r>
      <w:r>
        <w:t>65.800</w:t>
      </w:r>
      <w:r w:rsidR="00967172">
        <w:t>,</w:t>
      </w:r>
      <w:r>
        <w:t xml:space="preserve"> 65.820(c); </w:t>
      </w:r>
      <w:r>
        <w:rPr>
          <w:i/>
        </w:rPr>
        <w:t>Responsible Accounting Officer Letter 20, Uniform Accounting for Postretirement Benefits Other Than Pensions in Part 32, Amendments to Part 65, Interstate Rate of Return Prescription Procedures and Methodologies, Subpart G, Rate Base</w:t>
      </w:r>
      <w:r>
        <w:t>, CC Docket No. 96-22, AAD 92-65, Report and Order, 12 FCC Rcd 2321, 2325, para. 12 (1997) (</w:t>
      </w:r>
      <w:r w:rsidRPr="0058440C">
        <w:rPr>
          <w:i/>
          <w:iCs/>
        </w:rPr>
        <w:t>RAO Report and Order</w:t>
      </w:r>
      <w:r w:rsidRPr="000F69F3">
        <w:t>)</w:t>
      </w:r>
      <w:r>
        <w:t>.</w:t>
      </w:r>
    </w:p>
  </w:footnote>
  <w:footnote w:id="20">
    <w:p w:rsidR="00033832" w:rsidP="00033832" w14:paraId="12EEFF64" w14:textId="15634A22">
      <w:pPr>
        <w:pStyle w:val="FootnoteText"/>
      </w:pPr>
      <w:r>
        <w:rPr>
          <w:rStyle w:val="FootnoteReference"/>
        </w:rPr>
        <w:footnoteRef/>
      </w:r>
      <w:r>
        <w:t xml:space="preserve"> </w:t>
      </w:r>
      <w:r w:rsidRPr="0058440C">
        <w:rPr>
          <w:i/>
          <w:iCs/>
        </w:rPr>
        <w:t>RAO Report and Order</w:t>
      </w:r>
      <w:r w:rsidR="00967172">
        <w:t xml:space="preserve">, 12 FCC Rcd </w:t>
      </w:r>
      <w:r>
        <w:t xml:space="preserve">at </w:t>
      </w:r>
      <w:r w:rsidRPr="000F69F3">
        <w:t>2325</w:t>
      </w:r>
      <w:r>
        <w:t>, para. 12.</w:t>
      </w:r>
    </w:p>
  </w:footnote>
  <w:footnote w:id="21">
    <w:p w:rsidR="00033832" w:rsidP="00033832" w14:paraId="75C85B91" w14:textId="286F6795">
      <w:pPr>
        <w:pStyle w:val="FootnoteText"/>
      </w:pPr>
      <w:r>
        <w:rPr>
          <w:rStyle w:val="FootnoteReference"/>
        </w:rPr>
        <w:footnoteRef/>
      </w:r>
      <w:r>
        <w:t xml:space="preserve"> </w:t>
      </w:r>
      <w:r w:rsidR="001F060B">
        <w:rPr>
          <w:i/>
          <w:iCs/>
        </w:rPr>
        <w:t>Id</w:t>
      </w:r>
      <w:r>
        <w:t>.</w:t>
      </w:r>
    </w:p>
  </w:footnote>
  <w:footnote w:id="22">
    <w:p w:rsidR="00033832" w:rsidP="00033832" w14:paraId="226DCB61" w14:textId="1D1FB061">
      <w:pPr>
        <w:pStyle w:val="FootnoteText"/>
      </w:pPr>
      <w:r>
        <w:rPr>
          <w:rStyle w:val="FootnoteReference"/>
        </w:rPr>
        <w:footnoteRef/>
      </w:r>
      <w:r>
        <w:t xml:space="preserve"> </w:t>
      </w:r>
      <w:r>
        <w:rPr>
          <w:i/>
          <w:iCs/>
        </w:rPr>
        <w:t xml:space="preserve">See Responsible Accounting Officer Letter 20, Uniform Accounting for Postretirement Benefits Other </w:t>
      </w:r>
      <w:r w:rsidR="00967172">
        <w:rPr>
          <w:i/>
          <w:iCs/>
        </w:rPr>
        <w:t>T</w:t>
      </w:r>
      <w:r>
        <w:rPr>
          <w:i/>
          <w:iCs/>
        </w:rPr>
        <w:t>han Pensions in Part 32, et al.</w:t>
      </w:r>
      <w:r>
        <w:t>, CC Docket No. 96-22, Report and Order, 11 FCC Rcd. 2957, 2962, para. 30 (1996).</w:t>
      </w:r>
    </w:p>
  </w:footnote>
  <w:footnote w:id="23">
    <w:p w:rsidR="00033832" w:rsidRPr="00707561" w:rsidP="00033832" w14:paraId="69200BE5" w14:textId="68DBFC0C">
      <w:pPr>
        <w:pStyle w:val="FootnoteText"/>
      </w:pPr>
      <w:r>
        <w:rPr>
          <w:rStyle w:val="FootnoteReference"/>
        </w:rPr>
        <w:footnoteRef/>
      </w:r>
      <w:r>
        <w:t xml:space="preserve"> </w:t>
      </w:r>
      <w:r>
        <w:rPr>
          <w:i/>
        </w:rPr>
        <w:t>Roosevelt County Rural Telephone Cooperative, Inc., Petition to Include the Interstate Portion of a Prepaid Accumulated Post-Retirement Benefit Obligation, Recorded in Account 1410, in the Rate Base</w:t>
      </w:r>
      <w:r>
        <w:t xml:space="preserve">, WCB/Pricing </w:t>
      </w:r>
      <w:r w:rsidR="00AE6CD1">
        <w:t xml:space="preserve">Docket No. </w:t>
      </w:r>
      <w:r>
        <w:t>05-31, Order, 21 FCC Rcd 2880, 2882, para. 6 (2006).</w:t>
      </w:r>
    </w:p>
  </w:footnote>
  <w:footnote w:id="24">
    <w:p w:rsidR="00033832" w:rsidP="00033832" w14:paraId="0D755139" w14:textId="118F9C9D">
      <w:pPr>
        <w:pStyle w:val="FootnoteText"/>
      </w:pPr>
      <w:r>
        <w:rPr>
          <w:rStyle w:val="FootnoteReference"/>
        </w:rPr>
        <w:footnoteRef/>
      </w:r>
      <w:r>
        <w:t xml:space="preserve"> </w:t>
      </w:r>
      <w:r w:rsidRPr="00CF18EB">
        <w:rPr>
          <w:i/>
        </w:rPr>
        <w:t>Duo County Telephone</w:t>
      </w:r>
      <w:r>
        <w:rPr>
          <w:i/>
        </w:rPr>
        <w:t xml:space="preserve"> Cooperative, Inc., Request to Include in </w:t>
      </w:r>
      <w:r w:rsidR="00967172">
        <w:rPr>
          <w:i/>
        </w:rPr>
        <w:t>I</w:t>
      </w:r>
      <w:r>
        <w:rPr>
          <w:i/>
        </w:rPr>
        <w:t>ts Rate Base the Interstate Portion of the Prepaid Post-Employment Health Benefits Recorded in Account 1410, Other Noncurrent Assets, et al.</w:t>
      </w:r>
      <w:r>
        <w:t xml:space="preserve">, WC Docket No. 06-183 </w:t>
      </w:r>
      <w:r>
        <w:rPr>
          <w:i/>
        </w:rPr>
        <w:t>et al.</w:t>
      </w:r>
      <w:r>
        <w:t>, Memorandum Opinion and Order, 23 FCC Rcd 1267</w:t>
      </w:r>
      <w:r w:rsidR="00C11336">
        <w:t>, 1271, para. 7</w:t>
      </w:r>
      <w:r>
        <w:t xml:space="preserve"> (2008</w:t>
      </w:r>
      <w:r>
        <w:rPr>
          <w:szCs w:val="22"/>
        </w:rPr>
        <w:t>)</w:t>
      </w:r>
      <w:r>
        <w:t xml:space="preserve">; </w:t>
      </w:r>
      <w:r>
        <w:rPr>
          <w:i/>
        </w:rPr>
        <w:t xml:space="preserve">Central Arkansas Telephone Cooperative, Inc., Request for Authority to Include in </w:t>
      </w:r>
      <w:r w:rsidR="00967172">
        <w:rPr>
          <w:i/>
        </w:rPr>
        <w:t>I</w:t>
      </w:r>
      <w:r>
        <w:rPr>
          <w:i/>
        </w:rPr>
        <w:t>ts Rate Base the Interstate Portion of the Prepaid Accumulated Postretirement Benefits Recorded in Account 1410, Other Noncurrent Assets</w:t>
      </w:r>
      <w:r>
        <w:t>, WC Docket No. 14-3, 29 FCC Rcd 2085</w:t>
      </w:r>
      <w:r w:rsidR="00B03836">
        <w:t>, 2086, para. 5</w:t>
      </w:r>
      <w:r>
        <w:t xml:space="preserve"> (2014).  </w:t>
      </w:r>
    </w:p>
  </w:footnote>
  <w:footnote w:id="25">
    <w:p w:rsidR="00033832" w:rsidP="00033832" w14:paraId="68B9A2F0" w14:textId="4D77E7A2">
      <w:pPr>
        <w:pStyle w:val="FootnoteText"/>
      </w:pPr>
      <w:r>
        <w:rPr>
          <w:rStyle w:val="FootnoteReference"/>
        </w:rPr>
        <w:footnoteRef/>
      </w:r>
      <w:r>
        <w:t xml:space="preserve"> 47 CFR §</w:t>
      </w:r>
      <w:r w:rsidR="00967172">
        <w:t> </w:t>
      </w:r>
      <w:r>
        <w:t>65.800.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4813FB10" w14:textId="29012D79">
    <w:pPr>
      <w:pStyle w:val="Header"/>
      <w:rPr>
        <w:b w:val="0"/>
      </w:rPr>
    </w:pPr>
    <w:r>
      <w:tab/>
      <w:t>Federal Communications Commission</w:t>
    </w:r>
    <w:r>
      <w:tab/>
    </w:r>
    <w:r w:rsidR="00DA6758">
      <w:t xml:space="preserve">DA </w:t>
    </w:r>
    <w:r w:rsidR="00B467F1">
      <w:t>22-69</w:t>
    </w:r>
  </w:p>
  <w:p w:rsidR="00D25FB5" w14:paraId="41938222" w14:textId="50723E03">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14:paraId="52F42CB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03C07997" w14:textId="1A243F89">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sidR="00DA6758">
      <w:rPr>
        <w:spacing w:val="-2"/>
      </w:rPr>
      <w:t xml:space="preserve">DA </w:t>
    </w:r>
    <w:r w:rsidR="00B467F1">
      <w:rPr>
        <w:spacing w:val="-2"/>
      </w:rPr>
      <w:t>22-69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F09508A"/>
    <w:multiLevelType w:val="multilevel"/>
    <w:tmpl w:val="7D5A78C2"/>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noFill/>
          <w14:prstDash w14:val="solid"/>
          <w14:bevel/>
        </w14:textOutline>
      </w:rPr>
    </w:lvl>
  </w:abstractNum>
  <w:abstractNum w:abstractNumId="6">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7">
    <w:nsid w:val="541F6B38"/>
    <w:multiLevelType w:val="multilevel"/>
    <w:tmpl w:val="D892E404"/>
    <w:lvl w:ilvl="0">
      <w:start w:val="1"/>
      <w:numFmt w:val="upperRoman"/>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noFill/>
          <w14:prstDash w14:val="solid"/>
          <w14:bevel/>
        </w14:textOutline>
      </w:r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2"/>
  </w:num>
  <w:num w:numId="2">
    <w:abstractNumId w:val="8"/>
  </w:num>
  <w:num w:numId="3">
    <w:abstractNumId w:val="4"/>
  </w:num>
  <w:num w:numId="4">
    <w:abstractNumId w:val="6"/>
  </w:num>
  <w:num w:numId="5">
    <w:abstractNumId w:val="3"/>
  </w:num>
  <w:num w:numId="6">
    <w:abstractNumId w:val="0"/>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bordersDoNotSurroundHeader/>
  <w:bordersDoNotSurroundFooter/>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3832"/>
    <w:rsid w:val="00033832"/>
    <w:rsid w:val="00036039"/>
    <w:rsid w:val="00037F90"/>
    <w:rsid w:val="00046C70"/>
    <w:rsid w:val="000875BF"/>
    <w:rsid w:val="00096D8C"/>
    <w:rsid w:val="000C0B65"/>
    <w:rsid w:val="000E05FE"/>
    <w:rsid w:val="000E3D42"/>
    <w:rsid w:val="000F69F3"/>
    <w:rsid w:val="00122BD5"/>
    <w:rsid w:val="00133F79"/>
    <w:rsid w:val="00155B27"/>
    <w:rsid w:val="001877E1"/>
    <w:rsid w:val="00194A66"/>
    <w:rsid w:val="001D6BCF"/>
    <w:rsid w:val="001D7A56"/>
    <w:rsid w:val="001E01CA"/>
    <w:rsid w:val="001F060B"/>
    <w:rsid w:val="00205403"/>
    <w:rsid w:val="00246EB7"/>
    <w:rsid w:val="00275CF5"/>
    <w:rsid w:val="00277B6A"/>
    <w:rsid w:val="0028301F"/>
    <w:rsid w:val="00285017"/>
    <w:rsid w:val="002A2D2E"/>
    <w:rsid w:val="002B2E08"/>
    <w:rsid w:val="002C00E8"/>
    <w:rsid w:val="002C446E"/>
    <w:rsid w:val="002D50EF"/>
    <w:rsid w:val="003068F3"/>
    <w:rsid w:val="00321B23"/>
    <w:rsid w:val="00343749"/>
    <w:rsid w:val="003660ED"/>
    <w:rsid w:val="00373767"/>
    <w:rsid w:val="0038567F"/>
    <w:rsid w:val="00392704"/>
    <w:rsid w:val="003A37B6"/>
    <w:rsid w:val="003B0550"/>
    <w:rsid w:val="003B694F"/>
    <w:rsid w:val="003E2C12"/>
    <w:rsid w:val="003F171C"/>
    <w:rsid w:val="00412FC5"/>
    <w:rsid w:val="00422276"/>
    <w:rsid w:val="004242F1"/>
    <w:rsid w:val="00445A00"/>
    <w:rsid w:val="00451B0F"/>
    <w:rsid w:val="00457DB6"/>
    <w:rsid w:val="004C2EE3"/>
    <w:rsid w:val="004E4303"/>
    <w:rsid w:val="004E4A22"/>
    <w:rsid w:val="00505A56"/>
    <w:rsid w:val="00511968"/>
    <w:rsid w:val="00522D6B"/>
    <w:rsid w:val="0055614C"/>
    <w:rsid w:val="00566D06"/>
    <w:rsid w:val="00574A74"/>
    <w:rsid w:val="005802C0"/>
    <w:rsid w:val="0058440C"/>
    <w:rsid w:val="00586F5A"/>
    <w:rsid w:val="005959F7"/>
    <w:rsid w:val="005B539F"/>
    <w:rsid w:val="005D3434"/>
    <w:rsid w:val="005E14C2"/>
    <w:rsid w:val="00605604"/>
    <w:rsid w:val="006075FE"/>
    <w:rsid w:val="00607BA5"/>
    <w:rsid w:val="0061180A"/>
    <w:rsid w:val="00626EB6"/>
    <w:rsid w:val="00655D03"/>
    <w:rsid w:val="00683388"/>
    <w:rsid w:val="00683F84"/>
    <w:rsid w:val="00696657"/>
    <w:rsid w:val="006A6A81"/>
    <w:rsid w:val="006B0809"/>
    <w:rsid w:val="006F7393"/>
    <w:rsid w:val="0070224F"/>
    <w:rsid w:val="00706144"/>
    <w:rsid w:val="00707561"/>
    <w:rsid w:val="007115F7"/>
    <w:rsid w:val="007225D8"/>
    <w:rsid w:val="007639CB"/>
    <w:rsid w:val="007648C4"/>
    <w:rsid w:val="007809D6"/>
    <w:rsid w:val="00785689"/>
    <w:rsid w:val="0078799D"/>
    <w:rsid w:val="0079754B"/>
    <w:rsid w:val="007A1E6D"/>
    <w:rsid w:val="007B0EB2"/>
    <w:rsid w:val="00810B6F"/>
    <w:rsid w:val="00822CE0"/>
    <w:rsid w:val="00841AB1"/>
    <w:rsid w:val="008451AF"/>
    <w:rsid w:val="008678D1"/>
    <w:rsid w:val="008A0465"/>
    <w:rsid w:val="008A1F2B"/>
    <w:rsid w:val="008A235F"/>
    <w:rsid w:val="008C32AD"/>
    <w:rsid w:val="008C68F1"/>
    <w:rsid w:val="008E1182"/>
    <w:rsid w:val="008E24B2"/>
    <w:rsid w:val="00921803"/>
    <w:rsid w:val="00926503"/>
    <w:rsid w:val="00963066"/>
    <w:rsid w:val="00967172"/>
    <w:rsid w:val="009726D8"/>
    <w:rsid w:val="0097690E"/>
    <w:rsid w:val="009813A4"/>
    <w:rsid w:val="00981960"/>
    <w:rsid w:val="009C6AD3"/>
    <w:rsid w:val="009D7308"/>
    <w:rsid w:val="009F76DB"/>
    <w:rsid w:val="00A32C3B"/>
    <w:rsid w:val="00A45F4F"/>
    <w:rsid w:val="00A600A9"/>
    <w:rsid w:val="00A7062A"/>
    <w:rsid w:val="00A71844"/>
    <w:rsid w:val="00A85860"/>
    <w:rsid w:val="00AA55B7"/>
    <w:rsid w:val="00AA5B9E"/>
    <w:rsid w:val="00AB2407"/>
    <w:rsid w:val="00AB53DF"/>
    <w:rsid w:val="00AE6CD1"/>
    <w:rsid w:val="00B03836"/>
    <w:rsid w:val="00B07E5C"/>
    <w:rsid w:val="00B107C9"/>
    <w:rsid w:val="00B24B2E"/>
    <w:rsid w:val="00B467F1"/>
    <w:rsid w:val="00B54799"/>
    <w:rsid w:val="00B811F7"/>
    <w:rsid w:val="00B8605F"/>
    <w:rsid w:val="00B92DFA"/>
    <w:rsid w:val="00BA0045"/>
    <w:rsid w:val="00BA2701"/>
    <w:rsid w:val="00BA3162"/>
    <w:rsid w:val="00BA4806"/>
    <w:rsid w:val="00BA5DC6"/>
    <w:rsid w:val="00BA6196"/>
    <w:rsid w:val="00BC6D8C"/>
    <w:rsid w:val="00BC7159"/>
    <w:rsid w:val="00BE0DF6"/>
    <w:rsid w:val="00C11076"/>
    <w:rsid w:val="00C11336"/>
    <w:rsid w:val="00C11462"/>
    <w:rsid w:val="00C34006"/>
    <w:rsid w:val="00C349F2"/>
    <w:rsid w:val="00C36B4C"/>
    <w:rsid w:val="00C426B1"/>
    <w:rsid w:val="00C66160"/>
    <w:rsid w:val="00C721AC"/>
    <w:rsid w:val="00C7718E"/>
    <w:rsid w:val="00C90D6A"/>
    <w:rsid w:val="00CA247E"/>
    <w:rsid w:val="00CA6D21"/>
    <w:rsid w:val="00CC72B6"/>
    <w:rsid w:val="00CF18EB"/>
    <w:rsid w:val="00CF1D26"/>
    <w:rsid w:val="00D0218D"/>
    <w:rsid w:val="00D13864"/>
    <w:rsid w:val="00D2445D"/>
    <w:rsid w:val="00D25FB5"/>
    <w:rsid w:val="00D41B9A"/>
    <w:rsid w:val="00D43FC7"/>
    <w:rsid w:val="00D44223"/>
    <w:rsid w:val="00D44744"/>
    <w:rsid w:val="00DA2529"/>
    <w:rsid w:val="00DA6758"/>
    <w:rsid w:val="00DB130A"/>
    <w:rsid w:val="00DB2EBB"/>
    <w:rsid w:val="00DC10A1"/>
    <w:rsid w:val="00DC655F"/>
    <w:rsid w:val="00DD0B59"/>
    <w:rsid w:val="00DD5B2B"/>
    <w:rsid w:val="00DD7EBD"/>
    <w:rsid w:val="00DF62B6"/>
    <w:rsid w:val="00E07225"/>
    <w:rsid w:val="00E21882"/>
    <w:rsid w:val="00E5409F"/>
    <w:rsid w:val="00E8001D"/>
    <w:rsid w:val="00E95BDD"/>
    <w:rsid w:val="00EB3D2B"/>
    <w:rsid w:val="00EE6488"/>
    <w:rsid w:val="00EF4590"/>
    <w:rsid w:val="00F021FA"/>
    <w:rsid w:val="00F12D84"/>
    <w:rsid w:val="00F62E97"/>
    <w:rsid w:val="00F64209"/>
    <w:rsid w:val="00F93BF5"/>
    <w:rsid w:val="00FF47A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342B77"/>
  <w15:chartTrackingRefBased/>
  <w15:docId w15:val="{CF8AAEB6-F306-4C48-9CEF-17F1D1E5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54799"/>
    <w:pPr>
      <w:widowControl w:val="0"/>
    </w:pPr>
    <w:rPr>
      <w:snapToGrid w:val="0"/>
      <w:kern w:val="28"/>
      <w:sz w:val="22"/>
    </w:rPr>
  </w:style>
  <w:style w:type="paragraph" w:styleId="Heading1">
    <w:name w:val="heading 1"/>
    <w:basedOn w:val="Normal"/>
    <w:next w:val="ParaNum"/>
    <w:qFormat/>
    <w:rsid w:val="00B54799"/>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54799"/>
    <w:pPr>
      <w:keepNext/>
      <w:numPr>
        <w:ilvl w:val="1"/>
        <w:numId w:val="3"/>
      </w:numPr>
      <w:spacing w:after="120"/>
      <w:outlineLvl w:val="1"/>
    </w:pPr>
    <w:rPr>
      <w:b/>
    </w:rPr>
  </w:style>
  <w:style w:type="paragraph" w:styleId="Heading3">
    <w:name w:val="heading 3"/>
    <w:basedOn w:val="Normal"/>
    <w:next w:val="ParaNum"/>
    <w:qFormat/>
    <w:rsid w:val="00B54799"/>
    <w:pPr>
      <w:keepNext/>
      <w:numPr>
        <w:ilvl w:val="2"/>
        <w:numId w:val="3"/>
      </w:numPr>
      <w:tabs>
        <w:tab w:val="left" w:pos="2160"/>
      </w:tabs>
      <w:spacing w:after="120"/>
      <w:outlineLvl w:val="2"/>
    </w:pPr>
    <w:rPr>
      <w:b/>
    </w:rPr>
  </w:style>
  <w:style w:type="paragraph" w:styleId="Heading4">
    <w:name w:val="heading 4"/>
    <w:basedOn w:val="Normal"/>
    <w:next w:val="ParaNum"/>
    <w:qFormat/>
    <w:rsid w:val="00B54799"/>
    <w:pPr>
      <w:keepNext/>
      <w:numPr>
        <w:ilvl w:val="3"/>
        <w:numId w:val="3"/>
      </w:numPr>
      <w:tabs>
        <w:tab w:val="left" w:pos="2880"/>
      </w:tabs>
      <w:spacing w:after="120"/>
      <w:outlineLvl w:val="3"/>
    </w:pPr>
    <w:rPr>
      <w:b/>
    </w:rPr>
  </w:style>
  <w:style w:type="paragraph" w:styleId="Heading5">
    <w:name w:val="heading 5"/>
    <w:basedOn w:val="Normal"/>
    <w:next w:val="ParaNum"/>
    <w:qFormat/>
    <w:rsid w:val="00B54799"/>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B54799"/>
    <w:pPr>
      <w:numPr>
        <w:ilvl w:val="5"/>
        <w:numId w:val="3"/>
      </w:numPr>
      <w:tabs>
        <w:tab w:val="left" w:pos="4320"/>
      </w:tabs>
      <w:spacing w:after="120"/>
      <w:outlineLvl w:val="5"/>
    </w:pPr>
    <w:rPr>
      <w:b/>
    </w:rPr>
  </w:style>
  <w:style w:type="paragraph" w:styleId="Heading7">
    <w:name w:val="heading 7"/>
    <w:basedOn w:val="Normal"/>
    <w:next w:val="ParaNum"/>
    <w:qFormat/>
    <w:rsid w:val="00B5479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54799"/>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54799"/>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547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54799"/>
  </w:style>
  <w:style w:type="paragraph" w:customStyle="1" w:styleId="ParaNum">
    <w:name w:val="ParaNum"/>
    <w:basedOn w:val="Normal"/>
    <w:rsid w:val="00B54799"/>
    <w:pPr>
      <w:numPr>
        <w:numId w:val="2"/>
      </w:numPr>
      <w:tabs>
        <w:tab w:val="clear" w:pos="1080"/>
        <w:tab w:val="num" w:pos="1440"/>
      </w:tabs>
      <w:spacing w:after="120"/>
    </w:pPr>
  </w:style>
  <w:style w:type="paragraph" w:styleId="EndnoteText">
    <w:name w:val="endnote text"/>
    <w:basedOn w:val="Normal"/>
    <w:semiHidden/>
    <w:rsid w:val="00B54799"/>
    <w:rPr>
      <w:sz w:val="20"/>
    </w:rPr>
  </w:style>
  <w:style w:type="character" w:styleId="EndnoteReference">
    <w:name w:val="endnote reference"/>
    <w:semiHidden/>
    <w:rsid w:val="00B54799"/>
    <w:rPr>
      <w:vertAlign w:val="superscript"/>
    </w:rPr>
  </w:style>
  <w:style w:type="paragraph" w:styleId="FootnoteText">
    <w:name w:val="footnote text"/>
    <w:rsid w:val="00B54799"/>
    <w:pPr>
      <w:spacing w:after="120"/>
    </w:pPr>
  </w:style>
  <w:style w:type="character" w:styleId="FootnoteReference">
    <w:name w:val="footnote reference"/>
    <w:rsid w:val="00B54799"/>
    <w:rPr>
      <w:rFonts w:ascii="Times New Roman" w:hAnsi="Times New Roman"/>
      <w:dstrike w:val="0"/>
      <w:color w:val="auto"/>
      <w:sz w:val="20"/>
      <w:vertAlign w:val="superscript"/>
    </w:rPr>
  </w:style>
  <w:style w:type="paragraph" w:styleId="TOC1">
    <w:name w:val="toc 1"/>
    <w:basedOn w:val="Normal"/>
    <w:next w:val="Normal"/>
    <w:semiHidden/>
    <w:rsid w:val="00B54799"/>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54799"/>
    <w:pPr>
      <w:tabs>
        <w:tab w:val="left" w:pos="720"/>
        <w:tab w:val="right" w:leader="dot" w:pos="9360"/>
      </w:tabs>
      <w:suppressAutoHyphens/>
      <w:ind w:left="720" w:right="720" w:hanging="360"/>
    </w:pPr>
    <w:rPr>
      <w:noProof/>
    </w:rPr>
  </w:style>
  <w:style w:type="paragraph" w:styleId="TOC3">
    <w:name w:val="toc 3"/>
    <w:basedOn w:val="Normal"/>
    <w:next w:val="Normal"/>
    <w:semiHidden/>
    <w:rsid w:val="00B54799"/>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54799"/>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54799"/>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54799"/>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54799"/>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54799"/>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54799"/>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54799"/>
    <w:pPr>
      <w:tabs>
        <w:tab w:val="right" w:pos="9360"/>
      </w:tabs>
      <w:suppressAutoHyphens/>
    </w:pPr>
  </w:style>
  <w:style w:type="character" w:customStyle="1" w:styleId="EquationCaption">
    <w:name w:val="_Equation Caption"/>
    <w:rsid w:val="00B54799"/>
  </w:style>
  <w:style w:type="paragraph" w:styleId="Header">
    <w:name w:val="header"/>
    <w:basedOn w:val="Normal"/>
    <w:autoRedefine/>
    <w:rsid w:val="00B54799"/>
    <w:pPr>
      <w:tabs>
        <w:tab w:val="center" w:pos="4680"/>
        <w:tab w:val="right" w:pos="9360"/>
      </w:tabs>
    </w:pPr>
    <w:rPr>
      <w:b/>
    </w:rPr>
  </w:style>
  <w:style w:type="paragraph" w:styleId="Footer">
    <w:name w:val="footer"/>
    <w:basedOn w:val="Normal"/>
    <w:link w:val="FooterChar"/>
    <w:uiPriority w:val="99"/>
    <w:rsid w:val="00B54799"/>
    <w:pPr>
      <w:tabs>
        <w:tab w:val="center" w:pos="4320"/>
        <w:tab w:val="right" w:pos="8640"/>
      </w:tabs>
    </w:pPr>
  </w:style>
  <w:style w:type="character" w:styleId="PageNumber">
    <w:name w:val="page number"/>
    <w:basedOn w:val="DefaultParagraphFont"/>
    <w:rsid w:val="00B54799"/>
  </w:style>
  <w:style w:type="paragraph" w:styleId="BlockText">
    <w:name w:val="Block Text"/>
    <w:basedOn w:val="Normal"/>
    <w:rsid w:val="00B54799"/>
    <w:pPr>
      <w:spacing w:after="240"/>
      <w:ind w:left="1440" w:right="1440"/>
    </w:pPr>
  </w:style>
  <w:style w:type="paragraph" w:customStyle="1" w:styleId="Paratitle">
    <w:name w:val="Para title"/>
    <w:basedOn w:val="Normal"/>
    <w:rsid w:val="00B54799"/>
    <w:pPr>
      <w:tabs>
        <w:tab w:val="center" w:pos="9270"/>
      </w:tabs>
      <w:spacing w:after="240"/>
    </w:pPr>
    <w:rPr>
      <w:spacing w:val="-2"/>
    </w:rPr>
  </w:style>
  <w:style w:type="paragraph" w:customStyle="1" w:styleId="Bullet">
    <w:name w:val="Bullet"/>
    <w:basedOn w:val="Normal"/>
    <w:rsid w:val="00B54799"/>
    <w:pPr>
      <w:tabs>
        <w:tab w:val="left" w:pos="2160"/>
      </w:tabs>
      <w:spacing w:after="220"/>
      <w:ind w:left="2160" w:hanging="720"/>
    </w:pPr>
  </w:style>
  <w:style w:type="paragraph" w:customStyle="1" w:styleId="TableFormat">
    <w:name w:val="TableFormat"/>
    <w:basedOn w:val="Bullet"/>
    <w:rsid w:val="00B54799"/>
    <w:pPr>
      <w:tabs>
        <w:tab w:val="clear" w:pos="2160"/>
        <w:tab w:val="left" w:pos="5040"/>
      </w:tabs>
      <w:ind w:left="5040" w:hanging="3600"/>
    </w:pPr>
  </w:style>
  <w:style w:type="paragraph" w:customStyle="1" w:styleId="TOCTitle">
    <w:name w:val="TOC Title"/>
    <w:basedOn w:val="Normal"/>
    <w:rsid w:val="00B54799"/>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54799"/>
    <w:pPr>
      <w:jc w:val="center"/>
    </w:pPr>
    <w:rPr>
      <w:rFonts w:ascii="Times New Roman Bold" w:hAnsi="Times New Roman Bold"/>
      <w:b/>
      <w:bCs/>
      <w:caps/>
      <w:szCs w:val="22"/>
    </w:rPr>
  </w:style>
  <w:style w:type="character" w:styleId="Hyperlink">
    <w:name w:val="Hyperlink"/>
    <w:rsid w:val="00B54799"/>
    <w:rPr>
      <w:color w:val="0000FF"/>
      <w:u w:val="single"/>
    </w:rPr>
  </w:style>
  <w:style w:type="character" w:customStyle="1" w:styleId="FooterChar">
    <w:name w:val="Footer Char"/>
    <w:link w:val="Footer"/>
    <w:uiPriority w:val="99"/>
    <w:rsid w:val="00B54799"/>
    <w:rPr>
      <w:snapToGrid w:val="0"/>
      <w:kern w:val="28"/>
      <w:sz w:val="22"/>
    </w:rPr>
  </w:style>
  <w:style w:type="character" w:customStyle="1" w:styleId="MessageHeaderLabel">
    <w:name w:val="Message Header Label"/>
    <w:rsid w:val="00033832"/>
    <w:rPr>
      <w:rFonts w:ascii="Arial" w:hAnsi="Arial"/>
      <w:b/>
      <w:spacing w:val="-4"/>
      <w:sz w:val="18"/>
      <w:vertAlign w:val="baseline"/>
    </w:rPr>
  </w:style>
  <w:style w:type="character" w:styleId="CommentReference">
    <w:name w:val="annotation reference"/>
    <w:uiPriority w:val="99"/>
    <w:unhideWhenUsed/>
    <w:rsid w:val="00033832"/>
    <w:rPr>
      <w:sz w:val="16"/>
      <w:szCs w:val="16"/>
    </w:rPr>
  </w:style>
  <w:style w:type="paragraph" w:styleId="CommentText">
    <w:name w:val="annotation text"/>
    <w:basedOn w:val="Normal"/>
    <w:link w:val="CommentTextChar"/>
    <w:uiPriority w:val="99"/>
    <w:unhideWhenUsed/>
    <w:rsid w:val="00033832"/>
    <w:rPr>
      <w:sz w:val="20"/>
    </w:rPr>
  </w:style>
  <w:style w:type="character" w:customStyle="1" w:styleId="CommentTextChar">
    <w:name w:val="Comment Text Char"/>
    <w:basedOn w:val="DefaultParagraphFont"/>
    <w:link w:val="CommentText"/>
    <w:uiPriority w:val="99"/>
    <w:rsid w:val="00033832"/>
  </w:style>
  <w:style w:type="paragraph" w:styleId="CommentSubject">
    <w:name w:val="annotation subject"/>
    <w:basedOn w:val="CommentText"/>
    <w:next w:val="CommentText"/>
    <w:link w:val="CommentSubjectChar"/>
    <w:rsid w:val="00033832"/>
    <w:rPr>
      <w:b/>
      <w:bCs/>
    </w:rPr>
  </w:style>
  <w:style w:type="character" w:customStyle="1" w:styleId="CommentSubjectChar">
    <w:name w:val="Comment Subject Char"/>
    <w:basedOn w:val="CommentTextChar"/>
    <w:link w:val="CommentSubject"/>
    <w:rsid w:val="00033832"/>
    <w:rPr>
      <w:b/>
      <w:bCs/>
      <w:snapToGrid w:val="0"/>
      <w:kern w:val="28"/>
    </w:rPr>
  </w:style>
  <w:style w:type="character" w:styleId="FollowedHyperlink">
    <w:name w:val="FollowedHyperlink"/>
    <w:basedOn w:val="DefaultParagraphFont"/>
    <w:rsid w:val="006B0809"/>
    <w:rPr>
      <w:color w:val="954F72" w:themeColor="followedHyperlink"/>
      <w:u w:val="single"/>
    </w:rPr>
  </w:style>
  <w:style w:type="character" w:customStyle="1" w:styleId="UnresolvedMention">
    <w:name w:val="Unresolved Mention"/>
    <w:basedOn w:val="DefaultParagraphFont"/>
    <w:uiPriority w:val="99"/>
    <w:semiHidden/>
    <w:unhideWhenUsed/>
    <w:rsid w:val="006B080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swat.coop/documents/arkansas-local-access-transport"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