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16FD0" w:rsidRPr="00625ADA" w:rsidP="00E16FD0" w14:paraId="3F82E7CD" w14:textId="77777777">
      <w:pPr>
        <w:tabs>
          <w:tab w:val="left" w:pos="7920"/>
          <w:tab w:val="right" w:pos="9360"/>
        </w:tabs>
        <w:rPr>
          <w:b/>
          <w:color w:val="000000" w:themeColor="text1"/>
          <w:szCs w:val="22"/>
        </w:rPr>
      </w:pPr>
      <w:r w:rsidRPr="00625ADA">
        <w:rPr>
          <w:b/>
          <w:color w:val="000000" w:themeColor="text1"/>
          <w:szCs w:val="22"/>
        </w:rPr>
        <w:tab/>
      </w:r>
      <w:r w:rsidRPr="00625ADA">
        <w:rPr>
          <w:b/>
          <w:color w:val="000000" w:themeColor="text1"/>
          <w:szCs w:val="22"/>
        </w:rPr>
        <w:tab/>
      </w:r>
    </w:p>
    <w:p w:rsidR="00E16FD0" w:rsidRPr="00440D5D" w:rsidP="00E16FD0" w14:paraId="1C0370BA" w14:textId="16F3716F">
      <w:pPr>
        <w:tabs>
          <w:tab w:val="left" w:pos="7920"/>
          <w:tab w:val="right" w:pos="9360"/>
        </w:tabs>
        <w:rPr>
          <w:b/>
          <w:color w:val="000000" w:themeColor="text1"/>
          <w:sz w:val="23"/>
          <w:szCs w:val="23"/>
        </w:rPr>
      </w:pPr>
      <w:r w:rsidRPr="00625ADA">
        <w:rPr>
          <w:b/>
          <w:color w:val="000000" w:themeColor="text1"/>
          <w:szCs w:val="22"/>
        </w:rPr>
        <w:tab/>
      </w:r>
      <w:bookmarkStart w:id="0" w:name="_Hlk106800496"/>
      <w:r w:rsidRPr="00625ADA">
        <w:rPr>
          <w:b/>
          <w:color w:val="000000" w:themeColor="text1"/>
          <w:szCs w:val="22"/>
        </w:rPr>
        <w:tab/>
      </w:r>
      <w:r w:rsidRPr="00440D5D">
        <w:rPr>
          <w:b/>
          <w:color w:val="000000" w:themeColor="text1"/>
          <w:sz w:val="23"/>
          <w:szCs w:val="23"/>
        </w:rPr>
        <w:t>DA 2</w:t>
      </w:r>
      <w:r w:rsidRPr="00440D5D" w:rsidR="004A6E4F">
        <w:rPr>
          <w:b/>
          <w:color w:val="000000" w:themeColor="text1"/>
          <w:sz w:val="23"/>
          <w:szCs w:val="23"/>
        </w:rPr>
        <w:t>2</w:t>
      </w:r>
      <w:r w:rsidRPr="00440D5D">
        <w:rPr>
          <w:b/>
          <w:color w:val="000000" w:themeColor="text1"/>
          <w:sz w:val="23"/>
          <w:szCs w:val="23"/>
        </w:rPr>
        <w:t>-</w:t>
      </w:r>
      <w:r w:rsidRPr="00440D5D" w:rsidR="002F7CF5">
        <w:rPr>
          <w:b/>
          <w:color w:val="000000" w:themeColor="text1"/>
          <w:sz w:val="23"/>
          <w:szCs w:val="23"/>
        </w:rPr>
        <w:t>700</w:t>
      </w:r>
    </w:p>
    <w:p w:rsidR="00E16FD0" w:rsidRPr="00440D5D" w:rsidP="00E16FD0" w14:paraId="4B084D76" w14:textId="2A2346B5">
      <w:pPr>
        <w:jc w:val="right"/>
        <w:rPr>
          <w:b/>
          <w:color w:val="000000" w:themeColor="text1"/>
          <w:sz w:val="23"/>
          <w:szCs w:val="23"/>
        </w:rPr>
      </w:pPr>
      <w:r w:rsidRPr="00440D5D">
        <w:rPr>
          <w:b/>
          <w:color w:val="000000" w:themeColor="text1"/>
          <w:sz w:val="23"/>
          <w:szCs w:val="23"/>
        </w:rPr>
        <w:t xml:space="preserve">Released:  </w:t>
      </w:r>
      <w:r w:rsidRPr="00440D5D" w:rsidR="002F7CF5">
        <w:rPr>
          <w:b/>
          <w:color w:val="000000" w:themeColor="text1"/>
          <w:sz w:val="23"/>
          <w:szCs w:val="23"/>
        </w:rPr>
        <w:t xml:space="preserve">July </w:t>
      </w:r>
      <w:r w:rsidRPr="00440D5D" w:rsidR="00322919">
        <w:rPr>
          <w:b/>
          <w:color w:val="000000" w:themeColor="text1"/>
          <w:sz w:val="23"/>
          <w:szCs w:val="23"/>
        </w:rPr>
        <w:t>5</w:t>
      </w:r>
      <w:r w:rsidRPr="00440D5D" w:rsidR="00064580">
        <w:rPr>
          <w:b/>
          <w:color w:val="000000" w:themeColor="text1"/>
          <w:sz w:val="23"/>
          <w:szCs w:val="23"/>
        </w:rPr>
        <w:t>, 202</w:t>
      </w:r>
      <w:r w:rsidRPr="00440D5D" w:rsidR="00EA6C8C">
        <w:rPr>
          <w:b/>
          <w:color w:val="000000" w:themeColor="text1"/>
          <w:sz w:val="23"/>
          <w:szCs w:val="23"/>
        </w:rPr>
        <w:t>2</w:t>
      </w:r>
    </w:p>
    <w:p w:rsidR="00E16FD0" w:rsidRPr="00440D5D" w:rsidP="00E16FD0" w14:paraId="1890830F" w14:textId="77777777">
      <w:pPr>
        <w:jc w:val="right"/>
        <w:rPr>
          <w:color w:val="000000" w:themeColor="text1"/>
          <w:sz w:val="23"/>
          <w:szCs w:val="23"/>
        </w:rPr>
      </w:pPr>
    </w:p>
    <w:p w:rsidR="00E16FD0" w:rsidRPr="00440D5D" w:rsidP="00E16FD0" w14:paraId="7B008C18" w14:textId="72553559">
      <w:pPr>
        <w:pStyle w:val="Default"/>
        <w:jc w:val="center"/>
        <w:rPr>
          <w:color w:val="000000" w:themeColor="text1"/>
          <w:sz w:val="23"/>
          <w:szCs w:val="23"/>
        </w:rPr>
      </w:pPr>
      <w:r w:rsidRPr="00440D5D">
        <w:rPr>
          <w:b/>
          <w:color w:val="000000" w:themeColor="text1"/>
          <w:sz w:val="23"/>
          <w:szCs w:val="23"/>
        </w:rPr>
        <w:t>OFFICE OF ENGINEERING AND TECHNOLOGY SEEKS COMMENT ON</w:t>
      </w:r>
    </w:p>
    <w:p w:rsidR="00E16FD0" w:rsidRPr="00440D5D" w:rsidP="00E16FD0" w14:paraId="5F0B7704" w14:textId="075DEAB2">
      <w:pPr>
        <w:jc w:val="center"/>
        <w:rPr>
          <w:b/>
          <w:color w:val="000000" w:themeColor="text1"/>
          <w:sz w:val="23"/>
          <w:szCs w:val="23"/>
        </w:rPr>
      </w:pPr>
      <w:r w:rsidRPr="00440D5D">
        <w:rPr>
          <w:color w:val="000000" w:themeColor="text1"/>
          <w:sz w:val="23"/>
          <w:szCs w:val="23"/>
        </w:rPr>
        <w:t xml:space="preserve"> </w:t>
      </w:r>
      <w:r w:rsidRPr="00440D5D">
        <w:rPr>
          <w:b/>
          <w:color w:val="000000" w:themeColor="text1"/>
          <w:sz w:val="23"/>
          <w:szCs w:val="23"/>
        </w:rPr>
        <w:t xml:space="preserve">SCHLAGE’S REQUEST FOR WAIVER OF SECTION 15.519(A) AND 15.519(A)(2) OF THE COMMISSION’S RULES FOR HANDHELD UWB SYSTEMS </w:t>
      </w:r>
    </w:p>
    <w:p w:rsidR="008A1FD9" w:rsidRPr="00440D5D" w:rsidP="00E16FD0" w14:paraId="55E1CFDC" w14:textId="77777777">
      <w:pPr>
        <w:jc w:val="center"/>
        <w:rPr>
          <w:b/>
          <w:color w:val="000000" w:themeColor="text1"/>
          <w:sz w:val="23"/>
          <w:szCs w:val="23"/>
        </w:rPr>
      </w:pPr>
    </w:p>
    <w:p w:rsidR="00E16FD0" w:rsidRPr="00440D5D" w:rsidP="00E16FD0" w14:paraId="52F00AFB" w14:textId="265C4C05">
      <w:pPr>
        <w:jc w:val="center"/>
        <w:rPr>
          <w:b/>
          <w:color w:val="000000" w:themeColor="text1"/>
          <w:sz w:val="23"/>
          <w:szCs w:val="23"/>
        </w:rPr>
      </w:pPr>
      <w:r w:rsidRPr="00440D5D">
        <w:rPr>
          <w:b/>
          <w:color w:val="000000" w:themeColor="text1"/>
          <w:sz w:val="23"/>
          <w:szCs w:val="23"/>
        </w:rPr>
        <w:t>ET Docket No. 22-</w:t>
      </w:r>
      <w:r w:rsidRPr="00440D5D" w:rsidR="002F7CF5">
        <w:rPr>
          <w:b/>
          <w:color w:val="000000" w:themeColor="text1"/>
          <w:sz w:val="23"/>
          <w:szCs w:val="23"/>
        </w:rPr>
        <w:t>248</w:t>
      </w:r>
    </w:p>
    <w:p w:rsidR="00E16FD0" w:rsidRPr="00440D5D" w:rsidP="00E16FD0" w14:paraId="5DE213C7" w14:textId="77777777">
      <w:pPr>
        <w:jc w:val="center"/>
        <w:rPr>
          <w:b/>
          <w:color w:val="000000" w:themeColor="text1"/>
          <w:sz w:val="23"/>
          <w:szCs w:val="23"/>
        </w:rPr>
      </w:pPr>
    </w:p>
    <w:p w:rsidR="00E16FD0" w:rsidRPr="00440D5D" w:rsidP="00E16FD0" w14:paraId="451D95E8" w14:textId="5C0A9A93">
      <w:pPr>
        <w:rPr>
          <w:b/>
          <w:color w:val="000000" w:themeColor="text1"/>
          <w:sz w:val="23"/>
          <w:szCs w:val="23"/>
        </w:rPr>
      </w:pPr>
      <w:bookmarkStart w:id="1" w:name="TOChere"/>
      <w:r w:rsidRPr="00440D5D">
        <w:rPr>
          <w:b/>
          <w:color w:val="000000" w:themeColor="text1"/>
          <w:sz w:val="23"/>
          <w:szCs w:val="23"/>
        </w:rPr>
        <w:t xml:space="preserve">Comment Date:  </w:t>
      </w:r>
      <w:r w:rsidRPr="00440D5D" w:rsidR="00E63C96">
        <w:rPr>
          <w:b/>
          <w:color w:val="000000" w:themeColor="text1"/>
          <w:sz w:val="23"/>
          <w:szCs w:val="23"/>
        </w:rPr>
        <w:t xml:space="preserve">August </w:t>
      </w:r>
      <w:r w:rsidRPr="00440D5D" w:rsidR="00322919">
        <w:rPr>
          <w:b/>
          <w:color w:val="000000" w:themeColor="text1"/>
          <w:sz w:val="23"/>
          <w:szCs w:val="23"/>
        </w:rPr>
        <w:t>4</w:t>
      </w:r>
      <w:r w:rsidRPr="00440D5D">
        <w:rPr>
          <w:b/>
          <w:color w:val="000000" w:themeColor="text1"/>
          <w:sz w:val="23"/>
          <w:szCs w:val="23"/>
        </w:rPr>
        <w:t>, 202</w:t>
      </w:r>
      <w:r w:rsidRPr="00440D5D" w:rsidR="00EA6C8C">
        <w:rPr>
          <w:b/>
          <w:color w:val="000000" w:themeColor="text1"/>
          <w:sz w:val="23"/>
          <w:szCs w:val="23"/>
        </w:rPr>
        <w:t>2</w:t>
      </w:r>
    </w:p>
    <w:p w:rsidR="00E16FD0" w:rsidRPr="00440D5D" w:rsidP="00E16FD0" w14:paraId="1B0CAC3E" w14:textId="21F065EA">
      <w:pPr>
        <w:rPr>
          <w:b/>
          <w:color w:val="000000" w:themeColor="text1"/>
          <w:sz w:val="23"/>
          <w:szCs w:val="23"/>
        </w:rPr>
      </w:pPr>
      <w:r w:rsidRPr="00440D5D">
        <w:rPr>
          <w:b/>
          <w:color w:val="000000" w:themeColor="text1"/>
          <w:sz w:val="23"/>
          <w:szCs w:val="23"/>
        </w:rPr>
        <w:t xml:space="preserve">Reply Comment Date:  </w:t>
      </w:r>
      <w:r w:rsidRPr="00440D5D" w:rsidR="00322919">
        <w:rPr>
          <w:b/>
          <w:color w:val="000000" w:themeColor="text1"/>
          <w:sz w:val="23"/>
          <w:szCs w:val="23"/>
        </w:rPr>
        <w:t>September 6</w:t>
      </w:r>
      <w:r w:rsidRPr="00440D5D">
        <w:rPr>
          <w:b/>
          <w:color w:val="000000" w:themeColor="text1"/>
          <w:sz w:val="23"/>
          <w:szCs w:val="23"/>
        </w:rPr>
        <w:t>, 202</w:t>
      </w:r>
      <w:r w:rsidRPr="00440D5D" w:rsidR="00EA6C8C">
        <w:rPr>
          <w:b/>
          <w:color w:val="000000" w:themeColor="text1"/>
          <w:sz w:val="23"/>
          <w:szCs w:val="23"/>
        </w:rPr>
        <w:t>2</w:t>
      </w:r>
      <w:r w:rsidRPr="00440D5D" w:rsidR="001F0B6E">
        <w:rPr>
          <w:b/>
          <w:color w:val="000000" w:themeColor="text1"/>
          <w:sz w:val="23"/>
          <w:szCs w:val="23"/>
        </w:rPr>
        <w:t xml:space="preserve"> </w:t>
      </w:r>
    </w:p>
    <w:bookmarkEnd w:id="0"/>
    <w:p w:rsidR="00E16FD0" w:rsidRPr="00440D5D" w:rsidP="00E16FD0" w14:paraId="50387A86" w14:textId="77777777">
      <w:pPr>
        <w:rPr>
          <w:color w:val="000000" w:themeColor="text1"/>
          <w:sz w:val="23"/>
          <w:szCs w:val="23"/>
        </w:rPr>
      </w:pPr>
    </w:p>
    <w:p w:rsidR="002D702A" w:rsidRPr="00440D5D" w:rsidP="00E16FD0" w14:paraId="21C142C5" w14:textId="5EEEEB76">
      <w:pPr>
        <w:ind w:firstLine="720"/>
        <w:rPr>
          <w:sz w:val="23"/>
          <w:szCs w:val="23"/>
        </w:rPr>
      </w:pPr>
      <w:bookmarkStart w:id="2" w:name="_Hlk106800519"/>
      <w:r w:rsidRPr="00440D5D">
        <w:rPr>
          <w:sz w:val="23"/>
          <w:szCs w:val="23"/>
        </w:rPr>
        <w:t>By this public notice, we seek comment on a request by</w:t>
      </w:r>
      <w:r w:rsidRPr="00440D5D" w:rsidR="00E16FD0">
        <w:rPr>
          <w:sz w:val="23"/>
          <w:szCs w:val="23"/>
        </w:rPr>
        <w:t xml:space="preserve"> </w:t>
      </w:r>
      <w:r w:rsidRPr="00440D5D">
        <w:rPr>
          <w:sz w:val="23"/>
          <w:szCs w:val="23"/>
        </w:rPr>
        <w:t xml:space="preserve">the </w:t>
      </w:r>
      <w:r w:rsidRPr="00440D5D" w:rsidR="00A875F4">
        <w:rPr>
          <w:sz w:val="23"/>
          <w:szCs w:val="23"/>
        </w:rPr>
        <w:t>Schlage Lock Company LLC</w:t>
      </w:r>
      <w:r w:rsidRPr="00440D5D" w:rsidR="00E16FD0">
        <w:rPr>
          <w:sz w:val="23"/>
          <w:szCs w:val="23"/>
        </w:rPr>
        <w:t xml:space="preserve"> (</w:t>
      </w:r>
      <w:r w:rsidRPr="00440D5D" w:rsidR="00A875F4">
        <w:rPr>
          <w:sz w:val="23"/>
          <w:szCs w:val="23"/>
        </w:rPr>
        <w:t>Schlage</w:t>
      </w:r>
      <w:r w:rsidRPr="00440D5D" w:rsidR="00E16FD0">
        <w:rPr>
          <w:sz w:val="23"/>
          <w:szCs w:val="23"/>
        </w:rPr>
        <w:t xml:space="preserve">) </w:t>
      </w:r>
      <w:r w:rsidRPr="00440D5D">
        <w:rPr>
          <w:sz w:val="23"/>
          <w:szCs w:val="23"/>
        </w:rPr>
        <w:t>to waive</w:t>
      </w:r>
      <w:r w:rsidRPr="00440D5D" w:rsidR="00E16FD0">
        <w:rPr>
          <w:sz w:val="23"/>
          <w:szCs w:val="23"/>
        </w:rPr>
        <w:t xml:space="preserve"> Section of 15.519(a), and 15.519(a)(2) of </w:t>
      </w:r>
      <w:r w:rsidRPr="00440D5D">
        <w:rPr>
          <w:sz w:val="23"/>
          <w:szCs w:val="23"/>
        </w:rPr>
        <w:t xml:space="preserve">our </w:t>
      </w:r>
      <w:r w:rsidRPr="00440D5D" w:rsidR="00E16FD0">
        <w:rPr>
          <w:sz w:val="23"/>
          <w:szCs w:val="23"/>
        </w:rPr>
        <w:t xml:space="preserve">rules to obtain a grant of equipment authorization for </w:t>
      </w:r>
      <w:r w:rsidRPr="00440D5D">
        <w:rPr>
          <w:sz w:val="23"/>
          <w:szCs w:val="23"/>
        </w:rPr>
        <w:t>an ultra-wideband (UWB) door lock system that would operate in the 6-10 GHz frequency range.</w:t>
      </w:r>
      <w:r>
        <w:rPr>
          <w:rStyle w:val="FootnoteReference"/>
          <w:sz w:val="23"/>
          <w:szCs w:val="23"/>
        </w:rPr>
        <w:footnoteReference w:id="2"/>
      </w:r>
    </w:p>
    <w:p w:rsidR="002D702A" w:rsidRPr="00440D5D" w:rsidP="00E16FD0" w14:paraId="0E2B3C1D" w14:textId="77777777">
      <w:pPr>
        <w:ind w:firstLine="720"/>
        <w:rPr>
          <w:sz w:val="23"/>
          <w:szCs w:val="23"/>
        </w:rPr>
      </w:pPr>
    </w:p>
    <w:p w:rsidR="008C59A7" w:rsidRPr="00440D5D" w:rsidP="00E16FD0" w14:paraId="2BADCF05" w14:textId="78DEB1D0">
      <w:pPr>
        <w:ind w:firstLine="720"/>
        <w:rPr>
          <w:sz w:val="23"/>
          <w:szCs w:val="23"/>
        </w:rPr>
      </w:pPr>
      <w:r w:rsidRPr="00440D5D">
        <w:rPr>
          <w:sz w:val="23"/>
          <w:szCs w:val="23"/>
        </w:rPr>
        <w:t>Schlage</w:t>
      </w:r>
      <w:r w:rsidRPr="00440D5D" w:rsidR="00B17D7F">
        <w:rPr>
          <w:sz w:val="23"/>
          <w:szCs w:val="23"/>
        </w:rPr>
        <w:t xml:space="preserve"> describes how it intends to use an impulse radio UWB system to enable peer-to-peer communications between a UWB-enabled access door lock/reader installed on a </w:t>
      </w:r>
      <w:r w:rsidRPr="00440D5D" w:rsidR="00D36B7B">
        <w:rPr>
          <w:sz w:val="23"/>
          <w:szCs w:val="23"/>
        </w:rPr>
        <w:t>residential</w:t>
      </w:r>
      <w:r w:rsidRPr="00440D5D" w:rsidR="00B17D7F">
        <w:rPr>
          <w:sz w:val="23"/>
          <w:szCs w:val="23"/>
        </w:rPr>
        <w:t xml:space="preserve"> entranceway and a UWB-enabled mobile phone.</w:t>
      </w:r>
      <w:r>
        <w:rPr>
          <w:rStyle w:val="FootnoteReference"/>
          <w:sz w:val="23"/>
          <w:szCs w:val="23"/>
        </w:rPr>
        <w:footnoteReference w:id="3"/>
      </w:r>
      <w:r w:rsidRPr="00440D5D" w:rsidR="00B17D7F">
        <w:rPr>
          <w:sz w:val="23"/>
          <w:szCs w:val="23"/>
        </w:rPr>
        <w:t xml:space="preserve">  Although the system is designed to use 2.4 GHz Bluetooth technology for the phone to discover the reader and engage in data exchange</w:t>
      </w:r>
      <w:r w:rsidRPr="00440D5D" w:rsidR="00E535D7">
        <w:rPr>
          <w:sz w:val="23"/>
          <w:szCs w:val="23"/>
        </w:rPr>
        <w:t xml:space="preserve"> activities</w:t>
      </w:r>
      <w:r w:rsidRPr="00440D5D" w:rsidR="00B17D7F">
        <w:rPr>
          <w:sz w:val="23"/>
          <w:szCs w:val="23"/>
        </w:rPr>
        <w:t xml:space="preserve"> (which is not subject to the waiver), the reader will then operate as a UWB device to track the location and movement of the phone’s user </w:t>
      </w:r>
      <w:r w:rsidRPr="00440D5D" w:rsidR="00E535D7">
        <w:rPr>
          <w:sz w:val="23"/>
          <w:szCs w:val="23"/>
        </w:rPr>
        <w:t>and</w:t>
      </w:r>
      <w:r w:rsidRPr="00440D5D" w:rsidR="00B17D7F">
        <w:rPr>
          <w:sz w:val="23"/>
          <w:szCs w:val="23"/>
        </w:rPr>
        <w:t xml:space="preserve"> determine whether there is</w:t>
      </w:r>
      <w:r w:rsidRPr="00440D5D" w:rsidR="00B85EB7">
        <w:rPr>
          <w:sz w:val="23"/>
          <w:szCs w:val="23"/>
        </w:rPr>
        <w:t xml:space="preserve"> a proof of presence, and an</w:t>
      </w:r>
      <w:r w:rsidRPr="00440D5D" w:rsidR="00B17D7F">
        <w:rPr>
          <w:sz w:val="23"/>
          <w:szCs w:val="23"/>
        </w:rPr>
        <w:t xml:space="preserve"> intent to enter the </w:t>
      </w:r>
      <w:r w:rsidRPr="00440D5D" w:rsidR="006E2A45">
        <w:rPr>
          <w:sz w:val="23"/>
          <w:szCs w:val="23"/>
        </w:rPr>
        <w:t>secured area</w:t>
      </w:r>
      <w:r w:rsidRPr="00440D5D" w:rsidR="00B17D7F">
        <w:rPr>
          <w:sz w:val="23"/>
          <w:szCs w:val="23"/>
        </w:rPr>
        <w:t>.</w:t>
      </w:r>
      <w:r>
        <w:rPr>
          <w:rStyle w:val="FootnoteReference"/>
          <w:sz w:val="23"/>
          <w:szCs w:val="23"/>
        </w:rPr>
        <w:footnoteReference w:id="4"/>
      </w:r>
    </w:p>
    <w:p w:rsidR="008C59A7" w:rsidRPr="00440D5D" w:rsidP="00E16FD0" w14:paraId="45EBCC48" w14:textId="77777777">
      <w:pPr>
        <w:ind w:firstLine="720"/>
        <w:rPr>
          <w:sz w:val="23"/>
          <w:szCs w:val="23"/>
        </w:rPr>
      </w:pPr>
    </w:p>
    <w:p w:rsidR="00E16FD0" w:rsidRPr="00440D5D" w:rsidP="00440D5D" w14:paraId="0208BB5B" w14:textId="2B8E31CA">
      <w:pPr>
        <w:widowControl/>
        <w:ind w:firstLine="720"/>
        <w:rPr>
          <w:sz w:val="23"/>
          <w:szCs w:val="23"/>
        </w:rPr>
      </w:pPr>
      <w:r w:rsidRPr="00440D5D">
        <w:rPr>
          <w:sz w:val="23"/>
          <w:szCs w:val="23"/>
        </w:rPr>
        <w:t>Section 15.519(a) of the Commission’s rules contains provisions for UWB devices that are relatively small and are primarily handheld while being operated and do not employ a fixed infrastructure</w:t>
      </w:r>
      <w:r w:rsidRPr="00440D5D" w:rsidR="002E2430">
        <w:rPr>
          <w:sz w:val="23"/>
          <w:szCs w:val="23"/>
        </w:rPr>
        <w:t xml:space="preserve">, and </w:t>
      </w:r>
      <w:r w:rsidRPr="00440D5D">
        <w:rPr>
          <w:sz w:val="23"/>
          <w:szCs w:val="23"/>
        </w:rPr>
        <w:t>Section 15.519(a)(2) prohibits the use of antennas mounted on outdoor infrastructure.</w:t>
      </w:r>
      <w:r>
        <w:rPr>
          <w:rStyle w:val="FootnoteReference"/>
          <w:sz w:val="23"/>
          <w:szCs w:val="23"/>
        </w:rPr>
        <w:footnoteReference w:id="5"/>
      </w:r>
      <w:r w:rsidRPr="00440D5D">
        <w:rPr>
          <w:sz w:val="23"/>
          <w:szCs w:val="23"/>
        </w:rPr>
        <w:t xml:space="preserve">  </w:t>
      </w:r>
      <w:r w:rsidRPr="00440D5D" w:rsidR="0015793C">
        <w:rPr>
          <w:sz w:val="23"/>
          <w:szCs w:val="23"/>
        </w:rPr>
        <w:t>Schlage</w:t>
      </w:r>
      <w:r w:rsidRPr="00440D5D" w:rsidR="002E2430">
        <w:rPr>
          <w:sz w:val="23"/>
          <w:szCs w:val="23"/>
        </w:rPr>
        <w:t xml:space="preserve"> </w:t>
      </w:r>
      <w:r w:rsidRPr="00440D5D" w:rsidR="008C59A7">
        <w:rPr>
          <w:sz w:val="23"/>
          <w:szCs w:val="23"/>
        </w:rPr>
        <w:t>discusses the extent to which the reader can be considered to serve the same purpose as “handheld” devices and how its integrated antenna is different from a permanent pole or tower-mounted apparatus that the rule</w:t>
      </w:r>
      <w:r w:rsidRPr="00440D5D" w:rsidR="00CA0752">
        <w:rPr>
          <w:sz w:val="23"/>
          <w:szCs w:val="23"/>
        </w:rPr>
        <w:t>’s prohibition on fixed outdoor infrastructure</w:t>
      </w:r>
      <w:r w:rsidRPr="00440D5D" w:rsidR="008C59A7">
        <w:rPr>
          <w:sz w:val="23"/>
          <w:szCs w:val="23"/>
        </w:rPr>
        <w:t xml:space="preserve"> is clearly designed to prohibit.</w:t>
      </w:r>
      <w:r>
        <w:rPr>
          <w:rStyle w:val="FootnoteReference"/>
          <w:sz w:val="23"/>
          <w:szCs w:val="23"/>
        </w:rPr>
        <w:footnoteReference w:id="6"/>
      </w:r>
      <w:r w:rsidRPr="00440D5D" w:rsidR="008C59A7">
        <w:rPr>
          <w:sz w:val="23"/>
          <w:szCs w:val="23"/>
        </w:rPr>
        <w:t xml:space="preserve">  It</w:t>
      </w:r>
      <w:r w:rsidRPr="00440D5D" w:rsidR="002E2430">
        <w:rPr>
          <w:sz w:val="23"/>
          <w:szCs w:val="23"/>
        </w:rPr>
        <w:t xml:space="preserve"> asserts</w:t>
      </w:r>
      <w:r w:rsidRPr="00440D5D">
        <w:rPr>
          <w:sz w:val="23"/>
          <w:szCs w:val="23"/>
        </w:rPr>
        <w:t xml:space="preserve"> that </w:t>
      </w:r>
      <w:r w:rsidRPr="00440D5D" w:rsidR="002D702A">
        <w:rPr>
          <w:sz w:val="23"/>
          <w:szCs w:val="23"/>
        </w:rPr>
        <w:t xml:space="preserve">grant of a </w:t>
      </w:r>
      <w:r w:rsidRPr="00440D5D">
        <w:rPr>
          <w:sz w:val="23"/>
          <w:szCs w:val="23"/>
        </w:rPr>
        <w:t xml:space="preserve">waiver will serve the public interest by promoting a </w:t>
      </w:r>
      <w:r w:rsidRPr="00440D5D">
        <w:rPr>
          <w:sz w:val="23"/>
          <w:szCs w:val="23"/>
        </w:rPr>
        <w:t xml:space="preserve">more safe and secure method of gaining </w:t>
      </w:r>
      <w:r w:rsidRPr="00440D5D" w:rsidR="002E2430">
        <w:rPr>
          <w:sz w:val="23"/>
          <w:szCs w:val="23"/>
        </w:rPr>
        <w:t xml:space="preserve">property </w:t>
      </w:r>
      <w:r w:rsidRPr="00440D5D">
        <w:rPr>
          <w:sz w:val="23"/>
          <w:szCs w:val="23"/>
        </w:rPr>
        <w:t xml:space="preserve">access </w:t>
      </w:r>
      <w:r w:rsidRPr="00440D5D" w:rsidR="002E2430">
        <w:rPr>
          <w:sz w:val="23"/>
          <w:szCs w:val="23"/>
        </w:rPr>
        <w:t>than</w:t>
      </w:r>
      <w:r w:rsidRPr="00440D5D" w:rsidR="00B85EB7">
        <w:rPr>
          <w:sz w:val="23"/>
          <w:szCs w:val="23"/>
        </w:rPr>
        <w:t xml:space="preserve"> what</w:t>
      </w:r>
      <w:r w:rsidRPr="00440D5D" w:rsidR="002E2430">
        <w:rPr>
          <w:sz w:val="23"/>
          <w:szCs w:val="23"/>
        </w:rPr>
        <w:t xml:space="preserve"> is provided by</w:t>
      </w:r>
      <w:r w:rsidRPr="00440D5D">
        <w:rPr>
          <w:sz w:val="23"/>
          <w:szCs w:val="23"/>
        </w:rPr>
        <w:t xml:space="preserve"> current technologies</w:t>
      </w:r>
      <w:r w:rsidRPr="00440D5D" w:rsidR="00E535D7">
        <w:rPr>
          <w:sz w:val="23"/>
          <w:szCs w:val="23"/>
        </w:rPr>
        <w:t>.</w:t>
      </w:r>
      <w:r>
        <w:rPr>
          <w:rStyle w:val="FootnoteReference"/>
          <w:sz w:val="23"/>
          <w:szCs w:val="23"/>
        </w:rPr>
        <w:footnoteReference w:id="7"/>
      </w:r>
      <w:r w:rsidRPr="00440D5D" w:rsidR="002E2430">
        <w:rPr>
          <w:sz w:val="23"/>
          <w:szCs w:val="23"/>
        </w:rPr>
        <w:t xml:space="preserve"> </w:t>
      </w:r>
      <w:bookmarkEnd w:id="2"/>
      <w:r w:rsidRPr="00440D5D" w:rsidR="002E2430">
        <w:rPr>
          <w:sz w:val="23"/>
          <w:szCs w:val="23"/>
        </w:rPr>
        <w:t xml:space="preserve"> </w:t>
      </w:r>
    </w:p>
    <w:p w:rsidR="00E16FD0" w:rsidRPr="00440D5D" w:rsidP="00E16FD0" w14:paraId="24083354" w14:textId="77777777">
      <w:pPr>
        <w:ind w:firstLine="720"/>
        <w:rPr>
          <w:sz w:val="23"/>
          <w:szCs w:val="23"/>
        </w:rPr>
      </w:pPr>
    </w:p>
    <w:p w:rsidR="00E16FD0" w:rsidRPr="00440D5D" w:rsidP="00E16FD0" w14:paraId="69A5E9DE" w14:textId="0F49378E">
      <w:pPr>
        <w:pStyle w:val="Default"/>
        <w:rPr>
          <w:color w:val="000000" w:themeColor="text1"/>
          <w:sz w:val="23"/>
          <w:szCs w:val="23"/>
        </w:rPr>
      </w:pPr>
      <w:r w:rsidRPr="00440D5D">
        <w:rPr>
          <w:color w:val="000000" w:themeColor="text1"/>
          <w:sz w:val="23"/>
          <w:szCs w:val="23"/>
        </w:rPr>
        <w:tab/>
      </w:r>
      <w:bookmarkStart w:id="3" w:name="_Hlk106800572"/>
      <w:r w:rsidRPr="00440D5D">
        <w:rPr>
          <w:color w:val="000000" w:themeColor="text1"/>
          <w:sz w:val="23"/>
          <w:szCs w:val="23"/>
        </w:rPr>
        <w:t xml:space="preserve">We seek comment on </w:t>
      </w:r>
      <w:r w:rsidRPr="00440D5D" w:rsidR="00CA0752">
        <w:rPr>
          <w:color w:val="000000" w:themeColor="text1"/>
          <w:sz w:val="23"/>
          <w:szCs w:val="23"/>
        </w:rPr>
        <w:t xml:space="preserve">the </w:t>
      </w:r>
      <w:r w:rsidRPr="00440D5D" w:rsidR="0015793C">
        <w:rPr>
          <w:color w:val="000000" w:themeColor="text1"/>
          <w:sz w:val="23"/>
          <w:szCs w:val="23"/>
        </w:rPr>
        <w:t>Schlage</w:t>
      </w:r>
      <w:r w:rsidRPr="00440D5D" w:rsidR="00056BCB">
        <w:rPr>
          <w:color w:val="000000" w:themeColor="text1"/>
          <w:sz w:val="23"/>
          <w:szCs w:val="23"/>
        </w:rPr>
        <w:t xml:space="preserve"> </w:t>
      </w:r>
      <w:r w:rsidRPr="00440D5D" w:rsidR="00CA0752">
        <w:rPr>
          <w:color w:val="000000" w:themeColor="text1"/>
          <w:sz w:val="23"/>
          <w:szCs w:val="23"/>
        </w:rPr>
        <w:t>Waiver R</w:t>
      </w:r>
      <w:r w:rsidRPr="00440D5D">
        <w:rPr>
          <w:color w:val="000000" w:themeColor="text1"/>
          <w:sz w:val="23"/>
          <w:szCs w:val="23"/>
        </w:rPr>
        <w:t xml:space="preserve">equest.  To develop a complete record on the issues presented by this request, the proceeding will be treated, for </w:t>
      </w:r>
      <w:r w:rsidRPr="00440D5D">
        <w:rPr>
          <w:i/>
          <w:color w:val="000000" w:themeColor="text1"/>
          <w:sz w:val="23"/>
          <w:szCs w:val="23"/>
        </w:rPr>
        <w:t>ex parte</w:t>
      </w:r>
      <w:r w:rsidRPr="00440D5D">
        <w:rPr>
          <w:color w:val="000000" w:themeColor="text1"/>
          <w:sz w:val="23"/>
          <w:szCs w:val="23"/>
        </w:rPr>
        <w:t xml:space="preserve"> purposes, as a “permit-but-disclose” proceeding in accordance with Section 1.1200(a) of the Commission’s rules, subject to the requirements under Section 1.1206(b).  </w:t>
      </w:r>
      <w:r w:rsidRPr="00440D5D" w:rsidR="0015793C">
        <w:rPr>
          <w:color w:val="000000" w:themeColor="text1"/>
          <w:sz w:val="23"/>
          <w:szCs w:val="23"/>
        </w:rPr>
        <w:t>Schlage</w:t>
      </w:r>
      <w:r w:rsidRPr="00440D5D">
        <w:rPr>
          <w:color w:val="000000" w:themeColor="text1"/>
          <w:sz w:val="23"/>
          <w:szCs w:val="23"/>
        </w:rPr>
        <w:t xml:space="preserve"> filed its petition electronically as a non-docketed proceeding in the Commission’s Electronic Comment Filing System</w:t>
      </w:r>
      <w:r w:rsidRPr="00440D5D" w:rsidR="00916E84">
        <w:rPr>
          <w:color w:val="000000" w:themeColor="text1"/>
          <w:sz w:val="23"/>
          <w:szCs w:val="23"/>
        </w:rPr>
        <w:t>.</w:t>
      </w:r>
      <w:r>
        <w:rPr>
          <w:rStyle w:val="FootnoteReference"/>
          <w:color w:val="000000" w:themeColor="text1"/>
          <w:sz w:val="23"/>
          <w:szCs w:val="23"/>
        </w:rPr>
        <w:footnoteReference w:id="8"/>
      </w:r>
      <w:r w:rsidRPr="00440D5D">
        <w:rPr>
          <w:color w:val="000000" w:themeColor="text1"/>
          <w:sz w:val="23"/>
          <w:szCs w:val="23"/>
        </w:rPr>
        <w:t xml:space="preserve">  We have opened a new docket, </w:t>
      </w:r>
      <w:r w:rsidRPr="00440D5D">
        <w:rPr>
          <w:b/>
          <w:bCs/>
          <w:color w:val="000000" w:themeColor="text1"/>
          <w:sz w:val="23"/>
          <w:szCs w:val="23"/>
        </w:rPr>
        <w:t>ET Docket 2</w:t>
      </w:r>
      <w:r w:rsidRPr="00440D5D" w:rsidR="0015793C">
        <w:rPr>
          <w:b/>
          <w:bCs/>
          <w:color w:val="000000" w:themeColor="text1"/>
          <w:sz w:val="23"/>
          <w:szCs w:val="23"/>
        </w:rPr>
        <w:t>2</w:t>
      </w:r>
      <w:r w:rsidRPr="00440D5D">
        <w:rPr>
          <w:b/>
          <w:bCs/>
          <w:color w:val="000000" w:themeColor="text1"/>
          <w:sz w:val="23"/>
          <w:szCs w:val="23"/>
        </w:rPr>
        <w:t>-</w:t>
      </w:r>
      <w:r w:rsidRPr="00440D5D" w:rsidR="002F7CF5">
        <w:rPr>
          <w:b/>
          <w:bCs/>
          <w:color w:val="000000" w:themeColor="text1"/>
          <w:sz w:val="23"/>
          <w:szCs w:val="23"/>
        </w:rPr>
        <w:t>248</w:t>
      </w:r>
      <w:r w:rsidRPr="00440D5D">
        <w:rPr>
          <w:color w:val="000000" w:themeColor="text1"/>
          <w:sz w:val="23"/>
          <w:szCs w:val="23"/>
        </w:rPr>
        <w:t xml:space="preserve"> to facilitate consideration of this request and have moved </w:t>
      </w:r>
      <w:r w:rsidRPr="00440D5D" w:rsidR="00A972D7">
        <w:rPr>
          <w:color w:val="000000" w:themeColor="text1"/>
          <w:sz w:val="23"/>
          <w:szCs w:val="23"/>
        </w:rPr>
        <w:t>Schlage</w:t>
      </w:r>
      <w:r w:rsidRPr="00440D5D" w:rsidR="0043510F">
        <w:rPr>
          <w:color w:val="000000" w:themeColor="text1"/>
          <w:sz w:val="23"/>
          <w:szCs w:val="23"/>
        </w:rPr>
        <w:t>’</w:t>
      </w:r>
      <w:r w:rsidRPr="00440D5D" w:rsidR="00056BCB">
        <w:rPr>
          <w:color w:val="000000" w:themeColor="text1"/>
          <w:sz w:val="23"/>
          <w:szCs w:val="23"/>
        </w:rPr>
        <w:t xml:space="preserve">s </w:t>
      </w:r>
      <w:r w:rsidRPr="00440D5D">
        <w:rPr>
          <w:color w:val="000000" w:themeColor="text1"/>
          <w:sz w:val="23"/>
          <w:szCs w:val="23"/>
        </w:rPr>
        <w:t xml:space="preserve">submission into this docket.  Parties should file all comments and reply comments in </w:t>
      </w:r>
      <w:r w:rsidRPr="00440D5D">
        <w:rPr>
          <w:b/>
          <w:bCs/>
          <w:color w:val="000000" w:themeColor="text1"/>
          <w:sz w:val="23"/>
          <w:szCs w:val="23"/>
        </w:rPr>
        <w:t>ET Docket 2</w:t>
      </w:r>
      <w:r w:rsidRPr="00440D5D" w:rsidR="0015793C">
        <w:rPr>
          <w:b/>
          <w:bCs/>
          <w:color w:val="000000" w:themeColor="text1"/>
          <w:sz w:val="23"/>
          <w:szCs w:val="23"/>
        </w:rPr>
        <w:t>2</w:t>
      </w:r>
      <w:r w:rsidRPr="00440D5D">
        <w:rPr>
          <w:b/>
          <w:bCs/>
          <w:color w:val="000000" w:themeColor="text1"/>
          <w:sz w:val="23"/>
          <w:szCs w:val="23"/>
        </w:rPr>
        <w:t>-</w:t>
      </w:r>
      <w:r w:rsidRPr="00440D5D" w:rsidR="002F7CF5">
        <w:rPr>
          <w:b/>
          <w:bCs/>
          <w:color w:val="000000" w:themeColor="text1"/>
          <w:sz w:val="23"/>
          <w:szCs w:val="23"/>
        </w:rPr>
        <w:t>248</w:t>
      </w:r>
      <w:r w:rsidRPr="00440D5D">
        <w:rPr>
          <w:color w:val="000000" w:themeColor="text1"/>
          <w:sz w:val="23"/>
          <w:szCs w:val="23"/>
        </w:rPr>
        <w:t>.</w:t>
      </w:r>
    </w:p>
    <w:p w:rsidR="00E16FD0" w:rsidRPr="00440D5D" w:rsidP="00E16FD0" w14:paraId="1D09DE04" w14:textId="77777777">
      <w:pPr>
        <w:tabs>
          <w:tab w:val="left" w:pos="-720"/>
        </w:tabs>
        <w:suppressAutoHyphens/>
        <w:spacing w:line="227" w:lineRule="atLeast"/>
        <w:jc w:val="both"/>
        <w:rPr>
          <w:color w:val="000000" w:themeColor="text1"/>
          <w:spacing w:val="-3"/>
          <w:sz w:val="23"/>
          <w:szCs w:val="23"/>
        </w:rPr>
      </w:pPr>
    </w:p>
    <w:p w:rsidR="00E16FD0" w:rsidRPr="00440D5D" w:rsidP="00E16FD0" w14:paraId="1E96F64E" w14:textId="77777777">
      <w:pPr>
        <w:ind w:firstLine="720"/>
        <w:rPr>
          <w:color w:val="000000" w:themeColor="text1"/>
          <w:sz w:val="23"/>
          <w:szCs w:val="23"/>
        </w:rPr>
      </w:pPr>
      <w:r w:rsidRPr="00440D5D">
        <w:rPr>
          <w:color w:val="000000" w:themeColor="text1"/>
          <w:sz w:val="23"/>
          <w:szCs w:val="23"/>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440D5D">
        <w:rPr>
          <w:i/>
          <w:color w:val="000000" w:themeColor="text1"/>
          <w:sz w:val="23"/>
          <w:szCs w:val="23"/>
        </w:rPr>
        <w:t>See Electronic Filing of Documents in Rulemaking Proceedings</w:t>
      </w:r>
      <w:r w:rsidRPr="00440D5D">
        <w:rPr>
          <w:color w:val="000000" w:themeColor="text1"/>
          <w:sz w:val="23"/>
          <w:szCs w:val="23"/>
        </w:rPr>
        <w:t>, 63 FR 24121 (1998).</w:t>
      </w:r>
    </w:p>
    <w:p w:rsidR="00E16FD0" w:rsidRPr="00440D5D" w:rsidP="00E16FD0" w14:paraId="2073C051" w14:textId="77777777">
      <w:pPr>
        <w:rPr>
          <w:color w:val="000000" w:themeColor="text1"/>
          <w:sz w:val="23"/>
          <w:szCs w:val="23"/>
        </w:rPr>
      </w:pPr>
    </w:p>
    <w:p w:rsidR="00E16FD0" w:rsidRPr="00440D5D" w:rsidP="00E16FD0" w14:paraId="13A59CD3" w14:textId="77777777">
      <w:pPr>
        <w:widowControl/>
        <w:numPr>
          <w:ilvl w:val="0"/>
          <w:numId w:val="3"/>
        </w:numPr>
        <w:rPr>
          <w:color w:val="000000" w:themeColor="text1"/>
          <w:sz w:val="23"/>
          <w:szCs w:val="23"/>
        </w:rPr>
      </w:pPr>
      <w:r w:rsidRPr="00440D5D">
        <w:rPr>
          <w:color w:val="000000" w:themeColor="text1"/>
          <w:sz w:val="23"/>
          <w:szCs w:val="23"/>
        </w:rPr>
        <w:t xml:space="preserve">Electronic Filers:  Comments may be filed electronically using the Internet by accessing the ECFS:  </w:t>
      </w:r>
      <w:hyperlink r:id="rId5" w:history="1">
        <w:r w:rsidRPr="00440D5D">
          <w:rPr>
            <w:color w:val="000000" w:themeColor="text1"/>
            <w:sz w:val="23"/>
            <w:szCs w:val="23"/>
            <w:u w:val="single"/>
          </w:rPr>
          <w:t>http://apps.fcc.gov/ecfs/</w:t>
        </w:r>
      </w:hyperlink>
      <w:r w:rsidRPr="00440D5D">
        <w:rPr>
          <w:color w:val="000000" w:themeColor="text1"/>
          <w:sz w:val="23"/>
          <w:szCs w:val="23"/>
        </w:rPr>
        <w:t xml:space="preserve">.  </w:t>
      </w:r>
    </w:p>
    <w:p w:rsidR="00E16FD0" w:rsidRPr="00440D5D" w:rsidP="00E16FD0" w14:paraId="537E035F" w14:textId="77777777">
      <w:pPr>
        <w:rPr>
          <w:color w:val="000000" w:themeColor="text1"/>
          <w:sz w:val="23"/>
          <w:szCs w:val="23"/>
        </w:rPr>
      </w:pPr>
    </w:p>
    <w:p w:rsidR="00E16FD0" w:rsidRPr="00440D5D" w:rsidP="00E16FD0" w14:paraId="2454409C" w14:textId="77777777">
      <w:pPr>
        <w:widowControl/>
        <w:numPr>
          <w:ilvl w:val="0"/>
          <w:numId w:val="2"/>
        </w:numPr>
        <w:rPr>
          <w:color w:val="000000" w:themeColor="text1"/>
          <w:sz w:val="23"/>
          <w:szCs w:val="23"/>
        </w:rPr>
      </w:pPr>
      <w:r w:rsidRPr="00440D5D">
        <w:rPr>
          <w:color w:val="000000" w:themeColor="text1"/>
          <w:sz w:val="23"/>
          <w:szCs w:val="23"/>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16FD0" w:rsidRPr="00440D5D" w:rsidP="00E16FD0" w14:paraId="4F3F6621" w14:textId="77777777">
      <w:pPr>
        <w:rPr>
          <w:color w:val="000000" w:themeColor="text1"/>
          <w:sz w:val="23"/>
          <w:szCs w:val="23"/>
        </w:rPr>
      </w:pPr>
    </w:p>
    <w:p w:rsidR="00E16FD0" w:rsidRPr="00440D5D" w:rsidP="00E16FD0" w14:paraId="4E3DE870" w14:textId="77777777">
      <w:pPr>
        <w:ind w:left="720"/>
        <w:rPr>
          <w:color w:val="000000" w:themeColor="text1"/>
          <w:sz w:val="23"/>
          <w:szCs w:val="23"/>
        </w:rPr>
      </w:pPr>
      <w:r w:rsidRPr="00440D5D">
        <w:rPr>
          <w:color w:val="000000" w:themeColor="text1"/>
          <w:sz w:val="23"/>
          <w:szCs w:val="23"/>
        </w:rPr>
        <w:t>Filings can be sent by commercial overnight courier, or by first-class or overnight U.S. Postal Service mail.  All filings must be addressed to the Commission’s Secretary, Office of the Secretary, Federal Communications Commission.</w:t>
      </w:r>
    </w:p>
    <w:p w:rsidR="00E16FD0" w:rsidRPr="00440D5D" w:rsidP="00E16FD0" w14:paraId="380AF278" w14:textId="77777777">
      <w:pPr>
        <w:ind w:left="1080"/>
        <w:rPr>
          <w:color w:val="000000" w:themeColor="text1"/>
          <w:sz w:val="23"/>
          <w:szCs w:val="23"/>
        </w:rPr>
      </w:pPr>
    </w:p>
    <w:p w:rsidR="00E16FD0" w:rsidRPr="00440D5D" w:rsidP="00E16FD0" w14:paraId="1704C102" w14:textId="77777777">
      <w:pPr>
        <w:pStyle w:val="ListParagraph"/>
        <w:widowControl/>
        <w:numPr>
          <w:ilvl w:val="0"/>
          <w:numId w:val="1"/>
        </w:numPr>
        <w:spacing w:after="120"/>
        <w:contextualSpacing w:val="0"/>
        <w:rPr>
          <w:color w:val="000000" w:themeColor="text1"/>
          <w:sz w:val="23"/>
          <w:szCs w:val="23"/>
        </w:rPr>
      </w:pPr>
      <w:r w:rsidRPr="00440D5D">
        <w:rPr>
          <w:color w:val="000000" w:themeColor="text1"/>
          <w:sz w:val="23"/>
          <w:szCs w:val="23"/>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color w:val="000000" w:themeColor="text1"/>
          <w:sz w:val="23"/>
          <w:szCs w:val="23"/>
        </w:rPr>
        <w:footnoteReference w:id="9"/>
      </w:r>
      <w:r w:rsidRPr="00440D5D">
        <w:rPr>
          <w:color w:val="000000" w:themeColor="text1"/>
          <w:sz w:val="23"/>
          <w:szCs w:val="23"/>
        </w:rPr>
        <w:t xml:space="preserve">  </w:t>
      </w:r>
    </w:p>
    <w:p w:rsidR="00E16FD0" w:rsidRPr="00440D5D" w:rsidP="00E16FD0" w14:paraId="2C6D3448" w14:textId="77777777">
      <w:pPr>
        <w:pStyle w:val="ListParagraph"/>
        <w:rPr>
          <w:color w:val="000000" w:themeColor="text1"/>
          <w:sz w:val="23"/>
          <w:szCs w:val="23"/>
        </w:rPr>
      </w:pPr>
    </w:p>
    <w:p w:rsidR="00E16FD0" w:rsidRPr="00440D5D" w:rsidP="00E16FD0" w14:paraId="747B7DBA" w14:textId="77777777">
      <w:pPr>
        <w:widowControl/>
        <w:numPr>
          <w:ilvl w:val="0"/>
          <w:numId w:val="1"/>
        </w:numPr>
        <w:tabs>
          <w:tab w:val="clear" w:pos="1350"/>
          <w:tab w:val="num" w:pos="1440"/>
        </w:tabs>
        <w:ind w:left="1440"/>
        <w:rPr>
          <w:color w:val="000000" w:themeColor="text1"/>
          <w:sz w:val="23"/>
          <w:szCs w:val="23"/>
        </w:rPr>
      </w:pPr>
      <w:r w:rsidRPr="00440D5D">
        <w:rPr>
          <w:color w:val="000000" w:themeColor="text1"/>
          <w:sz w:val="23"/>
          <w:szCs w:val="23"/>
        </w:rPr>
        <w:t>Commercial overnight mail (other than U.S. Postal Service Express Mail and Priority Mail) must be sent to 9050 Junction Drive, Annapolis Junction, MD 20701.</w:t>
      </w:r>
    </w:p>
    <w:p w:rsidR="00E16FD0" w:rsidRPr="00440D5D" w:rsidP="00E16FD0" w14:paraId="40934507" w14:textId="77777777">
      <w:pPr>
        <w:rPr>
          <w:color w:val="000000" w:themeColor="text1"/>
          <w:sz w:val="23"/>
          <w:szCs w:val="23"/>
        </w:rPr>
      </w:pPr>
    </w:p>
    <w:p w:rsidR="00E16FD0" w:rsidRPr="00440D5D" w:rsidP="00E16FD0" w14:paraId="6CCBEC24" w14:textId="77777777">
      <w:pPr>
        <w:widowControl/>
        <w:numPr>
          <w:ilvl w:val="0"/>
          <w:numId w:val="1"/>
        </w:numPr>
        <w:tabs>
          <w:tab w:val="clear" w:pos="1350"/>
          <w:tab w:val="num" w:pos="1440"/>
        </w:tabs>
        <w:ind w:left="1440"/>
        <w:rPr>
          <w:color w:val="000000" w:themeColor="text1"/>
          <w:sz w:val="23"/>
          <w:szCs w:val="23"/>
        </w:rPr>
      </w:pPr>
      <w:r w:rsidRPr="00440D5D">
        <w:rPr>
          <w:color w:val="000000" w:themeColor="text1"/>
          <w:sz w:val="23"/>
          <w:szCs w:val="23"/>
        </w:rPr>
        <w:t>U.S. Postal Service first-class, Express, and Priority mail must be addressed to 45 L Street, NE, Washington DC 20554.</w:t>
      </w:r>
    </w:p>
    <w:p w:rsidR="00E16FD0" w:rsidRPr="00440D5D" w:rsidP="00E16FD0" w14:paraId="662F0FAC" w14:textId="77777777">
      <w:pPr>
        <w:rPr>
          <w:color w:val="000000" w:themeColor="text1"/>
          <w:sz w:val="23"/>
          <w:szCs w:val="23"/>
        </w:rPr>
      </w:pPr>
    </w:p>
    <w:p w:rsidR="00E16FD0" w:rsidRPr="00440D5D" w:rsidP="00440D5D" w14:paraId="36791738" w14:textId="77777777">
      <w:pPr>
        <w:widowControl/>
        <w:ind w:firstLine="720"/>
        <w:rPr>
          <w:color w:val="000000" w:themeColor="text1"/>
          <w:sz w:val="23"/>
          <w:szCs w:val="23"/>
        </w:rPr>
      </w:pPr>
      <w:r w:rsidRPr="00440D5D">
        <w:rPr>
          <w:color w:val="000000" w:themeColor="text1"/>
          <w:sz w:val="23"/>
          <w:szCs w:val="23"/>
        </w:rPr>
        <w:t xml:space="preserve">People with Disabilities:  To request materials in accessible formats for people with disabilities (braille, large print, electronic files, audio format), send an e-mail to </w:t>
      </w:r>
      <w:hyperlink r:id="rId6" w:history="1">
        <w:r w:rsidRPr="00440D5D">
          <w:rPr>
            <w:color w:val="000000" w:themeColor="text1"/>
            <w:sz w:val="23"/>
            <w:szCs w:val="23"/>
            <w:u w:val="single"/>
          </w:rPr>
          <w:t>fcc504@fcc.gov</w:t>
        </w:r>
      </w:hyperlink>
      <w:r w:rsidRPr="00440D5D">
        <w:rPr>
          <w:color w:val="000000" w:themeColor="text1"/>
          <w:sz w:val="23"/>
          <w:szCs w:val="23"/>
        </w:rPr>
        <w:t xml:space="preserve"> or call the Consumer &amp; Governmental Affairs Bureau at 202-418-0530 (voice), 202-418-0432 (</w:t>
      </w:r>
      <w:r w:rsidRPr="00440D5D">
        <w:rPr>
          <w:color w:val="000000" w:themeColor="text1"/>
          <w:sz w:val="23"/>
          <w:szCs w:val="23"/>
        </w:rPr>
        <w:t>tty</w:t>
      </w:r>
      <w:r w:rsidRPr="00440D5D">
        <w:rPr>
          <w:color w:val="000000" w:themeColor="text1"/>
          <w:sz w:val="23"/>
          <w:szCs w:val="23"/>
        </w:rPr>
        <w:t>).</w:t>
      </w:r>
    </w:p>
    <w:p w:rsidR="00E16FD0" w:rsidRPr="00440D5D" w:rsidP="00E16FD0" w14:paraId="5E7CA219" w14:textId="77777777">
      <w:pPr>
        <w:rPr>
          <w:color w:val="000000" w:themeColor="text1"/>
          <w:sz w:val="23"/>
          <w:szCs w:val="23"/>
        </w:rPr>
      </w:pPr>
    </w:p>
    <w:p w:rsidR="00E16FD0" w:rsidRPr="00440D5D" w:rsidP="0043510F" w14:paraId="6E63825B" w14:textId="77777777">
      <w:pPr>
        <w:widowControl/>
        <w:ind w:firstLine="720"/>
        <w:rPr>
          <w:color w:val="000000" w:themeColor="text1"/>
          <w:sz w:val="23"/>
          <w:szCs w:val="23"/>
        </w:rPr>
      </w:pPr>
      <w:r w:rsidRPr="00440D5D">
        <w:rPr>
          <w:color w:val="000000" w:themeColor="text1"/>
          <w:sz w:val="23"/>
          <w:szCs w:val="23"/>
        </w:rPr>
        <w:t xml:space="preserve">Parties should also send a copy of their filings to </w:t>
      </w:r>
      <w:r w:rsidRPr="00440D5D" w:rsidR="00056BCB">
        <w:rPr>
          <w:color w:val="000000" w:themeColor="text1"/>
          <w:sz w:val="23"/>
          <w:szCs w:val="23"/>
        </w:rPr>
        <w:t>Syed S.</w:t>
      </w:r>
      <w:r w:rsidRPr="00440D5D" w:rsidR="003B00C2">
        <w:rPr>
          <w:color w:val="000000" w:themeColor="text1"/>
          <w:sz w:val="23"/>
          <w:szCs w:val="23"/>
        </w:rPr>
        <w:t xml:space="preserve"> </w:t>
      </w:r>
      <w:r w:rsidRPr="00440D5D" w:rsidR="00056BCB">
        <w:rPr>
          <w:color w:val="000000" w:themeColor="text1"/>
          <w:sz w:val="23"/>
          <w:szCs w:val="23"/>
        </w:rPr>
        <w:t>Hasan</w:t>
      </w:r>
      <w:r w:rsidRPr="00440D5D">
        <w:rPr>
          <w:color w:val="000000" w:themeColor="text1"/>
          <w:sz w:val="23"/>
          <w:szCs w:val="23"/>
        </w:rPr>
        <w:t xml:space="preserve">, Office of Engineering and Technology, Federal Communications Commission, 45 L Street, NE, Washington DC 20554, or by e-mail to </w:t>
      </w:r>
      <w:hyperlink r:id="rId7" w:history="1">
        <w:r w:rsidRPr="00440D5D" w:rsidR="0043510F">
          <w:rPr>
            <w:rStyle w:val="Hyperlink"/>
            <w:sz w:val="23"/>
            <w:szCs w:val="23"/>
          </w:rPr>
          <w:t>syed.hasan@fcc.gov</w:t>
        </w:r>
      </w:hyperlink>
      <w:r w:rsidRPr="00440D5D">
        <w:rPr>
          <w:color w:val="000000" w:themeColor="text1"/>
          <w:sz w:val="23"/>
          <w:szCs w:val="23"/>
        </w:rPr>
        <w:t>.</w:t>
      </w:r>
      <w:bookmarkStart w:id="4" w:name="_Hlk59097013"/>
      <w:r w:rsidRPr="00440D5D" w:rsidR="0043510F">
        <w:rPr>
          <w:color w:val="000000" w:themeColor="text1"/>
          <w:sz w:val="23"/>
          <w:szCs w:val="23"/>
        </w:rPr>
        <w:t xml:space="preserve">  </w:t>
      </w:r>
      <w:r w:rsidRPr="00440D5D">
        <w:rPr>
          <w:color w:val="000000" w:themeColor="text1"/>
          <w:sz w:val="23"/>
          <w:szCs w:val="23"/>
        </w:rPr>
        <w:t>Documents associated with this docket will be available for public inspection through the Commission’s ECFS.</w:t>
      </w:r>
      <w:bookmarkEnd w:id="4"/>
    </w:p>
    <w:p w:rsidR="00E16FD0" w:rsidRPr="00440D5D" w:rsidP="00E16FD0" w14:paraId="7A8CBEC3" w14:textId="77777777">
      <w:pPr>
        <w:rPr>
          <w:color w:val="000000" w:themeColor="text1"/>
          <w:sz w:val="23"/>
          <w:szCs w:val="23"/>
        </w:rPr>
      </w:pPr>
    </w:p>
    <w:p w:rsidR="00E16FD0" w:rsidRPr="00440D5D" w:rsidP="00E16FD0" w14:paraId="047F39A7" w14:textId="77777777">
      <w:pPr>
        <w:rPr>
          <w:color w:val="000000" w:themeColor="text1"/>
          <w:spacing w:val="-3"/>
          <w:sz w:val="23"/>
          <w:szCs w:val="23"/>
        </w:rPr>
      </w:pPr>
      <w:r w:rsidRPr="00440D5D">
        <w:rPr>
          <w:color w:val="000000" w:themeColor="text1"/>
          <w:spacing w:val="-3"/>
          <w:sz w:val="23"/>
          <w:szCs w:val="23"/>
        </w:rPr>
        <w:t>By the Acting Chief, Office of Engineering and Technology</w:t>
      </w:r>
    </w:p>
    <w:p w:rsidR="00E16FD0" w:rsidRPr="00440D5D" w:rsidP="00E16FD0" w14:paraId="1FD3640E" w14:textId="77777777">
      <w:pPr>
        <w:rPr>
          <w:color w:val="000000" w:themeColor="text1"/>
          <w:spacing w:val="-3"/>
          <w:sz w:val="23"/>
          <w:szCs w:val="23"/>
        </w:rPr>
      </w:pPr>
    </w:p>
    <w:p w:rsidR="00D641D3" w:rsidRPr="00440D5D" w:rsidP="00473DA7" w14:paraId="0BB24342" w14:textId="77777777">
      <w:pPr>
        <w:jc w:val="center"/>
        <w:rPr>
          <w:color w:val="000000" w:themeColor="text1"/>
          <w:spacing w:val="-3"/>
          <w:sz w:val="23"/>
          <w:szCs w:val="23"/>
        </w:rPr>
      </w:pPr>
      <w:r w:rsidRPr="00440D5D">
        <w:rPr>
          <w:color w:val="000000" w:themeColor="text1"/>
          <w:spacing w:val="-3"/>
          <w:sz w:val="23"/>
          <w:szCs w:val="23"/>
        </w:rPr>
        <w:t>-FCC-</w:t>
      </w:r>
      <w:bookmarkEnd w:id="1"/>
      <w:bookmarkEnd w:id="3"/>
    </w:p>
    <w:sectPr w:rsidSect="000E5884">
      <w:headerReference w:type="default" r:id="rId8"/>
      <w:footerReference w:type="even" r:id="rId9"/>
      <w:footerReference w:type="default" r:id="rId10"/>
      <w:headerReference w:type="first" r:id="rId11"/>
      <w:footerReference w:type="first" r:id="rId12"/>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F750A0F" w14:textId="77777777">
    <w:pPr>
      <w:pStyle w:val="Footer"/>
      <w:framePr w:wrap="around" w:vAnchor="text" w:hAnchor="margin" w:xAlign="center" w:y="1"/>
    </w:pPr>
    <w:r>
      <w:fldChar w:fldCharType="begin"/>
    </w:r>
    <w:r>
      <w:instrText xml:space="preserve">PAGE  </w:instrText>
    </w:r>
    <w:r w:rsidR="00440D5D">
      <w:fldChar w:fldCharType="separate"/>
    </w:r>
    <w:r>
      <w:fldChar w:fldCharType="end"/>
    </w:r>
  </w:p>
  <w:p w:rsidR="006F7393" w14:paraId="080FB9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9E38C45"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4C010F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6FD0" w:rsidP="00E16FD0" w14:paraId="50CAEA1B" w14:textId="77777777">
      <w:r>
        <w:separator/>
      </w:r>
    </w:p>
  </w:footnote>
  <w:footnote w:type="continuationSeparator" w:id="1">
    <w:p w:rsidR="00E16FD0" w:rsidP="00E16FD0" w14:paraId="47CD6C4B" w14:textId="77777777">
      <w:r>
        <w:continuationSeparator/>
      </w:r>
    </w:p>
  </w:footnote>
  <w:footnote w:id="2">
    <w:p w:rsidR="002D702A" w14:paraId="4F101EC9" w14:textId="6EFC994D">
      <w:pPr>
        <w:pStyle w:val="FootnoteText"/>
      </w:pPr>
      <w:r>
        <w:rPr>
          <w:rStyle w:val="FootnoteReference"/>
        </w:rPr>
        <w:footnoteRef/>
      </w:r>
      <w:r>
        <w:t xml:space="preserve"> Request by </w:t>
      </w:r>
      <w:r w:rsidR="0076633A">
        <w:t>Schlage</w:t>
      </w:r>
      <w:r>
        <w:t xml:space="preserve"> </w:t>
      </w:r>
      <w:r w:rsidR="0076633A">
        <w:t>Lock Company, LLC</w:t>
      </w:r>
      <w:r>
        <w:t xml:space="preserve"> </w:t>
      </w:r>
      <w:r w:rsidR="00E535D7">
        <w:t>f</w:t>
      </w:r>
      <w:r>
        <w:t>or Waiver of Section 15.519(a) and 15.519(a)(2) of the Commission</w:t>
      </w:r>
      <w:r w:rsidR="00E535D7">
        <w:t>’</w:t>
      </w:r>
      <w:r>
        <w:t>s Rules</w:t>
      </w:r>
      <w:r w:rsidR="002E2430">
        <w:t xml:space="preserve"> (</w:t>
      </w:r>
      <w:r w:rsidR="0076633A">
        <w:t>Schlage</w:t>
      </w:r>
      <w:r w:rsidR="002E2430">
        <w:t xml:space="preserve"> Waiver Request).  The request was dated </w:t>
      </w:r>
      <w:r w:rsidR="0076633A">
        <w:t>April 7</w:t>
      </w:r>
      <w:r w:rsidR="002E2430">
        <w:t>, 202</w:t>
      </w:r>
      <w:r w:rsidR="0076633A">
        <w:t>2</w:t>
      </w:r>
      <w:r w:rsidR="002E2430">
        <w:t xml:space="preserve"> and posted in the FCC’s Electronic Comment Filing System on </w:t>
      </w:r>
      <w:r w:rsidR="0076633A">
        <w:t>April 7</w:t>
      </w:r>
      <w:r w:rsidR="002E2430">
        <w:t>, 202</w:t>
      </w:r>
      <w:r w:rsidR="0076633A">
        <w:t>2</w:t>
      </w:r>
      <w:r w:rsidR="002E2430">
        <w:t>.</w:t>
      </w:r>
    </w:p>
  </w:footnote>
  <w:footnote w:id="3">
    <w:p w:rsidR="00E535D7" w:rsidRPr="00E535D7" w14:paraId="3879E886" w14:textId="241BC331">
      <w:pPr>
        <w:pStyle w:val="FootnoteText"/>
        <w:rPr>
          <w:b/>
          <w:bCs/>
        </w:rPr>
      </w:pPr>
      <w:r>
        <w:rPr>
          <w:rStyle w:val="FootnoteReference"/>
        </w:rPr>
        <w:footnoteRef/>
      </w:r>
      <w:r>
        <w:t xml:space="preserve"> </w:t>
      </w:r>
      <w:r w:rsidR="00A405FA">
        <w:t>Schlage</w:t>
      </w:r>
      <w:r>
        <w:t xml:space="preserve"> Waiver Request at </w:t>
      </w:r>
      <w:r w:rsidR="00D36B7B">
        <w:t>3-4</w:t>
      </w:r>
      <w:r>
        <w:t xml:space="preserve">.  The reader will use directional planar antennas designed for the frequency range from 6 GHz up to 10GHz, which </w:t>
      </w:r>
      <w:r w:rsidR="00A405FA">
        <w:t>Schlage</w:t>
      </w:r>
      <w:r>
        <w:t xml:space="preserve"> says will cover “all UWB channels of interest.”  </w:t>
      </w:r>
      <w:r>
        <w:rPr>
          <w:i/>
          <w:iCs/>
        </w:rPr>
        <w:t>Id.</w:t>
      </w:r>
      <w:r>
        <w:t xml:space="preserve"> at </w:t>
      </w:r>
      <w:r w:rsidR="00D36B7B">
        <w:t>4</w:t>
      </w:r>
      <w:r>
        <w:t>.</w:t>
      </w:r>
    </w:p>
  </w:footnote>
  <w:footnote w:id="4">
    <w:p w:rsidR="006E2A45" w:rsidRPr="00CA0752" w14:paraId="37DA3EE9" w14:textId="4089DA7E">
      <w:pPr>
        <w:pStyle w:val="FootnoteText"/>
      </w:pPr>
      <w:r>
        <w:rPr>
          <w:rStyle w:val="FootnoteReference"/>
        </w:rPr>
        <w:footnoteRef/>
      </w:r>
      <w:r>
        <w:t xml:space="preserve"> </w:t>
      </w:r>
      <w:r>
        <w:rPr>
          <w:i/>
          <w:iCs/>
        </w:rPr>
        <w:t>Id.</w:t>
      </w:r>
      <w:r w:rsidR="0043510F">
        <w:rPr>
          <w:i/>
          <w:iCs/>
        </w:rPr>
        <w:t xml:space="preserve"> </w:t>
      </w:r>
      <w:r w:rsidR="00CA0752">
        <w:t xml:space="preserve">at </w:t>
      </w:r>
      <w:r w:rsidR="00651285">
        <w:t>3</w:t>
      </w:r>
      <w:r w:rsidR="00CA0752">
        <w:t>.</w:t>
      </w:r>
    </w:p>
  </w:footnote>
  <w:footnote w:id="5">
    <w:p w:rsidR="00E16FD0" w:rsidP="00E16FD0" w14:paraId="4AAC4F81" w14:textId="77777777">
      <w:pPr>
        <w:pStyle w:val="FootnoteText"/>
      </w:pPr>
      <w:r>
        <w:rPr>
          <w:rStyle w:val="FootnoteReference"/>
        </w:rPr>
        <w:footnoteRef/>
      </w:r>
      <w:r>
        <w:t xml:space="preserve"> </w:t>
      </w:r>
      <w:r>
        <w:rPr>
          <w:i/>
          <w:iCs/>
        </w:rPr>
        <w:t xml:space="preserve">See </w:t>
      </w:r>
      <w:r>
        <w:t>47 CFR § 15.519(a) and 15.519(a)(2)</w:t>
      </w:r>
      <w:r w:rsidR="00E535D7">
        <w:t>.</w:t>
      </w:r>
    </w:p>
  </w:footnote>
  <w:footnote w:id="6">
    <w:p w:rsidR="008C59A7" w:rsidP="008C59A7" w14:paraId="4F72E00E" w14:textId="467B7F70">
      <w:pPr>
        <w:pStyle w:val="FootnoteText"/>
      </w:pPr>
      <w:r>
        <w:rPr>
          <w:rStyle w:val="FootnoteReference"/>
        </w:rPr>
        <w:footnoteRef/>
      </w:r>
      <w:r>
        <w:t xml:space="preserve"> </w:t>
      </w:r>
      <w:r w:rsidR="00B83487">
        <w:t>Schlage</w:t>
      </w:r>
      <w:r>
        <w:t xml:space="preserve"> Waiver Request at </w:t>
      </w:r>
      <w:r w:rsidR="00E535D7">
        <w:t>8-1</w:t>
      </w:r>
      <w:r w:rsidR="00DE0391">
        <w:t>0</w:t>
      </w:r>
      <w:r>
        <w:t>.</w:t>
      </w:r>
    </w:p>
  </w:footnote>
  <w:footnote w:id="7">
    <w:p w:rsidR="00E16FD0" w:rsidP="00E16FD0" w14:paraId="050A4AE9" w14:textId="71BEE876">
      <w:pPr>
        <w:pStyle w:val="FootnoteText"/>
      </w:pPr>
      <w:r>
        <w:rPr>
          <w:rStyle w:val="FootnoteReference"/>
        </w:rPr>
        <w:footnoteRef/>
      </w:r>
      <w:r>
        <w:t xml:space="preserve"> </w:t>
      </w:r>
      <w:r w:rsidRPr="00E535D7" w:rsidR="00E535D7">
        <w:rPr>
          <w:i/>
          <w:iCs/>
        </w:rPr>
        <w:t>Id</w:t>
      </w:r>
      <w:r w:rsidR="00E535D7">
        <w:t>.</w:t>
      </w:r>
      <w:r>
        <w:t xml:space="preserve"> at </w:t>
      </w:r>
      <w:r w:rsidR="00A22618">
        <w:t>10-11</w:t>
      </w:r>
      <w:r w:rsidR="0043510F">
        <w:t>.</w:t>
      </w:r>
    </w:p>
  </w:footnote>
  <w:footnote w:id="8">
    <w:p w:rsidR="00E16FD0" w:rsidRPr="00CF4F5E" w:rsidP="00E16FD0" w14:paraId="76E88D9B" w14:textId="480353C2">
      <w:pPr>
        <w:pStyle w:val="FootnoteText"/>
        <w:rPr>
          <w:color w:val="000000" w:themeColor="text1"/>
        </w:rPr>
      </w:pPr>
      <w:r w:rsidRPr="00625ADA">
        <w:rPr>
          <w:rStyle w:val="FootnoteReference"/>
          <w:color w:val="000000" w:themeColor="text1"/>
        </w:rPr>
        <w:footnoteRef/>
      </w:r>
      <w:r w:rsidRPr="00625ADA">
        <w:rPr>
          <w:color w:val="000000" w:themeColor="text1"/>
        </w:rPr>
        <w:t xml:space="preserve"> </w:t>
      </w:r>
      <w:r w:rsidR="00A972D7">
        <w:rPr>
          <w:color w:val="000000" w:themeColor="text1"/>
        </w:rPr>
        <w:t>Schlage</w:t>
      </w:r>
      <w:r w:rsidRPr="00625ADA">
        <w:rPr>
          <w:color w:val="000000" w:themeColor="text1"/>
        </w:rPr>
        <w:t xml:space="preserve"> filed </w:t>
      </w:r>
      <w:r w:rsidR="00C102CC">
        <w:rPr>
          <w:color w:val="000000" w:themeColor="text1"/>
        </w:rPr>
        <w:t xml:space="preserve">its request </w:t>
      </w:r>
      <w:r w:rsidRPr="00625ADA">
        <w:rPr>
          <w:color w:val="000000" w:themeColor="text1"/>
        </w:rPr>
        <w:t xml:space="preserve">in INBOX-PART15 (“Petition for Waiver of Part 15”), which is </w:t>
      </w:r>
      <w:r w:rsidR="00C102CC">
        <w:rPr>
          <w:color w:val="000000" w:themeColor="text1"/>
        </w:rPr>
        <w:t>located under the Non-Docketed Filing t</w:t>
      </w:r>
      <w:r w:rsidR="001B4299">
        <w:rPr>
          <w:color w:val="000000" w:themeColor="text1"/>
        </w:rPr>
        <w:t>a</w:t>
      </w:r>
      <w:r w:rsidR="00C102CC">
        <w:rPr>
          <w:color w:val="000000" w:themeColor="text1"/>
        </w:rPr>
        <w:t>b in the Commission</w:t>
      </w:r>
      <w:r w:rsidR="001B4299">
        <w:rPr>
          <w:color w:val="000000" w:themeColor="text1"/>
        </w:rPr>
        <w:t>’s Electronic Comment Filing System (ECFS).</w:t>
      </w:r>
    </w:p>
  </w:footnote>
  <w:footnote w:id="9">
    <w:p w:rsidR="00E16FD0" w:rsidRPr="00625ADA" w:rsidP="00E16FD0" w14:paraId="528D5FA7" w14:textId="71D4434D">
      <w:pPr>
        <w:pStyle w:val="FootnoteText"/>
        <w:rPr>
          <w:i/>
          <w:iCs/>
          <w:color w:val="000000" w:themeColor="text1"/>
        </w:rPr>
      </w:pPr>
      <w:r w:rsidRPr="00625ADA">
        <w:rPr>
          <w:rStyle w:val="FootnoteReference"/>
          <w:color w:val="000000" w:themeColor="text1"/>
        </w:rPr>
        <w:footnoteRef/>
      </w:r>
      <w:r w:rsidRPr="00625ADA">
        <w:rPr>
          <w:color w:val="000000" w:themeColor="text1"/>
        </w:rPr>
        <w:t xml:space="preserve"> </w:t>
      </w:r>
      <w:r w:rsidRPr="00625ADA">
        <w:rPr>
          <w:i/>
          <w:iCs/>
          <w:color w:val="000000" w:themeColor="text1"/>
        </w:rPr>
        <w:t>See FCC Announces Closure of FCC Headquarters Open Window and Change in Hand-Delivery Policy</w:t>
      </w:r>
      <w:r w:rsidRPr="00625ADA">
        <w:rPr>
          <w:color w:val="000000" w:themeColor="text1"/>
        </w:rPr>
        <w:t xml:space="preserve">, Public Notice, </w:t>
      </w:r>
      <w:r>
        <w:rPr>
          <w:color w:val="000000" w:themeColor="text1"/>
        </w:rPr>
        <w:t xml:space="preserve">35 FCC </w:t>
      </w:r>
      <w:r>
        <w:rPr>
          <w:color w:val="000000" w:themeColor="text1"/>
        </w:rPr>
        <w:t>Rcd</w:t>
      </w:r>
      <w:r>
        <w:rPr>
          <w:color w:val="000000" w:themeColor="text1"/>
        </w:rPr>
        <w:t xml:space="preserve"> 2788</w:t>
      </w:r>
      <w:r w:rsidRPr="00625ADA">
        <w:rPr>
          <w:color w:val="000000" w:themeColor="text1"/>
        </w:rPr>
        <w:t xml:space="preserve"> (</w:t>
      </w:r>
      <w:r>
        <w:rPr>
          <w:color w:val="000000" w:themeColor="text1"/>
        </w:rPr>
        <w:t>OMD</w:t>
      </w:r>
      <w:r w:rsidRPr="00625ADA">
        <w:rPr>
          <w:color w:val="000000" w:themeColor="text1"/>
        </w:rPr>
        <w:t xml:space="preserve"> 2020)</w:t>
      </w:r>
      <w:r w:rsidR="00BD07C6">
        <w:rPr>
          <w:color w:val="000000" w:themeColor="text1"/>
        </w:rPr>
        <w:t>, available at</w:t>
      </w:r>
      <w:r w:rsidR="00771AA6">
        <w:rPr>
          <w:color w:val="000000" w:themeColor="text1"/>
        </w:rPr>
        <w:t xml:space="preserve"> </w:t>
      </w:r>
      <w:r w:rsidRPr="00771AA6" w:rsidR="00771AA6">
        <w:rPr>
          <w:color w:val="000000" w:themeColor="text1"/>
        </w:rPr>
        <w:t>https://docs.fcc.gov/public/attachments/DA-20-304A1.pdf</w:t>
      </w:r>
      <w:r w:rsidRPr="00625ADA">
        <w:rPr>
          <w:rFonts w:eastAsia="Calibri"/>
          <w:color w:val="000000" w:themeColor="text1"/>
        </w:rPr>
        <w:t>.</w:t>
      </w:r>
      <w:r w:rsidRPr="00625ADA">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800451" w14:paraId="64248B1A" w14:textId="77777777">
    <w:pPr>
      <w:tabs>
        <w:tab w:val="center" w:pos="4680"/>
        <w:tab w:val="right" w:pos="9360"/>
      </w:tabs>
      <w:rPr>
        <w:rFonts w:ascii="Arial" w:hAnsi="Arial" w:cs="Arial"/>
        <w:b/>
        <w:sz w:val="20"/>
      </w:rPr>
    </w:pPr>
    <w:r w:rsidRPr="009838BC">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C95515C" w14:textId="77777777">
    <w:pPr>
      <w:spacing w:before="40"/>
      <w:rPr>
        <w:rFonts w:ascii="Arial" w:hAnsi="Arial" w:cs="Arial"/>
        <w:b/>
        <w:sz w:val="96"/>
      </w:rPr>
    </w:pPr>
    <w:bookmarkStart w:id="5" w:name="_Hlk106800474"/>
    <w:bookmarkStart w:id="6" w:name="_Hlk106800475"/>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45 L St.,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2C0B1872" w14:textId="77777777">
                    <w:pPr>
                      <w:rPr>
                        <w:rFonts w:ascii="Arial" w:hAnsi="Arial"/>
                        <w:b/>
                      </w:rPr>
                    </w:pPr>
                    <w:r>
                      <w:rPr>
                        <w:rFonts w:ascii="Arial" w:hAnsi="Arial"/>
                        <w:b/>
                      </w:rPr>
                      <w:t>Federal Communications Commission</w:t>
                    </w:r>
                  </w:p>
                  <w:p w:rsidR="009838BC" w:rsidP="009838BC" w14:paraId="40B5A335" w14:textId="77777777">
                    <w:pPr>
                      <w:rPr>
                        <w:rFonts w:ascii="Arial" w:hAnsi="Arial"/>
                        <w:b/>
                      </w:rPr>
                    </w:pPr>
                    <w:r>
                      <w:rPr>
                        <w:rFonts w:ascii="Arial" w:hAnsi="Arial"/>
                        <w:b/>
                      </w:rPr>
                      <w:t>45 L St., N.E.</w:t>
                    </w:r>
                  </w:p>
                  <w:p w:rsidR="009838BC" w:rsidP="009838BC" w14:paraId="1343014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075F337B"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38DE5CEC" w14:textId="77777777">
                    <w:pPr>
                      <w:spacing w:before="40"/>
                      <w:jc w:val="right"/>
                      <w:rPr>
                        <w:rFonts w:ascii="Arial" w:hAnsi="Arial"/>
                        <w:b/>
                        <w:sz w:val="16"/>
                      </w:rPr>
                    </w:pPr>
                    <w:r>
                      <w:rPr>
                        <w:rFonts w:ascii="Arial" w:hAnsi="Arial"/>
                        <w:b/>
                        <w:sz w:val="16"/>
                      </w:rPr>
                      <w:t>News Media Information 202 / 418-0500</w:t>
                    </w:r>
                  </w:p>
                  <w:p w:rsidR="009838BC" w:rsidP="009838BC" w14:paraId="459F93D7"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838BC" w:rsidP="009838BC" w14:paraId="15F76B3C" w14:textId="77777777">
                    <w:pPr>
                      <w:jc w:val="right"/>
                    </w:pPr>
                    <w:r>
                      <w:rPr>
                        <w:rFonts w:ascii="Arial" w:hAnsi="Arial"/>
                        <w:b/>
                        <w:sz w:val="16"/>
                      </w:rPr>
                      <w:t>TTY: 1-888-835-5322</w:t>
                    </w:r>
                  </w:p>
                </w:txbxContent>
              </v:textbox>
            </v:shape>
          </w:pict>
        </mc:Fallback>
      </mc:AlternateContent>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8"/>
  </w:num>
  <w:num w:numId="2">
    <w:abstractNumId w:val="0"/>
  </w:num>
  <w:num w:numId="3">
    <w:abstractNumId w:val="5"/>
  </w:num>
  <w:num w:numId="4">
    <w:abstractNumId w:val="2"/>
  </w:num>
  <w:num w:numId="5">
    <w:abstractNumId w:val="7"/>
  </w:num>
  <w:num w:numId="6">
    <w:abstractNumId w:val="4"/>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D0"/>
    <w:rsid w:val="000022F5"/>
    <w:rsid w:val="00006E6A"/>
    <w:rsid w:val="0004221E"/>
    <w:rsid w:val="00056BCB"/>
    <w:rsid w:val="00064580"/>
    <w:rsid w:val="0015793C"/>
    <w:rsid w:val="00182691"/>
    <w:rsid w:val="001B4299"/>
    <w:rsid w:val="001E4492"/>
    <w:rsid w:val="001F0B6E"/>
    <w:rsid w:val="00200C2D"/>
    <w:rsid w:val="00224581"/>
    <w:rsid w:val="00232D10"/>
    <w:rsid w:val="002D702A"/>
    <w:rsid w:val="002E2430"/>
    <w:rsid w:val="002E4B19"/>
    <w:rsid w:val="002F3C94"/>
    <w:rsid w:val="002F7CF5"/>
    <w:rsid w:val="00301744"/>
    <w:rsid w:val="00322842"/>
    <w:rsid w:val="00322919"/>
    <w:rsid w:val="00357D50"/>
    <w:rsid w:val="003B00C2"/>
    <w:rsid w:val="003E3B93"/>
    <w:rsid w:val="0043510F"/>
    <w:rsid w:val="00440D5D"/>
    <w:rsid w:val="00464B90"/>
    <w:rsid w:val="00473DA7"/>
    <w:rsid w:val="00480779"/>
    <w:rsid w:val="00493F7C"/>
    <w:rsid w:val="004A6E4F"/>
    <w:rsid w:val="004E110B"/>
    <w:rsid w:val="0055614C"/>
    <w:rsid w:val="0057385B"/>
    <w:rsid w:val="005A0333"/>
    <w:rsid w:val="00605BE3"/>
    <w:rsid w:val="00625ADA"/>
    <w:rsid w:val="00641701"/>
    <w:rsid w:val="00651285"/>
    <w:rsid w:val="00665ABE"/>
    <w:rsid w:val="00693C42"/>
    <w:rsid w:val="006A7E8D"/>
    <w:rsid w:val="006E2A45"/>
    <w:rsid w:val="006F7393"/>
    <w:rsid w:val="006F7FDD"/>
    <w:rsid w:val="00714294"/>
    <w:rsid w:val="0076633A"/>
    <w:rsid w:val="00771AA6"/>
    <w:rsid w:val="007B333F"/>
    <w:rsid w:val="007E5BFA"/>
    <w:rsid w:val="00800451"/>
    <w:rsid w:val="00855C75"/>
    <w:rsid w:val="008A1FD9"/>
    <w:rsid w:val="008C59A7"/>
    <w:rsid w:val="00910F12"/>
    <w:rsid w:val="0091244E"/>
    <w:rsid w:val="00916E84"/>
    <w:rsid w:val="009838BC"/>
    <w:rsid w:val="00995CC4"/>
    <w:rsid w:val="009C59DC"/>
    <w:rsid w:val="009E2F2C"/>
    <w:rsid w:val="00A22618"/>
    <w:rsid w:val="00A405FA"/>
    <w:rsid w:val="00A866AC"/>
    <w:rsid w:val="00A875F4"/>
    <w:rsid w:val="00A972D7"/>
    <w:rsid w:val="00AF578B"/>
    <w:rsid w:val="00B17D7F"/>
    <w:rsid w:val="00B36D14"/>
    <w:rsid w:val="00B433E2"/>
    <w:rsid w:val="00B83487"/>
    <w:rsid w:val="00B85EB7"/>
    <w:rsid w:val="00BD07C6"/>
    <w:rsid w:val="00BD4010"/>
    <w:rsid w:val="00C102CC"/>
    <w:rsid w:val="00C96F65"/>
    <w:rsid w:val="00C96FFC"/>
    <w:rsid w:val="00CA0752"/>
    <w:rsid w:val="00CA4E22"/>
    <w:rsid w:val="00CC37B4"/>
    <w:rsid w:val="00CF4F5E"/>
    <w:rsid w:val="00D216CD"/>
    <w:rsid w:val="00D2764A"/>
    <w:rsid w:val="00D36B7B"/>
    <w:rsid w:val="00D641D3"/>
    <w:rsid w:val="00DE0391"/>
    <w:rsid w:val="00E00835"/>
    <w:rsid w:val="00E00E3E"/>
    <w:rsid w:val="00E16FD0"/>
    <w:rsid w:val="00E43F60"/>
    <w:rsid w:val="00E535D7"/>
    <w:rsid w:val="00E63C96"/>
    <w:rsid w:val="00E85FAD"/>
    <w:rsid w:val="00EA6C8C"/>
    <w:rsid w:val="00F02E06"/>
    <w:rsid w:val="00F27E12"/>
    <w:rsid w:val="00F6368E"/>
    <w:rsid w:val="00F87B0B"/>
    <w:rsid w:val="00FA3DE4"/>
    <w:rsid w:val="00FA4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4D75D2"/>
  <w15:chartTrackingRefBased/>
  <w15:docId w15:val="{C686ABCB-32F7-4401-ABE7-B90294E0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75"/>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855C75"/>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55C75"/>
    <w:pPr>
      <w:keepNext/>
      <w:numPr>
        <w:ilvl w:val="1"/>
        <w:numId w:val="6"/>
      </w:numPr>
      <w:spacing w:after="120"/>
      <w:outlineLvl w:val="1"/>
    </w:pPr>
    <w:rPr>
      <w:b/>
    </w:rPr>
  </w:style>
  <w:style w:type="paragraph" w:styleId="Heading3">
    <w:name w:val="heading 3"/>
    <w:basedOn w:val="Normal"/>
    <w:next w:val="ParaNum"/>
    <w:link w:val="Heading3Char"/>
    <w:qFormat/>
    <w:rsid w:val="00855C75"/>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855C75"/>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855C75"/>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855C75"/>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855C75"/>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855C75"/>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55C75"/>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semiHidden/>
    <w:rsid w:val="00855C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55C75"/>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rsid w:val="00855C7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basedOn w:val="DefaultParagraphFont"/>
    <w:link w:val="FootnoteText"/>
    <w:rsid w:val="00E16FD0"/>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855C75"/>
    <w:rPr>
      <w:rFonts w:ascii="Times New Roman" w:hAnsi="Times New Roman"/>
      <w:dstrike w:val="0"/>
      <w:color w:val="auto"/>
      <w:sz w:val="22"/>
      <w:vertAlign w:val="superscript"/>
    </w:rPr>
  </w:style>
  <w:style w:type="paragraph" w:styleId="Footer">
    <w:name w:val="footer"/>
    <w:basedOn w:val="Normal"/>
    <w:link w:val="FooterChar"/>
    <w:uiPriority w:val="99"/>
    <w:rsid w:val="00855C75"/>
    <w:pPr>
      <w:tabs>
        <w:tab w:val="center" w:pos="4320"/>
        <w:tab w:val="right" w:pos="8640"/>
      </w:tabs>
    </w:pPr>
  </w:style>
  <w:style w:type="character" w:customStyle="1" w:styleId="FooterChar">
    <w:name w:val="Footer Char"/>
    <w:link w:val="Footer"/>
    <w:uiPriority w:val="99"/>
    <w:rsid w:val="00855C75"/>
    <w:rPr>
      <w:rFonts w:ascii="Times New Roman" w:eastAsia="Times New Roman" w:hAnsi="Times New Roman" w:cs="Times New Roman"/>
      <w:snapToGrid w:val="0"/>
      <w:kern w:val="28"/>
      <w:szCs w:val="20"/>
    </w:rPr>
  </w:style>
  <w:style w:type="character" w:styleId="Hyperlink">
    <w:name w:val="Hyperlink"/>
    <w:rsid w:val="00855C75"/>
    <w:rPr>
      <w:color w:val="0000FF"/>
      <w:u w:val="single"/>
    </w:rPr>
  </w:style>
  <w:style w:type="paragraph" w:customStyle="1" w:styleId="Default">
    <w:name w:val="Default"/>
    <w:rsid w:val="00E16F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16FD0"/>
    <w:pPr>
      <w:ind w:left="720"/>
      <w:contextualSpacing/>
    </w:pPr>
  </w:style>
  <w:style w:type="character" w:customStyle="1" w:styleId="UnresolvedMention1">
    <w:name w:val="Unresolved Mention1"/>
    <w:basedOn w:val="DefaultParagraphFont"/>
    <w:uiPriority w:val="99"/>
    <w:semiHidden/>
    <w:unhideWhenUsed/>
    <w:rsid w:val="00006E6A"/>
    <w:rPr>
      <w:color w:val="605E5C"/>
      <w:shd w:val="clear" w:color="auto" w:fill="E1DFDD"/>
    </w:rPr>
  </w:style>
  <w:style w:type="character" w:styleId="FollowedHyperlink">
    <w:name w:val="FollowedHyperlink"/>
    <w:basedOn w:val="DefaultParagraphFont"/>
    <w:uiPriority w:val="99"/>
    <w:semiHidden/>
    <w:unhideWhenUsed/>
    <w:rsid w:val="008A1FD9"/>
    <w:rPr>
      <w:color w:val="954F72" w:themeColor="followedHyperlink"/>
      <w:u w:val="single"/>
    </w:rPr>
  </w:style>
  <w:style w:type="paragraph" w:styleId="Header">
    <w:name w:val="header"/>
    <w:basedOn w:val="Normal"/>
    <w:link w:val="HeaderChar"/>
    <w:autoRedefine/>
    <w:rsid w:val="00855C75"/>
    <w:pPr>
      <w:tabs>
        <w:tab w:val="center" w:pos="4680"/>
        <w:tab w:val="right" w:pos="9360"/>
      </w:tabs>
    </w:pPr>
    <w:rPr>
      <w:rFonts w:ascii="Arial" w:hAnsi="Arial" w:cs="Arial"/>
      <w:b/>
      <w:sz w:val="96"/>
      <w:szCs w:val="96"/>
    </w:rPr>
  </w:style>
  <w:style w:type="character" w:customStyle="1" w:styleId="HeaderChar">
    <w:name w:val="Header Char"/>
    <w:basedOn w:val="DefaultParagraphFont"/>
    <w:link w:val="Header"/>
    <w:rsid w:val="00FA4C4E"/>
    <w:rPr>
      <w:rFonts w:ascii="Arial" w:eastAsia="Times New Roman" w:hAnsi="Arial" w:cs="Arial"/>
      <w:b/>
      <w:snapToGrid w:val="0"/>
      <w:kern w:val="28"/>
      <w:sz w:val="96"/>
      <w:szCs w:val="96"/>
    </w:rPr>
  </w:style>
  <w:style w:type="character" w:styleId="CommentReference">
    <w:name w:val="annotation reference"/>
    <w:basedOn w:val="DefaultParagraphFont"/>
    <w:uiPriority w:val="99"/>
    <w:semiHidden/>
    <w:unhideWhenUsed/>
    <w:rsid w:val="001F0B6E"/>
    <w:rPr>
      <w:sz w:val="16"/>
      <w:szCs w:val="16"/>
    </w:rPr>
  </w:style>
  <w:style w:type="paragraph" w:styleId="CommentText">
    <w:name w:val="annotation text"/>
    <w:basedOn w:val="Normal"/>
    <w:link w:val="CommentTextChar"/>
    <w:uiPriority w:val="99"/>
    <w:unhideWhenUsed/>
    <w:rsid w:val="001F0B6E"/>
    <w:rPr>
      <w:sz w:val="20"/>
    </w:rPr>
  </w:style>
  <w:style w:type="character" w:customStyle="1" w:styleId="CommentTextChar">
    <w:name w:val="Comment Text Char"/>
    <w:basedOn w:val="DefaultParagraphFont"/>
    <w:link w:val="CommentText"/>
    <w:uiPriority w:val="99"/>
    <w:rsid w:val="001F0B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1F0B6E"/>
    <w:rPr>
      <w:b/>
      <w:bCs/>
    </w:rPr>
  </w:style>
  <w:style w:type="character" w:customStyle="1" w:styleId="CommentSubjectChar">
    <w:name w:val="Comment Subject Char"/>
    <w:basedOn w:val="CommentTextChar"/>
    <w:link w:val="CommentSubject"/>
    <w:uiPriority w:val="99"/>
    <w:semiHidden/>
    <w:rsid w:val="001F0B6E"/>
    <w:rPr>
      <w:rFonts w:ascii="Times New Roman" w:eastAsia="Times New Roman" w:hAnsi="Times New Roman" w:cs="Times New Roman"/>
      <w:b/>
      <w:bCs/>
      <w:snapToGrid w:val="0"/>
      <w:kern w:val="28"/>
      <w:sz w:val="20"/>
      <w:szCs w:val="20"/>
    </w:rPr>
  </w:style>
  <w:style w:type="character" w:customStyle="1" w:styleId="Heading1Char">
    <w:name w:val="Heading 1 Char"/>
    <w:basedOn w:val="DefaultParagraphFont"/>
    <w:link w:val="Heading1"/>
    <w:rsid w:val="007B333F"/>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7B333F"/>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7B333F"/>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7B333F"/>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7B333F"/>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7B333F"/>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7B333F"/>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7B333F"/>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7B333F"/>
    <w:rPr>
      <w:rFonts w:ascii="Times New Roman" w:eastAsia="Times New Roman" w:hAnsi="Times New Roman" w:cs="Times New Roman"/>
      <w:b/>
      <w:snapToGrid w:val="0"/>
      <w:kern w:val="28"/>
      <w:szCs w:val="20"/>
    </w:rPr>
  </w:style>
  <w:style w:type="paragraph" w:customStyle="1" w:styleId="ParaNum">
    <w:name w:val="ParaNum"/>
    <w:basedOn w:val="Normal"/>
    <w:rsid w:val="00855C75"/>
    <w:pPr>
      <w:numPr>
        <w:numId w:val="5"/>
      </w:numPr>
      <w:tabs>
        <w:tab w:val="clear" w:pos="1080"/>
        <w:tab w:val="num" w:pos="1440"/>
      </w:tabs>
      <w:spacing w:after="120"/>
    </w:pPr>
  </w:style>
  <w:style w:type="paragraph" w:styleId="EndnoteText">
    <w:name w:val="endnote text"/>
    <w:basedOn w:val="Normal"/>
    <w:link w:val="EndnoteTextChar"/>
    <w:semiHidden/>
    <w:rsid w:val="00855C75"/>
    <w:rPr>
      <w:sz w:val="20"/>
    </w:rPr>
  </w:style>
  <w:style w:type="character" w:customStyle="1" w:styleId="EndnoteTextChar">
    <w:name w:val="Endnote Text Char"/>
    <w:basedOn w:val="DefaultParagraphFont"/>
    <w:link w:val="EndnoteText"/>
    <w:semiHidden/>
    <w:rsid w:val="007B333F"/>
    <w:rPr>
      <w:rFonts w:ascii="Times New Roman" w:eastAsia="Times New Roman" w:hAnsi="Times New Roman" w:cs="Times New Roman"/>
      <w:snapToGrid w:val="0"/>
      <w:kern w:val="28"/>
      <w:sz w:val="20"/>
      <w:szCs w:val="20"/>
    </w:rPr>
  </w:style>
  <w:style w:type="character" w:styleId="EndnoteReference">
    <w:name w:val="endnote reference"/>
    <w:semiHidden/>
    <w:rsid w:val="00855C75"/>
    <w:rPr>
      <w:vertAlign w:val="superscript"/>
    </w:rPr>
  </w:style>
  <w:style w:type="paragraph" w:styleId="TOC1">
    <w:name w:val="toc 1"/>
    <w:basedOn w:val="Normal"/>
    <w:next w:val="Normal"/>
    <w:uiPriority w:val="39"/>
    <w:rsid w:val="00855C7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55C75"/>
    <w:pPr>
      <w:tabs>
        <w:tab w:val="left" w:pos="720"/>
        <w:tab w:val="right" w:leader="dot" w:pos="9360"/>
      </w:tabs>
      <w:suppressAutoHyphens/>
      <w:ind w:left="720" w:right="720" w:hanging="360"/>
    </w:pPr>
    <w:rPr>
      <w:noProof/>
    </w:rPr>
  </w:style>
  <w:style w:type="paragraph" w:styleId="TOC3">
    <w:name w:val="toc 3"/>
    <w:basedOn w:val="Normal"/>
    <w:next w:val="Normal"/>
    <w:semiHidden/>
    <w:rsid w:val="00855C7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55C7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55C7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55C7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55C7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55C7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55C7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55C75"/>
    <w:pPr>
      <w:tabs>
        <w:tab w:val="right" w:pos="9360"/>
      </w:tabs>
      <w:suppressAutoHyphens/>
    </w:pPr>
  </w:style>
  <w:style w:type="character" w:customStyle="1" w:styleId="EquationCaption">
    <w:name w:val="_Equation Caption"/>
    <w:rsid w:val="00855C75"/>
  </w:style>
  <w:style w:type="character" w:styleId="PageNumber">
    <w:name w:val="page number"/>
    <w:basedOn w:val="DefaultParagraphFont"/>
    <w:rsid w:val="00855C75"/>
  </w:style>
  <w:style w:type="paragraph" w:styleId="BlockText">
    <w:name w:val="Block Text"/>
    <w:basedOn w:val="Normal"/>
    <w:rsid w:val="00855C75"/>
    <w:pPr>
      <w:spacing w:after="240"/>
      <w:ind w:left="1440" w:right="1440"/>
    </w:pPr>
  </w:style>
  <w:style w:type="paragraph" w:customStyle="1" w:styleId="Paratitle">
    <w:name w:val="Para title"/>
    <w:basedOn w:val="Normal"/>
    <w:rsid w:val="00855C75"/>
    <w:pPr>
      <w:tabs>
        <w:tab w:val="center" w:pos="9270"/>
      </w:tabs>
      <w:spacing w:after="240"/>
    </w:pPr>
    <w:rPr>
      <w:spacing w:val="-2"/>
    </w:rPr>
  </w:style>
  <w:style w:type="paragraph" w:customStyle="1" w:styleId="Bullet">
    <w:name w:val="Bullet"/>
    <w:basedOn w:val="Normal"/>
    <w:rsid w:val="00855C75"/>
    <w:pPr>
      <w:numPr>
        <w:numId w:val="1"/>
      </w:numPr>
      <w:tabs>
        <w:tab w:val="left" w:pos="2160"/>
      </w:tabs>
      <w:spacing w:after="220"/>
      <w:ind w:left="2160" w:hanging="720"/>
    </w:pPr>
  </w:style>
  <w:style w:type="paragraph" w:customStyle="1" w:styleId="TableFormat">
    <w:name w:val="TableFormat"/>
    <w:basedOn w:val="Bullet"/>
    <w:rsid w:val="00855C75"/>
    <w:pPr>
      <w:numPr>
        <w:numId w:val="0"/>
      </w:numPr>
      <w:tabs>
        <w:tab w:val="clear" w:pos="2160"/>
        <w:tab w:val="left" w:pos="5040"/>
      </w:tabs>
      <w:ind w:left="5040" w:hanging="3600"/>
    </w:pPr>
  </w:style>
  <w:style w:type="paragraph" w:customStyle="1" w:styleId="TOCTitle">
    <w:name w:val="TOC Title"/>
    <w:basedOn w:val="Normal"/>
    <w:rsid w:val="00855C7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55C75"/>
    <w:pPr>
      <w:jc w:val="center"/>
    </w:pPr>
    <w:rPr>
      <w:rFonts w:ascii="Times New Roman Bold" w:hAnsi="Times New Roman Bold"/>
      <w:b/>
      <w:bCs/>
      <w:caps/>
      <w:szCs w:val="22"/>
    </w:rPr>
  </w:style>
  <w:style w:type="character" w:customStyle="1" w:styleId="UnresolvedMention">
    <w:name w:val="Unresolved Mention"/>
    <w:uiPriority w:val="99"/>
    <w:unhideWhenUsed/>
    <w:rsid w:val="00855C75"/>
    <w:rPr>
      <w:color w:val="605E5C"/>
      <w:shd w:val="clear" w:color="auto" w:fill="E1DFDD"/>
    </w:rPr>
  </w:style>
  <w:style w:type="paragraph" w:styleId="Revision">
    <w:name w:val="Revision"/>
    <w:hidden/>
    <w:uiPriority w:val="99"/>
    <w:semiHidden/>
    <w:rsid w:val="000022F5"/>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syed.hasa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