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186F7369" w14:textId="1B785AC9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6C162D">
        <w:rPr>
          <w:b/>
          <w:sz w:val="24"/>
        </w:rPr>
        <w:t>22-713</w:t>
      </w:r>
    </w:p>
    <w:p w:rsidR="00013A8B" w:rsidRPr="00B20363" w:rsidP="11D2195F" w14:paraId="06AB3D11" w14:textId="0671058C">
      <w:pPr>
        <w:spacing w:before="60"/>
        <w:jc w:val="right"/>
        <w:rPr>
          <w:b/>
          <w:bCs/>
          <w:sz w:val="24"/>
          <w:szCs w:val="24"/>
        </w:rPr>
      </w:pPr>
      <w:r w:rsidRPr="11D2195F">
        <w:rPr>
          <w:b/>
          <w:bCs/>
          <w:sz w:val="24"/>
          <w:szCs w:val="24"/>
        </w:rPr>
        <w:t xml:space="preserve">Released:  </w:t>
      </w:r>
      <w:r w:rsidRPr="11D2195F" w:rsidR="002319CC">
        <w:rPr>
          <w:b/>
          <w:bCs/>
          <w:sz w:val="24"/>
          <w:szCs w:val="24"/>
        </w:rPr>
        <w:t xml:space="preserve">July </w:t>
      </w:r>
      <w:r w:rsidR="006C162D">
        <w:rPr>
          <w:b/>
          <w:bCs/>
          <w:sz w:val="24"/>
          <w:szCs w:val="24"/>
        </w:rPr>
        <w:t>1</w:t>
      </w:r>
      <w:r w:rsidRPr="11D2195F" w:rsidR="00CE7F21">
        <w:rPr>
          <w:b/>
          <w:bCs/>
          <w:sz w:val="24"/>
          <w:szCs w:val="24"/>
        </w:rPr>
        <w:t>, 202</w:t>
      </w:r>
      <w:r w:rsidRPr="11D2195F" w:rsidR="000F224B">
        <w:rPr>
          <w:b/>
          <w:bCs/>
          <w:sz w:val="24"/>
          <w:szCs w:val="24"/>
        </w:rPr>
        <w:t>2</w:t>
      </w:r>
    </w:p>
    <w:p w:rsidR="00013A8B" w:rsidP="00013A8B" w14:paraId="7252784F" w14:textId="77777777">
      <w:pPr>
        <w:jc w:val="right"/>
        <w:rPr>
          <w:sz w:val="24"/>
        </w:rPr>
      </w:pPr>
    </w:p>
    <w:p w:rsidR="00013A8B" w:rsidRPr="00B20363" w:rsidP="00013A8B" w14:paraId="60DE654F" w14:textId="2100486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425A2C" w:rsidP="000D6313" w14:paraId="3EBA8307" w14:textId="09319229">
      <w:pPr>
        <w:spacing w:after="120"/>
        <w:ind w:firstLine="720"/>
      </w:pPr>
      <w:r>
        <w:t>On April</w:t>
      </w:r>
      <w:r w:rsidR="00752FFD">
        <w:t xml:space="preserve"> </w:t>
      </w:r>
      <w:r w:rsidR="002547C1">
        <w:t>1</w:t>
      </w:r>
      <w:r>
        <w:t>, 202</w:t>
      </w:r>
      <w:r w:rsidR="00752FFD">
        <w:t>2</w:t>
      </w:r>
      <w:r>
        <w:t xml:space="preserve">, television stations located in </w:t>
      </w:r>
      <w:r w:rsidR="00752FFD">
        <w:t>Texas</w:t>
      </w:r>
      <w:r>
        <w:t xml:space="preserve"> were required to file applications for license renewal for terms expiring on </w:t>
      </w:r>
      <w:r w:rsidR="00C246A7">
        <w:t xml:space="preserve">August </w:t>
      </w:r>
      <w:r>
        <w:t>1, 202</w:t>
      </w:r>
      <w:r w:rsidR="000A51F0">
        <w:t>2</w:t>
      </w:r>
      <w:r>
        <w:t>.</w:t>
      </w:r>
      <w:r w:rsidR="008A5110">
        <w:t xml:space="preserve"> </w:t>
      </w:r>
      <w:r>
        <w:t xml:space="preserve"> The following stations failed to file license renewal applications and their licenses will expire as of August</w:t>
      </w:r>
      <w:r w:rsidR="003D224F">
        <w:t xml:space="preserve"> </w:t>
      </w:r>
      <w:r>
        <w:t>1, 202</w:t>
      </w:r>
      <w:r w:rsidR="000A51F0">
        <w:t>2</w:t>
      </w:r>
      <w:r>
        <w:t>, provided no renewal application is received by midnight on the date of expiration:</w:t>
      </w:r>
    </w:p>
    <w:p w:rsidR="00013A8B" w:rsidP="00622C9B" w14:paraId="3A81191D" w14:textId="1ADB26CE">
      <w:pPr>
        <w:rPr>
          <w:b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970"/>
        <w:gridCol w:w="1350"/>
        <w:gridCol w:w="3690"/>
      </w:tblGrid>
      <w:tr w14:paraId="3DA8E5DC" w14:textId="77777777" w:rsidTr="1746525B">
        <w:tblPrEx>
          <w:tblW w:w="93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CA3AAE3" w14:textId="07EA346F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Call Sign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5A2C" w:rsidRPr="00F800A8" w:rsidP="00895E54" w14:paraId="7DDF7A3D" w14:textId="16E4C2D4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Community of License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16163B6" w14:textId="07318787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Facility ID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25A2C" w:rsidRPr="00F800A8" w:rsidP="00895E54" w14:paraId="103ADFD0" w14:textId="1DF685DC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Licensee</w:t>
            </w:r>
          </w:p>
        </w:tc>
      </w:tr>
      <w:tr w14:paraId="34A9515B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526561" w:rsidP="000E0079" w14:paraId="75A0C711" w14:textId="46E2FAF9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KQFW-LD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526561" w:rsidP="11D2195F" w14:paraId="3401D116" w14:textId="2F7E7C78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Dallas,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079" w:rsidRPr="00526561" w:rsidP="000E0079" w14:paraId="5574E016" w14:textId="77777777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130957</w:t>
            </w:r>
          </w:p>
          <w:p w:rsidR="00002AB5" w:rsidRPr="00526561" w:rsidP="00895E54" w14:paraId="44BF00D9" w14:textId="77777777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E0079" w:rsidRPr="00526561" w:rsidP="000E0079" w14:paraId="3A7F29EE" w14:textId="77777777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DANIEL AND MOISES GOMEZ</w:t>
            </w:r>
          </w:p>
          <w:p w:rsidR="00002AB5" w:rsidRPr="00526561" w:rsidP="00895E54" w14:paraId="6E906616" w14:textId="77777777">
            <w:pPr>
              <w:jc w:val="center"/>
              <w:rPr>
                <w:b/>
                <w:bCs/>
                <w:szCs w:val="22"/>
              </w:rPr>
            </w:pPr>
          </w:p>
        </w:tc>
      </w:tr>
      <w:tr w14:paraId="39235BE5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526561" w:rsidP="00FE3E36" w14:paraId="779B3D26" w14:textId="32F05C13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KZFB-LP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526561" w:rsidP="11D2195F" w14:paraId="1985DD08" w14:textId="246EBFB6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Amarillo,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526561" w:rsidP="00895E54" w14:paraId="3F7D4A0F" w14:textId="08625BD3">
            <w:pPr>
              <w:jc w:val="center"/>
              <w:rPr>
                <w:b/>
                <w:bCs/>
                <w:szCs w:val="22"/>
              </w:rPr>
            </w:pPr>
            <w:r w:rsidRPr="00526561">
              <w:rPr>
                <w:b/>
                <w:bCs/>
                <w:szCs w:val="22"/>
              </w:rPr>
              <w:t>129140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526561" w:rsidP="00FE3E36" w14:paraId="448EE63C" w14:textId="219C89E1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IGLESIA JESUCRISTO ES MI REFUGIO, INC.</w:t>
            </w:r>
          </w:p>
        </w:tc>
      </w:tr>
      <w:tr w14:paraId="6B65F7C8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526561" w:rsidP="00FE3E36" w14:paraId="495AAAC5" w14:textId="24685928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KXVZ-LP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526561" w:rsidP="11D2195F" w14:paraId="36561DA5" w14:textId="6C870B2D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Plainview,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526561" w:rsidP="00895E54" w14:paraId="20BC20FB" w14:textId="07A6172D">
            <w:pPr>
              <w:jc w:val="center"/>
              <w:rPr>
                <w:b/>
                <w:bCs/>
                <w:szCs w:val="22"/>
              </w:rPr>
            </w:pPr>
            <w:r w:rsidRPr="00526561">
              <w:rPr>
                <w:b/>
                <w:bCs/>
                <w:szCs w:val="22"/>
              </w:rPr>
              <w:t>129691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526561" w:rsidP="00FE3E36" w14:paraId="6C49EF15" w14:textId="5E9F18DE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IGLESIA JESUCRISTO ES MI REFUGIO, INC.</w:t>
            </w:r>
          </w:p>
        </w:tc>
      </w:tr>
      <w:tr w14:paraId="60DF93EE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526561" w:rsidP="00FE3E36" w14:paraId="31C2B782" w14:textId="4130F819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K10PL-D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526561" w:rsidP="11D2195F" w14:paraId="1606D012" w14:textId="2BFAC4A4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Victoria,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526561" w:rsidP="00895E54" w14:paraId="1E68EDDA" w14:textId="2138C5D6">
            <w:pPr>
              <w:jc w:val="center"/>
              <w:rPr>
                <w:b/>
                <w:bCs/>
                <w:szCs w:val="22"/>
              </w:rPr>
            </w:pPr>
            <w:r w:rsidRPr="00526561">
              <w:rPr>
                <w:b/>
                <w:bCs/>
                <w:szCs w:val="22"/>
              </w:rPr>
              <w:t>125284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526561" w:rsidP="00FE3E36" w14:paraId="3A797739" w14:textId="0A7D8154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JOSE SALAS</w:t>
            </w:r>
          </w:p>
        </w:tc>
      </w:tr>
      <w:tr w14:paraId="4B7506A3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526561" w:rsidP="00FE3E36" w14:paraId="5E36137B" w14:textId="2A09431A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KHCC-LP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526561" w:rsidP="11D2195F" w14:paraId="5B96404E" w14:textId="5ACCEB77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Corpus Christi,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526561" w:rsidP="00FE3E36" w14:paraId="2E2DDC62" w14:textId="0B389686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42710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526561" w:rsidP="00FE3E36" w14:paraId="306C7298" w14:textId="4E4D67F4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MINERVA R. LOPEZ</w:t>
            </w:r>
          </w:p>
        </w:tc>
      </w:tr>
      <w:tr w14:paraId="5FC8D85C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526561" w:rsidP="00FE3E36" w14:paraId="5E23CB22" w14:textId="1A7C10C2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KTMV-LP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526561" w:rsidP="11D2195F" w14:paraId="1E34B6AA" w14:textId="3885FC21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Corpus Christi,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526561" w:rsidP="00FE3E36" w14:paraId="67504D08" w14:textId="633A54F9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42711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526561" w:rsidP="00FE3E36" w14:paraId="0EA80B5E" w14:textId="32519B62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MINERVA R. LOPEZ</w:t>
            </w:r>
          </w:p>
        </w:tc>
      </w:tr>
      <w:tr w14:paraId="2B9AF40F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526561" w:rsidP="00526561" w14:paraId="6AB42FC8" w14:textId="35F5B0F8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KVHM-LP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526561" w:rsidP="11D2195F" w14:paraId="1D9A0AD0" w14:textId="48BE4FD6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Victoria,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526561" w:rsidP="00526561" w14:paraId="399D8A68" w14:textId="666307B9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28078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526561" w:rsidP="00526561" w14:paraId="6BD37E23" w14:textId="0203CD0F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CARLOS LOPEZ EXECUTOR FOR THE ESTATE OF HUMBERTO L. LOPEZ</w:t>
            </w:r>
          </w:p>
        </w:tc>
      </w:tr>
      <w:tr w14:paraId="77DA8314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526561" w:rsidP="00895E54" w14:paraId="5C7F51BC" w14:textId="43832F8B">
            <w:pPr>
              <w:jc w:val="center"/>
              <w:rPr>
                <w:b/>
                <w:bCs/>
                <w:szCs w:val="22"/>
              </w:rPr>
            </w:pPr>
            <w:r w:rsidRPr="00526561">
              <w:rPr>
                <w:b/>
                <w:bCs/>
                <w:szCs w:val="22"/>
              </w:rPr>
              <w:t>KXTM-LP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526561" w:rsidP="11D2195F" w14:paraId="1B6F7310" w14:textId="57536C1A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San Antonio,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526561" w:rsidP="00895E54" w14:paraId="1D9DF785" w14:textId="6B273590">
            <w:pPr>
              <w:jc w:val="center"/>
              <w:rPr>
                <w:b/>
                <w:bCs/>
                <w:szCs w:val="22"/>
              </w:rPr>
            </w:pPr>
            <w:r w:rsidRPr="00526561">
              <w:rPr>
                <w:b/>
                <w:bCs/>
                <w:szCs w:val="22"/>
              </w:rPr>
              <w:t>33818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526561" w:rsidP="00526561" w14:paraId="502D6077" w14:textId="5F8A17A8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CARLOS LOPEZ EXECUTOR FOR THE ESTATE OF HUMBERTO L. LOPEZ</w:t>
            </w:r>
          </w:p>
        </w:tc>
      </w:tr>
      <w:tr w14:paraId="2C722A4B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526561" w:rsidP="00526561" w14:paraId="7F65AE18" w14:textId="18AA8C91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K48NU-D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526561" w:rsidP="11D2195F" w14:paraId="7AD4CCD2" w14:textId="5D57BCD6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Beaumont,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526561" w:rsidP="00895E54" w14:paraId="50C2891A" w14:textId="3849DDE9">
            <w:pPr>
              <w:jc w:val="center"/>
              <w:rPr>
                <w:b/>
                <w:bCs/>
                <w:szCs w:val="22"/>
              </w:rPr>
            </w:pPr>
            <w:r w:rsidRPr="00526561">
              <w:rPr>
                <w:b/>
                <w:bCs/>
                <w:szCs w:val="22"/>
              </w:rPr>
              <w:t>187679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526561" w:rsidP="00526561" w14:paraId="52128B2D" w14:textId="36D6426F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526561">
              <w:rPr>
                <w:b/>
                <w:bCs/>
                <w:szCs w:val="22"/>
              </w:rPr>
              <w:t>ARMANDO MURILLO</w:t>
            </w:r>
          </w:p>
        </w:tc>
      </w:tr>
      <w:tr w14:paraId="15D25142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B963ED" w:rsidP="00B963ED" w14:paraId="01DD93C3" w14:textId="43A2E8FB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B963ED">
              <w:rPr>
                <w:b/>
                <w:bCs/>
                <w:szCs w:val="22"/>
              </w:rPr>
              <w:t>K48NY-D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B963ED" w:rsidP="11D2195F" w14:paraId="2C7A60E1" w14:textId="4B8C2099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McKinney,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B963ED" w:rsidP="00895E54" w14:paraId="6DE364B1" w14:textId="1B1CF481">
            <w:pPr>
              <w:jc w:val="center"/>
              <w:rPr>
                <w:b/>
                <w:bCs/>
                <w:szCs w:val="22"/>
              </w:rPr>
            </w:pPr>
            <w:r w:rsidRPr="00B963ED">
              <w:rPr>
                <w:b/>
                <w:bCs/>
                <w:szCs w:val="22"/>
              </w:rPr>
              <w:t>128569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B963ED" w:rsidP="00B963ED" w14:paraId="479AB9AF" w14:textId="6F9A26BB">
            <w:pPr>
              <w:widowControl/>
              <w:jc w:val="center"/>
              <w:rPr>
                <w:b/>
                <w:bCs/>
                <w:snapToGrid/>
                <w:kern w:val="0"/>
                <w:szCs w:val="22"/>
              </w:rPr>
            </w:pPr>
            <w:r w:rsidRPr="00B963ED">
              <w:rPr>
                <w:b/>
                <w:bCs/>
                <w:szCs w:val="22"/>
              </w:rPr>
              <w:t>JOHN R POWLEY IRREVOCABLE TRUST</w:t>
            </w:r>
          </w:p>
        </w:tc>
      </w:tr>
      <w:tr w14:paraId="3098E6D6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7455AB7D" w14:textId="4467EFD0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K38BU-D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15A0E21C" w14:textId="34ABB4F2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Gruver,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580EFDD9" w14:textId="64C976FE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25984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522D5814" w14:textId="1A9253E3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HANFORD COUNTY TRANSLATOR SYSTEM</w:t>
            </w:r>
          </w:p>
        </w:tc>
      </w:tr>
      <w:tr w14:paraId="7C1E3CD3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6E3676AD" w14:textId="3E9803CF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K42CF-D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3A73BA0B" w14:textId="5C541BE8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Gruver,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04B500C1" w14:textId="722846F7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25987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2EEAADE7" w14:textId="1D2E7B30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HANFORD COUNTY TRANSLATOR SYSTEM</w:t>
            </w:r>
          </w:p>
        </w:tc>
      </w:tr>
      <w:tr w14:paraId="60A7B4B1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3A8431F9" w14:textId="6135ED75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K44CC-D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7C7DF917" w14:textId="5F511AA0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Gruver,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07C9ED2E" w14:textId="68D03C8C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25985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689CC112" w14:textId="2E44ECA6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HANFORD COUNTY TRANSLATOR SYSTEM</w:t>
            </w:r>
          </w:p>
        </w:tc>
      </w:tr>
      <w:tr w14:paraId="3D8EEAB9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3C7E3B25" w14:textId="55D95E4E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  <w:szCs w:val="22"/>
              </w:rPr>
              <w:t>K40DD-D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51AFD1F5" w14:textId="1CE108F5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Gruver,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611683D6" w14:textId="5C2318BF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25986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37CC8ECC" w14:textId="06D30AA2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HANFORD COUNTY TRANSLATOR SYSTEM</w:t>
            </w:r>
          </w:p>
        </w:tc>
      </w:tr>
      <w:tr w14:paraId="3825FD7C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5E89597A" w14:textId="0891F6A9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K45DY-D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563A7968" w14:textId="67023A84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New Mobeetie,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1C506DB0" w14:textId="0E6C54A9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72159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548CC9C9" w14:textId="367FB9A6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WHEELER COUNTY TRANSLATOR SYSTEM, INC</w:t>
            </w:r>
          </w:p>
        </w:tc>
      </w:tr>
      <w:tr w14:paraId="3B3D4020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32C86F5D" w14:textId="0AE56673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K39AN-D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4E6506F8" w14:textId="1C6D0B06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New Mobeetie,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14C93D2D" w14:textId="23124F0E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72160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073C9C1A" w14:textId="5F5227FA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WHEELER COUNTY TRANSLATOR SYSTEM, INC</w:t>
            </w:r>
          </w:p>
        </w:tc>
      </w:tr>
      <w:tr w14:paraId="03DFDE22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56BA3F06" w14:textId="771F6295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K43ED-D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4210BEE4" w14:textId="35FB0584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New Mobeetie,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17781862" w14:textId="77E9C45B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72161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754C1C20" w14:textId="49725606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WHEELER COUNTY TRANSLATOR SYSTEM, INC</w:t>
            </w:r>
          </w:p>
        </w:tc>
      </w:tr>
      <w:tr w14:paraId="2F0B5DF5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7EF87B57" w14:textId="028EFD80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K41BW-D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1DA0AE9F" w14:textId="4249CA98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New Mobeetie,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3857C089" w14:textId="697ADAF2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72163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19821925" w14:textId="71628EBE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 xml:space="preserve">WHEELER COUNTY </w:t>
            </w:r>
            <w:r w:rsidRPr="11D2195F">
              <w:rPr>
                <w:b/>
                <w:bCs/>
              </w:rPr>
              <w:t>TRANSLATOR SYSTEM, INC</w:t>
            </w:r>
          </w:p>
        </w:tc>
      </w:tr>
      <w:tr w14:paraId="533AD1EB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10A3169E" w14:textId="5FF58316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K27BZ-D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5BA75D60" w14:textId="69CAAE92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Wellington,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3EB60BA2" w14:textId="2CC186DB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25190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68E924EF" w14:textId="6410FD0F">
            <w:pPr>
              <w:jc w:val="center"/>
            </w:pPr>
            <w:r w:rsidRPr="11D2195F">
              <w:rPr>
                <w:b/>
                <w:bCs/>
              </w:rPr>
              <w:t>GREENBELT TV TRANSLATOR SYSTEM, INC</w:t>
            </w:r>
          </w:p>
        </w:tc>
      </w:tr>
      <w:tr w14:paraId="2E934F81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234CD9D3" w14:textId="5B967677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K29BH-D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564D41CD" w14:textId="2DC8FA23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Wellington,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6CE2409E" w14:textId="7E9358B5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25187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3ED5E3DC" w14:textId="03706BFA">
            <w:pPr>
              <w:jc w:val="center"/>
            </w:pPr>
            <w:r w:rsidRPr="11D2195F">
              <w:rPr>
                <w:b/>
                <w:bCs/>
              </w:rPr>
              <w:t>GREENBELT TV TRANSLATOR SYSTEM, INC</w:t>
            </w:r>
          </w:p>
        </w:tc>
      </w:tr>
      <w:tr w14:paraId="7B492E69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4722D2FC" w14:textId="79ACD583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K33CF-D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1E04E990" w14:textId="2D72548A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Wellington,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3D80EEE3" w14:textId="34CD8F41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25188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16594F70" w14:textId="5135EB5C">
            <w:pPr>
              <w:jc w:val="center"/>
            </w:pPr>
            <w:r w:rsidRPr="11D2195F">
              <w:rPr>
                <w:b/>
                <w:bCs/>
              </w:rPr>
              <w:t>GREENBELT TV TRANSLATOR SYSTEM, INC</w:t>
            </w:r>
          </w:p>
        </w:tc>
      </w:tr>
      <w:tr w14:paraId="3426C6EA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72279CBF" w14:textId="1CD24A25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K31BZ-D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74B54345" w14:textId="307C913B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Wellington,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68E29FE1" w14:textId="11EB868E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25189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591C77A4" w14:textId="4098E7C6">
            <w:pPr>
              <w:jc w:val="center"/>
            </w:pPr>
            <w:r w:rsidRPr="11D2195F">
              <w:rPr>
                <w:b/>
                <w:bCs/>
              </w:rPr>
              <w:t>GREENBELT TV TRANSLATOR SYSTEM, INC</w:t>
            </w:r>
          </w:p>
        </w:tc>
      </w:tr>
      <w:tr w14:paraId="11F40500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32FF7921" w14:textId="5B87DD07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K45AU-D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0DD6BCDC" w14:textId="1CCAD247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Follett,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0217FD8C" w14:textId="39996ECD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7957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6D668B1F" w14:textId="17F4F37B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628EC8DE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2A41D13D" w14:textId="28DF041A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K33CQ-D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3A04E767" w14:textId="77C5A53E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Canadian,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692E36E1" w14:textId="182B7489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8006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2CFC3520" w14:textId="7285AC82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7CE66E6B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717DD63C" w14:textId="038E5E8F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K21LV-D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0390BD21" w14:textId="156AAE9B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Perryton,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62B43BE1" w14:textId="3F786825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8007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376A1CFA" w14:textId="7250FD46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68975D08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49B0D6E5" w14:textId="348A05FA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K31CD-D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2030F087" w14:textId="7EB5FD08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Canadian,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10881CA6" w14:textId="40E65578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8008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50BFC938" w14:textId="0C837F47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4BDF0FF6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5367D27E" w14:textId="5D459BE8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K35CE-D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51030B9B" w14:textId="4DF8629C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Canadian,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7CE11F5C" w14:textId="21A8E86E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8009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637CF565" w14:textId="74ABA005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0F8FCDCB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7A9A9A75" w14:textId="06EA536E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K29BR-D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18248499" w14:textId="025921B9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Canadian,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4BFFB26E" w14:textId="0C9C8DE4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8010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2B6CFF6D" w14:textId="10373F32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3050FBB9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4F6ED872" w14:textId="5263B5E4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K47BP-D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6A7268AD" w14:textId="6A4ADFF3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Follett,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422697D4" w14:textId="20218007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8011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5D9B77D5" w14:textId="426DF3BE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11841DAB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0978E175" w14:textId="65965336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K23EC-D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7D6E09C3" w14:textId="5361D07A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Canadian,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017969E4" w14:textId="24F6FD94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8013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29E0009C" w14:textId="5D5CB5A8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6A381818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0CD0CB50" w14:textId="7C58C868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K17LB-D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41147502" w14:textId="6935EB95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Perryton,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48D9A95D" w14:textId="3F3A61F0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8067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6143343E" w14:textId="14E66CB2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7486B8D6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02EDCE11" w14:textId="71B18811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K43NU-D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780715F3" w14:textId="45BA9F73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Follett,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42E1F8D3" w14:textId="7E1D9462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8068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721396A2" w14:textId="09AE772F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38DF3943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1574FB1E" w14:textId="1C1C1516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K39LV-D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43D269C4" w14:textId="48BDA429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Perryton,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7A30630F" w14:textId="1C95553F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8069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2D553501" w14:textId="6F8CCD06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7C3B8324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32E8573D" w14:textId="29675BBD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K36MA-D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16679CE6" w14:textId="16498D7F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Perryton,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1FFADFF3" w14:textId="10900DC1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8070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766E302F" w14:textId="16B69DFE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7996A0A8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5F81A663" w14:textId="35548242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K41MX-D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0BD909A5" w14:textId="7D1FD1FB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Perryton,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2053C514" w14:textId="2858AB83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8071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48BC4457" w14:textId="409CD8C6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  <w:tr w14:paraId="78A25BD7" w14:textId="77777777" w:rsidTr="1746525B">
        <w:tblPrEx>
          <w:tblW w:w="9360" w:type="dxa"/>
          <w:jc w:val="center"/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4C6F7D78" w14:textId="0D63A163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K49BB-D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2AB5" w:rsidRPr="00F800A8" w:rsidP="11D2195F" w14:paraId="6C2D3E81" w14:textId="6C650B61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Perryton, TX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2AB5" w:rsidRPr="00F800A8" w:rsidP="11D2195F" w14:paraId="1EC3D9DE" w14:textId="2675F465">
            <w:pPr>
              <w:jc w:val="center"/>
              <w:rPr>
                <w:b/>
                <w:bCs/>
              </w:rPr>
            </w:pPr>
            <w:r w:rsidRPr="11D2195F">
              <w:rPr>
                <w:b/>
                <w:bCs/>
              </w:rPr>
              <w:t>8072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2AB5" w:rsidRPr="00F800A8" w:rsidP="11D2195F" w14:paraId="5A89EEFE" w14:textId="43A2CE37">
            <w:pPr>
              <w:jc w:val="center"/>
              <w:rPr>
                <w:b/>
                <w:bCs/>
                <w:szCs w:val="22"/>
              </w:rPr>
            </w:pPr>
            <w:r w:rsidRPr="11D2195F">
              <w:rPr>
                <w:b/>
                <w:bCs/>
              </w:rPr>
              <w:t>C. L. &amp; O. Translator System, Inc.</w:t>
            </w:r>
          </w:p>
        </w:tc>
      </w:tr>
    </w:tbl>
    <w:p w:rsidR="00930ECF" w:rsidP="008B5583" w14:paraId="403BA834" w14:textId="0359B276">
      <w:pPr>
        <w:rPr>
          <w:sz w:val="24"/>
        </w:rPr>
      </w:pPr>
    </w:p>
    <w:p w:rsidR="00AD6770" w:rsidRPr="009614B0" w:rsidP="00AD6770" w14:paraId="11FB44D5" w14:textId="77777777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  <w:r w:rsidRPr="009614B0">
        <w:rPr>
          <w:b/>
          <w:szCs w:val="22"/>
        </w:rPr>
        <w:t xml:space="preserve"> </w:t>
      </w:r>
    </w:p>
    <w:p w:rsidR="00620E43" w:rsidRPr="00AD6770" w:rsidP="00AD6770" w14:paraId="232012DD" w14:textId="328D2ACF">
      <w:pPr>
        <w:rPr>
          <w:b/>
          <w:bCs/>
          <w:sz w:val="24"/>
        </w:rPr>
      </w:pPr>
    </w:p>
    <w:sectPr w:rsidSect="000E588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162D" w14:paraId="628542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345BD59A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6C162D">
      <w:rPr>
        <w:b/>
      </w:rPr>
      <w:t xml:space="preserve">DA </w:t>
    </w:r>
    <w:r w:rsidR="006C162D">
      <w:rPr>
        <w:b/>
      </w:rPr>
      <w:t>22-713</w:t>
    </w:r>
  </w:p>
  <w:p w:rsidR="009838BC" w:rsidRPr="009838BC" w:rsidP="009838BC" w14:paraId="62D0697D" w14:textId="317FB91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3F80E2C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42A1F9A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paraId="5AF36B16" w14:textId="758FC52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Street, N.E.</w:t>
                          </w:r>
                        </w:p>
                        <w:p w:rsidR="009838BC" w:rsidP="009838BC" w14:paraId="476008A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77E00F3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1AF70842" w14:textId="758FC52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Street, N.E.</w:t>
                    </w:r>
                  </w:p>
                  <w:p w:rsidR="009838BC" w:rsidP="009838BC" w14:paraId="5A413A1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0ECC2B8D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position:absolute;v-text-anchor:top;z-index:251663360" o:allowincell="f" fillcolor="white" stroked="f">
              <v:textbox inset=",0,,0">
                <w:txbxContent>
                  <w:p w:rsidR="009838BC" w:rsidP="009838BC" w14:paraId="7FBBB18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E96B61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6D4DB7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98"/>
    <w:rsid w:val="00002AB5"/>
    <w:rsid w:val="000072CE"/>
    <w:rsid w:val="00013A8B"/>
    <w:rsid w:val="00021445"/>
    <w:rsid w:val="00036039"/>
    <w:rsid w:val="00037F90"/>
    <w:rsid w:val="00044ADB"/>
    <w:rsid w:val="00050A4A"/>
    <w:rsid w:val="000521C9"/>
    <w:rsid w:val="0006456B"/>
    <w:rsid w:val="000864AC"/>
    <w:rsid w:val="000875BF"/>
    <w:rsid w:val="00096D8C"/>
    <w:rsid w:val="000A51F0"/>
    <w:rsid w:val="000C0B65"/>
    <w:rsid w:val="000D2F1E"/>
    <w:rsid w:val="000D6313"/>
    <w:rsid w:val="000E0079"/>
    <w:rsid w:val="000E1557"/>
    <w:rsid w:val="000E3D42"/>
    <w:rsid w:val="000E5884"/>
    <w:rsid w:val="000F224B"/>
    <w:rsid w:val="0010288B"/>
    <w:rsid w:val="00122BD5"/>
    <w:rsid w:val="001763F6"/>
    <w:rsid w:val="001979D9"/>
    <w:rsid w:val="001D0247"/>
    <w:rsid w:val="001D6BCF"/>
    <w:rsid w:val="001D70E8"/>
    <w:rsid w:val="001E01CA"/>
    <w:rsid w:val="001F20A8"/>
    <w:rsid w:val="002060D9"/>
    <w:rsid w:val="00226822"/>
    <w:rsid w:val="0022728B"/>
    <w:rsid w:val="002319CC"/>
    <w:rsid w:val="00241AED"/>
    <w:rsid w:val="002547C1"/>
    <w:rsid w:val="00260594"/>
    <w:rsid w:val="00285017"/>
    <w:rsid w:val="00286D72"/>
    <w:rsid w:val="002A2D2E"/>
    <w:rsid w:val="002C2370"/>
    <w:rsid w:val="002C2669"/>
    <w:rsid w:val="002C44DA"/>
    <w:rsid w:val="002F7798"/>
    <w:rsid w:val="003217FA"/>
    <w:rsid w:val="00343749"/>
    <w:rsid w:val="0035419D"/>
    <w:rsid w:val="00357D50"/>
    <w:rsid w:val="0037444C"/>
    <w:rsid w:val="00386483"/>
    <w:rsid w:val="003925DC"/>
    <w:rsid w:val="003B0550"/>
    <w:rsid w:val="003B0C3F"/>
    <w:rsid w:val="003B694F"/>
    <w:rsid w:val="003D224F"/>
    <w:rsid w:val="003F03C1"/>
    <w:rsid w:val="003F171C"/>
    <w:rsid w:val="00412FC5"/>
    <w:rsid w:val="00422276"/>
    <w:rsid w:val="004242F1"/>
    <w:rsid w:val="00425A2C"/>
    <w:rsid w:val="00443ECB"/>
    <w:rsid w:val="00445A00"/>
    <w:rsid w:val="00451B0F"/>
    <w:rsid w:val="0046125F"/>
    <w:rsid w:val="00477E99"/>
    <w:rsid w:val="00487524"/>
    <w:rsid w:val="00496106"/>
    <w:rsid w:val="004A7BF8"/>
    <w:rsid w:val="004C12D0"/>
    <w:rsid w:val="004C2EE3"/>
    <w:rsid w:val="004E32A1"/>
    <w:rsid w:val="004E4A22"/>
    <w:rsid w:val="00504564"/>
    <w:rsid w:val="00511968"/>
    <w:rsid w:val="005154CF"/>
    <w:rsid w:val="00516964"/>
    <w:rsid w:val="00526561"/>
    <w:rsid w:val="005453E4"/>
    <w:rsid w:val="0055614C"/>
    <w:rsid w:val="00573140"/>
    <w:rsid w:val="00576018"/>
    <w:rsid w:val="005A3A5E"/>
    <w:rsid w:val="005A6A88"/>
    <w:rsid w:val="005B782C"/>
    <w:rsid w:val="005F7D5C"/>
    <w:rsid w:val="006009A7"/>
    <w:rsid w:val="00607BA5"/>
    <w:rsid w:val="00620E43"/>
    <w:rsid w:val="00622221"/>
    <w:rsid w:val="00622C9B"/>
    <w:rsid w:val="00623866"/>
    <w:rsid w:val="00626EB6"/>
    <w:rsid w:val="00627845"/>
    <w:rsid w:val="006353A3"/>
    <w:rsid w:val="00636438"/>
    <w:rsid w:val="006556FC"/>
    <w:rsid w:val="00655D03"/>
    <w:rsid w:val="006615A7"/>
    <w:rsid w:val="0068116A"/>
    <w:rsid w:val="006817E6"/>
    <w:rsid w:val="00683F84"/>
    <w:rsid w:val="006A6A81"/>
    <w:rsid w:val="006C162D"/>
    <w:rsid w:val="006E26AF"/>
    <w:rsid w:val="006F31FD"/>
    <w:rsid w:val="006F7393"/>
    <w:rsid w:val="006F75C8"/>
    <w:rsid w:val="0070099D"/>
    <w:rsid w:val="0070224F"/>
    <w:rsid w:val="007115F7"/>
    <w:rsid w:val="00721C9F"/>
    <w:rsid w:val="00752FFD"/>
    <w:rsid w:val="00754989"/>
    <w:rsid w:val="00785689"/>
    <w:rsid w:val="0079754B"/>
    <w:rsid w:val="007A1E6D"/>
    <w:rsid w:val="007C17DA"/>
    <w:rsid w:val="00800A58"/>
    <w:rsid w:val="008027D5"/>
    <w:rsid w:val="00811B60"/>
    <w:rsid w:val="00822CE0"/>
    <w:rsid w:val="00823734"/>
    <w:rsid w:val="008241DD"/>
    <w:rsid w:val="00837C62"/>
    <w:rsid w:val="00841AB1"/>
    <w:rsid w:val="00895E54"/>
    <w:rsid w:val="008A5110"/>
    <w:rsid w:val="008B0A73"/>
    <w:rsid w:val="008B5583"/>
    <w:rsid w:val="008C22FD"/>
    <w:rsid w:val="008D57E0"/>
    <w:rsid w:val="008E7611"/>
    <w:rsid w:val="00910F12"/>
    <w:rsid w:val="00926503"/>
    <w:rsid w:val="00930ECF"/>
    <w:rsid w:val="00936D4E"/>
    <w:rsid w:val="00946D21"/>
    <w:rsid w:val="00961226"/>
    <w:rsid w:val="009614B0"/>
    <w:rsid w:val="00980AE7"/>
    <w:rsid w:val="009838BC"/>
    <w:rsid w:val="009A6ABD"/>
    <w:rsid w:val="00A375BE"/>
    <w:rsid w:val="00A45F4F"/>
    <w:rsid w:val="00A53875"/>
    <w:rsid w:val="00A600A9"/>
    <w:rsid w:val="00A866AC"/>
    <w:rsid w:val="00AA200E"/>
    <w:rsid w:val="00AA55B7"/>
    <w:rsid w:val="00AA5B9E"/>
    <w:rsid w:val="00AB2407"/>
    <w:rsid w:val="00AB53DF"/>
    <w:rsid w:val="00AC46DA"/>
    <w:rsid w:val="00AD6770"/>
    <w:rsid w:val="00AE64A6"/>
    <w:rsid w:val="00B07E5C"/>
    <w:rsid w:val="00B20363"/>
    <w:rsid w:val="00B24345"/>
    <w:rsid w:val="00B326E3"/>
    <w:rsid w:val="00B6214A"/>
    <w:rsid w:val="00B626D5"/>
    <w:rsid w:val="00B811F7"/>
    <w:rsid w:val="00B81EA1"/>
    <w:rsid w:val="00B91C46"/>
    <w:rsid w:val="00B963ED"/>
    <w:rsid w:val="00BA5DC6"/>
    <w:rsid w:val="00BA6196"/>
    <w:rsid w:val="00BC6D8C"/>
    <w:rsid w:val="00BF46F3"/>
    <w:rsid w:val="00C10302"/>
    <w:rsid w:val="00C16AF2"/>
    <w:rsid w:val="00C2420D"/>
    <w:rsid w:val="00C246A7"/>
    <w:rsid w:val="00C34006"/>
    <w:rsid w:val="00C426B1"/>
    <w:rsid w:val="00C47C4A"/>
    <w:rsid w:val="00C71983"/>
    <w:rsid w:val="00C72CF1"/>
    <w:rsid w:val="00C747BB"/>
    <w:rsid w:val="00C82B6B"/>
    <w:rsid w:val="00C90D6A"/>
    <w:rsid w:val="00CA4D39"/>
    <w:rsid w:val="00CC72B6"/>
    <w:rsid w:val="00CE7F21"/>
    <w:rsid w:val="00D0218D"/>
    <w:rsid w:val="00D06C60"/>
    <w:rsid w:val="00D16527"/>
    <w:rsid w:val="00D216CD"/>
    <w:rsid w:val="00D303CD"/>
    <w:rsid w:val="00D65018"/>
    <w:rsid w:val="00D87DE4"/>
    <w:rsid w:val="00DA2529"/>
    <w:rsid w:val="00DB130A"/>
    <w:rsid w:val="00DB42B8"/>
    <w:rsid w:val="00DC05AC"/>
    <w:rsid w:val="00DC10A1"/>
    <w:rsid w:val="00DC655F"/>
    <w:rsid w:val="00DD7EBD"/>
    <w:rsid w:val="00DE4E6C"/>
    <w:rsid w:val="00DF62B6"/>
    <w:rsid w:val="00E07225"/>
    <w:rsid w:val="00E10F5B"/>
    <w:rsid w:val="00E155B7"/>
    <w:rsid w:val="00E5409F"/>
    <w:rsid w:val="00E720C8"/>
    <w:rsid w:val="00E763EB"/>
    <w:rsid w:val="00E96D75"/>
    <w:rsid w:val="00EB6EF3"/>
    <w:rsid w:val="00EC0185"/>
    <w:rsid w:val="00ED0196"/>
    <w:rsid w:val="00EF10CF"/>
    <w:rsid w:val="00EF2179"/>
    <w:rsid w:val="00F021FA"/>
    <w:rsid w:val="00F51779"/>
    <w:rsid w:val="00F57ACA"/>
    <w:rsid w:val="00F62E97"/>
    <w:rsid w:val="00F64209"/>
    <w:rsid w:val="00F65023"/>
    <w:rsid w:val="00F800A8"/>
    <w:rsid w:val="00F93BF5"/>
    <w:rsid w:val="00F96F63"/>
    <w:rsid w:val="00FA5647"/>
    <w:rsid w:val="00FE3E36"/>
    <w:rsid w:val="03F0424F"/>
    <w:rsid w:val="0471785E"/>
    <w:rsid w:val="065EBFC0"/>
    <w:rsid w:val="088ED302"/>
    <w:rsid w:val="0A9CCAA5"/>
    <w:rsid w:val="0BD61BFF"/>
    <w:rsid w:val="112FEE30"/>
    <w:rsid w:val="11D2195F"/>
    <w:rsid w:val="11EAF245"/>
    <w:rsid w:val="1295355A"/>
    <w:rsid w:val="148F89AE"/>
    <w:rsid w:val="1746525B"/>
    <w:rsid w:val="1B78AC2E"/>
    <w:rsid w:val="2046CB14"/>
    <w:rsid w:val="2154E459"/>
    <w:rsid w:val="22A7B724"/>
    <w:rsid w:val="2599706B"/>
    <w:rsid w:val="286C0C0D"/>
    <w:rsid w:val="286C661C"/>
    <w:rsid w:val="2C7D40AE"/>
    <w:rsid w:val="2EE2F21B"/>
    <w:rsid w:val="2FE522C6"/>
    <w:rsid w:val="311471B6"/>
    <w:rsid w:val="3AC6FF2D"/>
    <w:rsid w:val="3BC1BE1F"/>
    <w:rsid w:val="3F66BFCB"/>
    <w:rsid w:val="4A23433A"/>
    <w:rsid w:val="4B9CBA93"/>
    <w:rsid w:val="57C729F2"/>
    <w:rsid w:val="5B9CFDF1"/>
    <w:rsid w:val="5BD95AB2"/>
    <w:rsid w:val="5DBC633C"/>
    <w:rsid w:val="5E4B484D"/>
    <w:rsid w:val="5F146B9E"/>
    <w:rsid w:val="62CDA811"/>
    <w:rsid w:val="640307F4"/>
    <w:rsid w:val="6699269B"/>
    <w:rsid w:val="67D3738B"/>
    <w:rsid w:val="68CBBE72"/>
    <w:rsid w:val="6A92E38E"/>
    <w:rsid w:val="6D56DFA2"/>
    <w:rsid w:val="6D90C1DD"/>
    <w:rsid w:val="6E37BDFC"/>
    <w:rsid w:val="6F791111"/>
    <w:rsid w:val="74D8F530"/>
    <w:rsid w:val="7E630D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B12571"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