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61500" w:rsidP="00961500" w14:paraId="2495C97A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215F1EFF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5934CFA9" w14:textId="6737FFE2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>
        <w:rPr>
          <w:rFonts w:ascii="Times New Roman" w:hAnsi="Times New Roman"/>
          <w:b/>
          <w:sz w:val="22"/>
          <w:szCs w:val="22"/>
        </w:rPr>
        <w:t>DA 22-</w:t>
      </w:r>
      <w:r w:rsidR="00F232CB">
        <w:rPr>
          <w:rFonts w:ascii="Times New Roman" w:hAnsi="Times New Roman"/>
          <w:b/>
          <w:sz w:val="22"/>
          <w:szCs w:val="22"/>
        </w:rPr>
        <w:t>714</w:t>
      </w:r>
    </w:p>
    <w:p w:rsidR="009D0E9A" w:rsidRPr="000C12B4" w:rsidP="000C12B4" w14:paraId="5A0F7AFB" w14:textId="6235D18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</w:t>
      </w:r>
      <w:r w:rsidR="00E13781">
        <w:rPr>
          <w:rFonts w:ascii="Times New Roman" w:hAnsi="Times New Roman"/>
          <w:b/>
          <w:sz w:val="22"/>
          <w:szCs w:val="22"/>
        </w:rPr>
        <w:t xml:space="preserve">ly </w:t>
      </w:r>
      <w:r w:rsidR="000D247C">
        <w:rPr>
          <w:rFonts w:ascii="Times New Roman" w:hAnsi="Times New Roman"/>
          <w:b/>
          <w:sz w:val="22"/>
          <w:szCs w:val="22"/>
        </w:rPr>
        <w:t>5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 w:rsidR="00145E06">
        <w:rPr>
          <w:rFonts w:ascii="Times New Roman" w:hAnsi="Times New Roman"/>
          <w:b/>
          <w:sz w:val="22"/>
          <w:szCs w:val="22"/>
        </w:rPr>
        <w:t>2</w:t>
      </w:r>
    </w:p>
    <w:p w:rsidR="006818F1" w:rsidP="006818F1" w14:paraId="1EEDE14D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5A665A6A" w14:textId="2B2F9DD0">
      <w:pPr>
        <w:pStyle w:val="Heading3"/>
        <w:rPr>
          <w:sz w:val="22"/>
          <w:szCs w:val="22"/>
        </w:rPr>
      </w:pPr>
      <w:bookmarkStart w:id="1" w:name="_Hlk2336571"/>
      <w:bookmarkStart w:id="2" w:name="_Hlk501708422"/>
      <w:r w:rsidRPr="00E13781">
        <w:rPr>
          <w:sz w:val="22"/>
          <w:szCs w:val="22"/>
        </w:rPr>
        <w:t>PUBLIC SAFETY AND HOMELAND SECURITY BUREAU ANNOUNCES THE EFFECTIVE DATE OF RULES ADOPTED PURSUANT TO THE PRIORITY SERVICES REPORT AND ORDER</w:t>
      </w:r>
    </w:p>
    <w:p w:rsidR="006F12CB" w:rsidRPr="006F12CB" w:rsidP="006F12CB" w14:paraId="23A76A27" w14:textId="77777777"/>
    <w:bookmarkEnd w:id="1"/>
    <w:p w:rsidR="006F12CB" w:rsidRPr="006F12CB" w:rsidP="006F12CB" w14:paraId="68A0253E" w14:textId="2E0DA26E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E13781">
        <w:rPr>
          <w:rFonts w:ascii="Times New Roman" w:hAnsi="Times New Roman"/>
          <w:b/>
          <w:snapToGrid/>
          <w:sz w:val="22"/>
          <w:szCs w:val="22"/>
        </w:rPr>
        <w:t>PS Docket No. 20-187</w:t>
      </w:r>
    </w:p>
    <w:bookmarkEnd w:id="2"/>
    <w:p w:rsidR="006F12CB" w:rsidRPr="006F12CB" w:rsidP="006F12CB" w14:paraId="62C1BBE0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E13781" w:rsidRPr="00E13781" w:rsidP="000D247C" w14:paraId="6EA2806B" w14:textId="408ED766">
      <w:pPr>
        <w:spacing w:after="120"/>
        <w:ind w:firstLine="720"/>
        <w:rPr>
          <w:rFonts w:ascii="Times New Roman" w:hAnsi="Times New Roman"/>
          <w:color w:val="FF0000"/>
          <w:kern w:val="28"/>
          <w:sz w:val="22"/>
          <w:szCs w:val="22"/>
        </w:rPr>
      </w:pPr>
      <w:bookmarkStart w:id="3" w:name="_Hlk107913356"/>
      <w:bookmarkStart w:id="4" w:name="_Hlk107913252"/>
      <w:r w:rsidRPr="00E13781">
        <w:rPr>
          <w:rFonts w:ascii="Times New Roman" w:hAnsi="Times New Roman"/>
          <w:kern w:val="28"/>
          <w:sz w:val="22"/>
          <w:szCs w:val="22"/>
        </w:rPr>
        <w:t>On May 20, 2022, the Federal Communications Commission (Commission) released a Report and Order (</w:t>
      </w:r>
      <w:r w:rsidRPr="00E13781">
        <w:rPr>
          <w:rFonts w:ascii="Times New Roman" w:hAnsi="Times New Roman"/>
          <w:i/>
          <w:iCs/>
          <w:kern w:val="28"/>
          <w:sz w:val="22"/>
          <w:szCs w:val="22"/>
        </w:rPr>
        <w:t>Report and Order</w:t>
      </w:r>
      <w:r w:rsidRPr="00E13781">
        <w:rPr>
          <w:rFonts w:ascii="Times New Roman" w:hAnsi="Times New Roman"/>
          <w:kern w:val="28"/>
          <w:sz w:val="22"/>
          <w:szCs w:val="22"/>
        </w:rPr>
        <w:t xml:space="preserve">) that modernizes and streamlines its rules for the Telecommunications Service Priority (TSP) System and </w:t>
      </w:r>
      <w:r w:rsidRPr="00E13781">
        <w:rPr>
          <w:rFonts w:ascii="Times New Roman" w:hAnsi="Times New Roman"/>
          <w:kern w:val="28"/>
          <w:sz w:val="22"/>
          <w:szCs w:val="22"/>
          <w:shd w:val="clear" w:color="auto" w:fill="FFFFFF"/>
        </w:rPr>
        <w:t>Wireless Priority Service (WPS)</w:t>
      </w:r>
      <w:r w:rsidRPr="00E13781">
        <w:rPr>
          <w:rFonts w:ascii="Times New Roman" w:hAnsi="Times New Roman"/>
          <w:kern w:val="28"/>
          <w:sz w:val="22"/>
          <w:szCs w:val="22"/>
        </w:rPr>
        <w:t>.</w:t>
      </w:r>
      <w:r>
        <w:rPr>
          <w:rFonts w:ascii="Times New Roman" w:hAnsi="Times New Roman"/>
          <w:kern w:val="28"/>
          <w:sz w:val="22"/>
          <w:szCs w:val="22"/>
          <w:vertAlign w:val="superscript"/>
        </w:rPr>
        <w:footnoteReference w:id="2"/>
      </w:r>
      <w:r w:rsidRPr="00E13781">
        <w:rPr>
          <w:rFonts w:ascii="Times New Roman" w:hAnsi="Times New Roman"/>
          <w:kern w:val="28"/>
          <w:sz w:val="22"/>
          <w:szCs w:val="22"/>
        </w:rPr>
        <w:t xml:space="preserve">  The adopted rules will become effective 30 days after publication in the Federal Register.</w:t>
      </w:r>
      <w:r>
        <w:rPr>
          <w:rFonts w:ascii="Times New Roman" w:hAnsi="Times New Roman"/>
          <w:kern w:val="28"/>
          <w:sz w:val="22"/>
          <w:szCs w:val="22"/>
          <w:vertAlign w:val="superscript"/>
        </w:rPr>
        <w:footnoteReference w:id="3"/>
      </w:r>
      <w:r w:rsidRPr="00E13781">
        <w:rPr>
          <w:rFonts w:ascii="Times New Roman" w:hAnsi="Times New Roman"/>
          <w:kern w:val="28"/>
          <w:sz w:val="22"/>
          <w:szCs w:val="22"/>
        </w:rPr>
        <w:t xml:space="preserve">    </w:t>
      </w:r>
      <w:r w:rsidRPr="00E13781">
        <w:rPr>
          <w:rFonts w:ascii="Times New Roman" w:hAnsi="Times New Roman"/>
          <w:i/>
          <w:kern w:val="28"/>
          <w:sz w:val="22"/>
          <w:szCs w:val="22"/>
        </w:rPr>
        <w:t xml:space="preserve">  </w:t>
      </w:r>
    </w:p>
    <w:bookmarkEnd w:id="3"/>
    <w:p w:rsidR="00E13781" w:rsidRPr="00E13781" w:rsidP="000D247C" w14:paraId="6B258061" w14:textId="77777777">
      <w:pPr>
        <w:spacing w:after="120"/>
        <w:ind w:firstLine="720"/>
        <w:rPr>
          <w:rFonts w:ascii="Times New Roman" w:hAnsi="Times New Roman"/>
          <w:kern w:val="28"/>
          <w:sz w:val="22"/>
          <w:szCs w:val="22"/>
        </w:rPr>
      </w:pPr>
      <w:r w:rsidRPr="00E13781">
        <w:rPr>
          <w:rFonts w:ascii="Times New Roman" w:hAnsi="Times New Roman"/>
          <w:kern w:val="28"/>
          <w:sz w:val="22"/>
          <w:szCs w:val="22"/>
        </w:rPr>
        <w:t xml:space="preserve">On July 5, 2022, the Office of the Federal Register published a summary of the </w:t>
      </w:r>
      <w:r w:rsidRPr="00E13781">
        <w:rPr>
          <w:rFonts w:ascii="Times New Roman" w:hAnsi="Times New Roman"/>
          <w:i/>
          <w:iCs/>
          <w:kern w:val="28"/>
          <w:sz w:val="22"/>
          <w:szCs w:val="22"/>
        </w:rPr>
        <w:t>Report and Order</w:t>
      </w:r>
      <w:r w:rsidRPr="00E13781">
        <w:rPr>
          <w:rFonts w:ascii="Times New Roman" w:hAnsi="Times New Roman"/>
          <w:iCs/>
          <w:kern w:val="28"/>
          <w:sz w:val="22"/>
          <w:szCs w:val="22"/>
        </w:rPr>
        <w:t>.</w:t>
      </w:r>
      <w:r>
        <w:rPr>
          <w:rFonts w:ascii="Times New Roman" w:hAnsi="Times New Roman"/>
          <w:kern w:val="28"/>
          <w:sz w:val="22"/>
          <w:szCs w:val="22"/>
          <w:vertAlign w:val="superscript"/>
        </w:rPr>
        <w:footnoteReference w:id="4"/>
      </w:r>
      <w:r w:rsidRPr="00E13781">
        <w:rPr>
          <w:rFonts w:ascii="Times New Roman" w:hAnsi="Times New Roman"/>
          <w:color w:val="FF0000"/>
          <w:kern w:val="28"/>
          <w:sz w:val="22"/>
          <w:szCs w:val="22"/>
        </w:rPr>
        <w:t xml:space="preserve">  </w:t>
      </w:r>
      <w:r w:rsidRPr="00E13781">
        <w:rPr>
          <w:rFonts w:ascii="Times New Roman" w:hAnsi="Times New Roman"/>
          <w:kern w:val="28"/>
          <w:sz w:val="22"/>
          <w:szCs w:val="22"/>
        </w:rPr>
        <w:t xml:space="preserve">Accordingly, the rules adopted in the </w:t>
      </w:r>
      <w:r w:rsidRPr="00E13781">
        <w:rPr>
          <w:rFonts w:ascii="Times New Roman" w:hAnsi="Times New Roman"/>
          <w:i/>
          <w:iCs/>
          <w:kern w:val="28"/>
          <w:sz w:val="22"/>
          <w:szCs w:val="22"/>
        </w:rPr>
        <w:t>Report and Order</w:t>
      </w:r>
      <w:r w:rsidRPr="00E13781">
        <w:rPr>
          <w:rFonts w:ascii="Times New Roman" w:hAnsi="Times New Roman"/>
          <w:kern w:val="28"/>
          <w:sz w:val="22"/>
          <w:szCs w:val="22"/>
        </w:rPr>
        <w:t xml:space="preserve"> will take effect on August 4, 2022.</w:t>
      </w:r>
      <w:r>
        <w:rPr>
          <w:rFonts w:ascii="Times New Roman" w:hAnsi="Times New Roman"/>
          <w:kern w:val="28"/>
          <w:sz w:val="22"/>
          <w:szCs w:val="22"/>
          <w:vertAlign w:val="superscript"/>
        </w:rPr>
        <w:footnoteReference w:id="5"/>
      </w:r>
    </w:p>
    <w:p w:rsidR="00E13781" w:rsidRPr="00E13781" w:rsidP="000D247C" w14:paraId="18BAFEA7" w14:textId="77777777">
      <w:pPr>
        <w:spacing w:after="120"/>
        <w:ind w:firstLine="720"/>
        <w:rPr>
          <w:rFonts w:ascii="Times New Roman" w:hAnsi="Times New Roman"/>
          <w:color w:val="FF0000"/>
          <w:kern w:val="28"/>
          <w:sz w:val="22"/>
          <w:szCs w:val="22"/>
        </w:rPr>
      </w:pPr>
      <w:r w:rsidRPr="00E13781">
        <w:rPr>
          <w:rFonts w:ascii="Times New Roman" w:hAnsi="Times New Roman"/>
          <w:kern w:val="28"/>
          <w:sz w:val="22"/>
          <w:szCs w:val="22"/>
        </w:rPr>
        <w:t xml:space="preserve">For further information, please contact Chris Smeenk, Attorney Advisor, Operations and Emergency Management Division, Public Safety and Homeland Security Bureau at (202) 418-1630 or Chris.Smeenk@fcc.gov. </w:t>
      </w:r>
    </w:p>
    <w:p w:rsidR="00E13781" w:rsidRPr="00E13781" w:rsidP="00E13781" w14:paraId="58C8186B" w14:textId="77777777">
      <w:pPr>
        <w:spacing w:before="120" w:after="240"/>
        <w:jc w:val="center"/>
        <w:rPr>
          <w:rFonts w:ascii="Times New Roman" w:hAnsi="Times New Roman"/>
          <w:kern w:val="28"/>
          <w:sz w:val="22"/>
          <w:szCs w:val="22"/>
        </w:rPr>
      </w:pPr>
      <w:r w:rsidRPr="00E13781">
        <w:rPr>
          <w:rFonts w:ascii="Times New Roman" w:hAnsi="Times New Roman"/>
          <w:b/>
          <w:kern w:val="28"/>
          <w:sz w:val="22"/>
          <w:szCs w:val="22"/>
        </w:rPr>
        <w:t>-FCC-</w:t>
      </w:r>
      <w:bookmarkEnd w:id="4"/>
    </w:p>
    <w:p w:rsidR="00E13781" w:rsidRPr="00E277F2" w:rsidP="00E13781" w14:paraId="3D515FFC" w14:textId="0F5DB337">
      <w:pPr>
        <w:widowControl/>
      </w:pPr>
      <w:r w:rsidRPr="006F12CB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E277F2" w:rsidRPr="00E277F2" w:rsidP="008E30E7" w14:paraId="17336198" w14:textId="5821DDC6">
      <w:pPr>
        <w:widowControl/>
        <w:autoSpaceDE w:val="0"/>
        <w:autoSpaceDN w:val="0"/>
        <w:adjustRightInd w:val="0"/>
        <w:ind w:firstLine="720"/>
        <w:jc w:val="center"/>
      </w:pP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4BF122D6" w14:textId="5D93F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B" w14:paraId="7CD23C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3288A7D3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3F9B15A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2933BC57" w14:textId="77777777">
      <w:r>
        <w:separator/>
      </w:r>
    </w:p>
  </w:footnote>
  <w:footnote w:type="continuationSeparator" w:id="1">
    <w:p w:rsidR="00AB3C63" w14:paraId="1AE9D6DB" w14:textId="77777777">
      <w:r>
        <w:continuationSeparator/>
      </w:r>
    </w:p>
  </w:footnote>
  <w:footnote w:id="2">
    <w:p w:rsidR="00E13781" w:rsidRPr="00E13781" w:rsidP="00E13781" w14:paraId="18B0FF81" w14:textId="77777777">
      <w:pPr>
        <w:pStyle w:val="FootnoteText"/>
        <w:spacing w:after="120"/>
        <w:rPr>
          <w:rFonts w:ascii="Times New Roman" w:hAnsi="Times New Roman"/>
          <w:color w:val="FF0000"/>
          <w:sz w:val="20"/>
        </w:rPr>
      </w:pPr>
      <w:r w:rsidRPr="00E13781">
        <w:rPr>
          <w:rStyle w:val="FootnoteReference"/>
          <w:rFonts w:ascii="Times New Roman" w:hAnsi="Times New Roman"/>
          <w:sz w:val="20"/>
        </w:rPr>
        <w:footnoteRef/>
      </w:r>
      <w:r w:rsidRPr="00E13781">
        <w:rPr>
          <w:rFonts w:ascii="Times New Roman" w:hAnsi="Times New Roman"/>
          <w:sz w:val="20"/>
        </w:rPr>
        <w:t xml:space="preserve"> </w:t>
      </w:r>
      <w:r w:rsidRPr="00E13781">
        <w:rPr>
          <w:rFonts w:ascii="Times New Roman" w:hAnsi="Times New Roman"/>
          <w:i/>
          <w:iCs/>
          <w:sz w:val="20"/>
        </w:rPr>
        <w:t>Review of Rules and Requirements For Priority Services</w:t>
      </w:r>
      <w:r w:rsidRPr="00E13781">
        <w:rPr>
          <w:rFonts w:ascii="Times New Roman" w:hAnsi="Times New Roman"/>
          <w:i/>
          <w:sz w:val="20"/>
        </w:rPr>
        <w:t>,</w:t>
      </w:r>
      <w:r w:rsidRPr="00E13781">
        <w:rPr>
          <w:rFonts w:ascii="Times New Roman" w:hAnsi="Times New Roman"/>
          <w:sz w:val="20"/>
        </w:rPr>
        <w:t xml:space="preserve"> Report and Order, FCC 22-36 (rel. May 20, 2022) (</w:t>
      </w:r>
      <w:r w:rsidRPr="00E13781">
        <w:rPr>
          <w:rFonts w:ascii="Times New Roman" w:hAnsi="Times New Roman"/>
          <w:i/>
          <w:iCs/>
          <w:sz w:val="20"/>
        </w:rPr>
        <w:t>Report and Order</w:t>
      </w:r>
      <w:r w:rsidRPr="00E13781">
        <w:rPr>
          <w:rFonts w:ascii="Times New Roman" w:hAnsi="Times New Roman"/>
          <w:sz w:val="20"/>
        </w:rPr>
        <w:t>).</w:t>
      </w:r>
    </w:p>
  </w:footnote>
  <w:footnote w:id="3">
    <w:p w:rsidR="00E13781" w:rsidRPr="00E13781" w:rsidP="00E13781" w14:paraId="5946A605" w14:textId="77777777">
      <w:pPr>
        <w:pStyle w:val="FootnoteText"/>
        <w:spacing w:after="120"/>
        <w:rPr>
          <w:rFonts w:ascii="Times New Roman" w:hAnsi="Times New Roman"/>
          <w:color w:val="FF0000"/>
          <w:sz w:val="20"/>
        </w:rPr>
      </w:pPr>
      <w:r w:rsidRPr="00E13781">
        <w:rPr>
          <w:rStyle w:val="FootnoteReference"/>
          <w:rFonts w:ascii="Times New Roman" w:hAnsi="Times New Roman"/>
          <w:sz w:val="20"/>
        </w:rPr>
        <w:footnoteRef/>
      </w:r>
      <w:r w:rsidRPr="00E13781">
        <w:rPr>
          <w:rFonts w:ascii="Times New Roman" w:hAnsi="Times New Roman"/>
          <w:sz w:val="20"/>
        </w:rPr>
        <w:t xml:space="preserve"> </w:t>
      </w:r>
      <w:r w:rsidRPr="00E13781">
        <w:rPr>
          <w:rFonts w:ascii="Times New Roman" w:hAnsi="Times New Roman"/>
          <w:i/>
          <w:iCs/>
          <w:sz w:val="20"/>
        </w:rPr>
        <w:t>See Report and Order</w:t>
      </w:r>
      <w:r w:rsidRPr="00E13781">
        <w:rPr>
          <w:rFonts w:ascii="Times New Roman" w:hAnsi="Times New Roman"/>
          <w:sz w:val="20"/>
        </w:rPr>
        <w:t xml:space="preserve"> at para. 65.</w:t>
      </w:r>
    </w:p>
  </w:footnote>
  <w:footnote w:id="4">
    <w:p w:rsidR="00E13781" w:rsidRPr="00E13781" w:rsidP="00E13781" w14:paraId="065BE377" w14:textId="77777777">
      <w:pPr>
        <w:pStyle w:val="FootnoteText"/>
        <w:spacing w:after="120"/>
        <w:rPr>
          <w:rFonts w:ascii="Times New Roman" w:hAnsi="Times New Roman"/>
          <w:color w:val="FF0000"/>
          <w:sz w:val="20"/>
        </w:rPr>
      </w:pPr>
      <w:r w:rsidRPr="00E13781">
        <w:rPr>
          <w:rStyle w:val="FootnoteReference"/>
          <w:rFonts w:ascii="Times New Roman" w:hAnsi="Times New Roman"/>
          <w:sz w:val="20"/>
        </w:rPr>
        <w:footnoteRef/>
      </w:r>
      <w:r w:rsidRPr="00E13781">
        <w:rPr>
          <w:rFonts w:ascii="Times New Roman" w:hAnsi="Times New Roman"/>
          <w:sz w:val="20"/>
        </w:rPr>
        <w:t xml:space="preserve"> 87 Fed. Reg. 39770 (July 5, 2022).</w:t>
      </w:r>
    </w:p>
  </w:footnote>
  <w:footnote w:id="5">
    <w:p w:rsidR="00E13781" w:rsidRPr="00A9058D" w:rsidP="00E13781" w14:paraId="0E31F0F3" w14:textId="77777777">
      <w:pPr>
        <w:pStyle w:val="FootnoteText"/>
        <w:spacing w:after="120"/>
        <w:rPr>
          <w:color w:val="FF0000"/>
        </w:rPr>
      </w:pPr>
      <w:r w:rsidRPr="00E13781">
        <w:rPr>
          <w:rStyle w:val="FootnoteReference"/>
          <w:rFonts w:ascii="Times New Roman" w:hAnsi="Times New Roman"/>
          <w:sz w:val="20"/>
        </w:rPr>
        <w:footnoteRef/>
      </w:r>
      <w:r w:rsidRPr="00E13781">
        <w:rPr>
          <w:rFonts w:ascii="Times New Roman" w:hAnsi="Times New Roman"/>
          <w:sz w:val="20"/>
        </w:rPr>
        <w:t xml:space="preserve"> </w:t>
      </w:r>
      <w:r w:rsidRPr="00E13781">
        <w:rPr>
          <w:rFonts w:ascii="Times New Roman" w:hAnsi="Times New Roman"/>
          <w:i/>
          <w:iCs/>
          <w:sz w:val="20"/>
        </w:rPr>
        <w:t>See</w:t>
      </w:r>
      <w:r w:rsidRPr="00E13781">
        <w:rPr>
          <w:rFonts w:ascii="Times New Roman" w:hAnsi="Times New Roman"/>
          <w:sz w:val="20"/>
        </w:rPr>
        <w:t xml:space="preserve"> 87 Fed. Reg. 39770.</w:t>
      </w:r>
      <w:r w:rsidRPr="00C01B4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0FF6EB09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0EA3678D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34C67A89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3D57A78C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66C36E2A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53CB2D0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348A42B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372E985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1197E382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2DC857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33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8"/>
  </w:num>
  <w:num w:numId="13">
    <w:abstractNumId w:val="9"/>
  </w:num>
  <w:num w:numId="14">
    <w:abstractNumId w:val="0"/>
  </w:num>
  <w:num w:numId="15">
    <w:abstractNumId w:val="37"/>
  </w:num>
  <w:num w:numId="16">
    <w:abstractNumId w:val="3"/>
  </w:num>
  <w:num w:numId="17">
    <w:abstractNumId w:val="36"/>
  </w:num>
  <w:num w:numId="18">
    <w:abstractNumId w:val="8"/>
  </w:num>
  <w:num w:numId="19">
    <w:abstractNumId w:val="38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0"/>
  </w:num>
  <w:num w:numId="28">
    <w:abstractNumId w:val="7"/>
  </w:num>
  <w:num w:numId="29">
    <w:abstractNumId w:val="12"/>
  </w:num>
  <w:num w:numId="30">
    <w:abstractNumId w:val="34"/>
  </w:num>
  <w:num w:numId="31">
    <w:abstractNumId w:val="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31"/>
  </w:num>
  <w:num w:numId="36">
    <w:abstractNumId w:val="1"/>
  </w:num>
  <w:num w:numId="37">
    <w:abstractNumId w:val="32"/>
  </w:num>
  <w:num w:numId="38">
    <w:abstractNumId w:val="35"/>
  </w:num>
  <w:num w:numId="39">
    <w:abstractNumId w:val="21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43244"/>
    <w:rsid w:val="00073D4C"/>
    <w:rsid w:val="00074B7E"/>
    <w:rsid w:val="000923AF"/>
    <w:rsid w:val="00094048"/>
    <w:rsid w:val="000A66A9"/>
    <w:rsid w:val="000B15E4"/>
    <w:rsid w:val="000C12B4"/>
    <w:rsid w:val="000D247C"/>
    <w:rsid w:val="000D5601"/>
    <w:rsid w:val="000E26F1"/>
    <w:rsid w:val="001112BD"/>
    <w:rsid w:val="0012467D"/>
    <w:rsid w:val="00145E06"/>
    <w:rsid w:val="00180909"/>
    <w:rsid w:val="00194943"/>
    <w:rsid w:val="001A64AE"/>
    <w:rsid w:val="001B33FC"/>
    <w:rsid w:val="001C15E8"/>
    <w:rsid w:val="001D693D"/>
    <w:rsid w:val="001F54F6"/>
    <w:rsid w:val="00245659"/>
    <w:rsid w:val="00255CB0"/>
    <w:rsid w:val="00282E63"/>
    <w:rsid w:val="0029747F"/>
    <w:rsid w:val="002B5E0B"/>
    <w:rsid w:val="002F3B6C"/>
    <w:rsid w:val="00317FB6"/>
    <w:rsid w:val="003207E4"/>
    <w:rsid w:val="00374472"/>
    <w:rsid w:val="003F2E64"/>
    <w:rsid w:val="003F593A"/>
    <w:rsid w:val="00413F70"/>
    <w:rsid w:val="00425A11"/>
    <w:rsid w:val="0042773B"/>
    <w:rsid w:val="00454DED"/>
    <w:rsid w:val="004551D3"/>
    <w:rsid w:val="00486797"/>
    <w:rsid w:val="004A4DE7"/>
    <w:rsid w:val="004B38DE"/>
    <w:rsid w:val="005059BA"/>
    <w:rsid w:val="00526536"/>
    <w:rsid w:val="005B22B2"/>
    <w:rsid w:val="005D7741"/>
    <w:rsid w:val="005E02E6"/>
    <w:rsid w:val="00605E60"/>
    <w:rsid w:val="00612369"/>
    <w:rsid w:val="006818F1"/>
    <w:rsid w:val="006A171D"/>
    <w:rsid w:val="006A3F86"/>
    <w:rsid w:val="006A5494"/>
    <w:rsid w:val="006B00CE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E0B74"/>
    <w:rsid w:val="00804ED0"/>
    <w:rsid w:val="008052D9"/>
    <w:rsid w:val="008114B0"/>
    <w:rsid w:val="00827E53"/>
    <w:rsid w:val="00831700"/>
    <w:rsid w:val="00842677"/>
    <w:rsid w:val="008519CC"/>
    <w:rsid w:val="008923F2"/>
    <w:rsid w:val="008957DD"/>
    <w:rsid w:val="00897958"/>
    <w:rsid w:val="008D461B"/>
    <w:rsid w:val="008E30E7"/>
    <w:rsid w:val="009226B9"/>
    <w:rsid w:val="00947625"/>
    <w:rsid w:val="00961500"/>
    <w:rsid w:val="009D0E9A"/>
    <w:rsid w:val="009D15BA"/>
    <w:rsid w:val="00A178C8"/>
    <w:rsid w:val="00A23EA3"/>
    <w:rsid w:val="00A32533"/>
    <w:rsid w:val="00A37371"/>
    <w:rsid w:val="00A70A81"/>
    <w:rsid w:val="00A9058D"/>
    <w:rsid w:val="00AB3C63"/>
    <w:rsid w:val="00AD0618"/>
    <w:rsid w:val="00B30A02"/>
    <w:rsid w:val="00B530AC"/>
    <w:rsid w:val="00B56541"/>
    <w:rsid w:val="00B61AE6"/>
    <w:rsid w:val="00B73BB0"/>
    <w:rsid w:val="00B926D2"/>
    <w:rsid w:val="00BA6E41"/>
    <w:rsid w:val="00BB7F9D"/>
    <w:rsid w:val="00BF60D4"/>
    <w:rsid w:val="00C01B44"/>
    <w:rsid w:val="00C14C21"/>
    <w:rsid w:val="00C35895"/>
    <w:rsid w:val="00C421D3"/>
    <w:rsid w:val="00C54B1F"/>
    <w:rsid w:val="00C6137D"/>
    <w:rsid w:val="00C70F0E"/>
    <w:rsid w:val="00C90789"/>
    <w:rsid w:val="00C91FAD"/>
    <w:rsid w:val="00CF5AA5"/>
    <w:rsid w:val="00D32BBE"/>
    <w:rsid w:val="00D46A3A"/>
    <w:rsid w:val="00D803C9"/>
    <w:rsid w:val="00DA2E1D"/>
    <w:rsid w:val="00DA3BCB"/>
    <w:rsid w:val="00DB48BB"/>
    <w:rsid w:val="00DD2FEC"/>
    <w:rsid w:val="00DE14BF"/>
    <w:rsid w:val="00DF2DDB"/>
    <w:rsid w:val="00E13781"/>
    <w:rsid w:val="00E14537"/>
    <w:rsid w:val="00E14BC3"/>
    <w:rsid w:val="00E26E1D"/>
    <w:rsid w:val="00E277F2"/>
    <w:rsid w:val="00E32652"/>
    <w:rsid w:val="00ED13D4"/>
    <w:rsid w:val="00F05E95"/>
    <w:rsid w:val="00F232CB"/>
    <w:rsid w:val="00F25393"/>
    <w:rsid w:val="00F3692E"/>
    <w:rsid w:val="00F564DF"/>
    <w:rsid w:val="00F60417"/>
    <w:rsid w:val="00F63882"/>
    <w:rsid w:val="00F75F0E"/>
    <w:rsid w:val="00FB2073"/>
    <w:rsid w:val="00FB5C0A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82C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