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1477D" w:rsidRPr="009F6FBF" w:rsidP="0091477D" w14:paraId="17644F7C" w14:textId="52C7DBE2">
      <w:pPr>
        <w:jc w:val="right"/>
        <w:rPr>
          <w:b/>
          <w:sz w:val="24"/>
        </w:rPr>
      </w:pPr>
      <w:r w:rsidRPr="009F6FBF">
        <w:rPr>
          <w:b/>
          <w:sz w:val="24"/>
        </w:rPr>
        <w:t>DA 2</w:t>
      </w:r>
      <w:r w:rsidR="00770B46">
        <w:rPr>
          <w:b/>
          <w:sz w:val="24"/>
        </w:rPr>
        <w:t>2</w:t>
      </w:r>
      <w:r w:rsidRPr="009F6FBF">
        <w:rPr>
          <w:b/>
          <w:sz w:val="24"/>
        </w:rPr>
        <w:t>-</w:t>
      </w:r>
      <w:r w:rsidR="00AC4E5F">
        <w:rPr>
          <w:b/>
          <w:sz w:val="24"/>
        </w:rPr>
        <w:t>720</w:t>
      </w:r>
    </w:p>
    <w:p w:rsidR="0091477D" w:rsidRPr="009F6FBF" w:rsidP="0091477D" w14:paraId="7E4A063C" w14:textId="76265879">
      <w:pPr>
        <w:spacing w:before="60"/>
        <w:jc w:val="right"/>
        <w:rPr>
          <w:b/>
          <w:sz w:val="24"/>
        </w:rPr>
      </w:pPr>
      <w:r w:rsidRPr="009F6FBF">
        <w:rPr>
          <w:b/>
          <w:sz w:val="24"/>
        </w:rPr>
        <w:t xml:space="preserve">Released:  </w:t>
      </w:r>
      <w:r w:rsidR="00770B46">
        <w:rPr>
          <w:b/>
          <w:sz w:val="24"/>
        </w:rPr>
        <w:t>Ju</w:t>
      </w:r>
      <w:r w:rsidR="00BC2A2A">
        <w:rPr>
          <w:b/>
          <w:sz w:val="24"/>
        </w:rPr>
        <w:t>ly</w:t>
      </w:r>
      <w:r w:rsidR="00770B46">
        <w:rPr>
          <w:b/>
          <w:sz w:val="24"/>
        </w:rPr>
        <w:t xml:space="preserve"> </w:t>
      </w:r>
      <w:r w:rsidR="00AC4E5F">
        <w:rPr>
          <w:b/>
          <w:sz w:val="24"/>
        </w:rPr>
        <w:t xml:space="preserve">6, </w:t>
      </w:r>
      <w:r w:rsidRPr="009F6FBF">
        <w:rPr>
          <w:b/>
          <w:sz w:val="24"/>
        </w:rPr>
        <w:t>202</w:t>
      </w:r>
      <w:r w:rsidR="00770B46">
        <w:rPr>
          <w:b/>
          <w:sz w:val="24"/>
        </w:rPr>
        <w:t>2</w:t>
      </w:r>
    </w:p>
    <w:p w:rsidR="0091477D" w:rsidRPr="009F6FBF" w:rsidP="0091477D" w14:paraId="78DE22DB" w14:textId="77777777">
      <w:pPr>
        <w:jc w:val="right"/>
        <w:rPr>
          <w:sz w:val="24"/>
        </w:rPr>
      </w:pPr>
    </w:p>
    <w:p w:rsidR="0091477D" w:rsidRPr="009F6FBF" w:rsidP="0091477D" w14:paraId="7CEC1D85" w14:textId="779CAF99">
      <w:pPr>
        <w:jc w:val="center"/>
        <w:rPr>
          <w:b/>
          <w:bCs/>
          <w:szCs w:val="22"/>
        </w:rPr>
      </w:pPr>
      <w:bookmarkStart w:id="0" w:name="TOChere"/>
      <w:r w:rsidRPr="009F6FBF">
        <w:rPr>
          <w:rFonts w:ascii="Times New Roman Bold" w:hAnsi="Times New Roman Bold"/>
          <w:b/>
          <w:bCs/>
          <w:caps/>
          <w:szCs w:val="22"/>
        </w:rPr>
        <w:t>Wireless Telecommunications Bureau</w:t>
      </w:r>
      <w:r w:rsidRPr="009F6FBF">
        <w:rPr>
          <w:b/>
          <w:bCs/>
          <w:szCs w:val="22"/>
        </w:rPr>
        <w:t xml:space="preserve"> SEEKS COMMENT ON THE </w:t>
      </w:r>
      <w:r w:rsidR="000D7236">
        <w:rPr>
          <w:b/>
          <w:bCs/>
          <w:szCs w:val="22"/>
        </w:rPr>
        <w:t>UNIVERSITY OF UTAH</w:t>
      </w:r>
      <w:r w:rsidRPr="009F6FBF">
        <w:rPr>
          <w:b/>
          <w:bCs/>
          <w:szCs w:val="22"/>
        </w:rPr>
        <w:t xml:space="preserve">’S REQUEST </w:t>
      </w:r>
      <w:r w:rsidR="00ED30BF">
        <w:rPr>
          <w:b/>
          <w:bCs/>
          <w:szCs w:val="22"/>
        </w:rPr>
        <w:t xml:space="preserve">TO </w:t>
      </w:r>
      <w:r w:rsidR="000D7236">
        <w:rPr>
          <w:b/>
          <w:bCs/>
          <w:szCs w:val="22"/>
        </w:rPr>
        <w:t>WAIVE</w:t>
      </w:r>
      <w:r w:rsidRPr="009F6FBF">
        <w:rPr>
          <w:b/>
          <w:bCs/>
          <w:szCs w:val="22"/>
        </w:rPr>
        <w:t xml:space="preserve"> SECTION 96.39 OF THE COMMISSION’S RULES </w:t>
      </w:r>
    </w:p>
    <w:p w:rsidR="0091477D" w:rsidRPr="009F6FBF" w:rsidP="0091477D" w14:paraId="0935822A" w14:textId="77777777">
      <w:pPr>
        <w:jc w:val="center"/>
        <w:rPr>
          <w:rFonts w:eastAsia="Calibri"/>
          <w:b/>
          <w:caps/>
          <w:szCs w:val="22"/>
        </w:rPr>
      </w:pPr>
    </w:p>
    <w:p w:rsidR="0091477D" w:rsidRPr="009F6FBF" w:rsidP="0091477D" w14:paraId="64CF28B2" w14:textId="2A75B9FD">
      <w:pPr>
        <w:jc w:val="center"/>
        <w:rPr>
          <w:b/>
          <w:szCs w:val="22"/>
        </w:rPr>
      </w:pPr>
      <w:r w:rsidRPr="009F6FBF">
        <w:rPr>
          <w:b/>
          <w:szCs w:val="22"/>
        </w:rPr>
        <w:t>WT Docket No. 2</w:t>
      </w:r>
      <w:r w:rsidR="000D7236">
        <w:rPr>
          <w:b/>
          <w:szCs w:val="22"/>
        </w:rPr>
        <w:t>2-</w:t>
      </w:r>
      <w:r w:rsidR="00AC4E5F">
        <w:rPr>
          <w:b/>
          <w:szCs w:val="22"/>
        </w:rPr>
        <w:t>257</w:t>
      </w:r>
    </w:p>
    <w:p w:rsidR="0091477D" w:rsidRPr="009F6FBF" w:rsidP="0091477D" w14:paraId="7A5931A4" w14:textId="77777777">
      <w:pPr>
        <w:jc w:val="center"/>
        <w:rPr>
          <w:b/>
          <w:sz w:val="24"/>
        </w:rPr>
      </w:pPr>
    </w:p>
    <w:p w:rsidR="0091477D" w:rsidRPr="009F6FBF" w:rsidP="0091477D" w14:paraId="4AD25FE2" w14:textId="2A888B96">
      <w:pPr>
        <w:pStyle w:val="NoSpacing"/>
        <w:rPr>
          <w:b/>
          <w:szCs w:val="22"/>
        </w:rPr>
      </w:pPr>
      <w:bookmarkStart w:id="1" w:name="_Hlk29380096"/>
      <w:r w:rsidRPr="009F6FBF">
        <w:rPr>
          <w:b/>
          <w:szCs w:val="22"/>
        </w:rPr>
        <w:t xml:space="preserve">Comments Due:  </w:t>
      </w:r>
      <w:r w:rsidR="00770B46">
        <w:rPr>
          <w:b/>
          <w:szCs w:val="22"/>
        </w:rPr>
        <w:t>July</w:t>
      </w:r>
      <w:r w:rsidRPr="009F6FBF">
        <w:rPr>
          <w:b/>
          <w:szCs w:val="22"/>
        </w:rPr>
        <w:t xml:space="preserve"> </w:t>
      </w:r>
      <w:r w:rsidR="00AC4E5F">
        <w:rPr>
          <w:b/>
          <w:szCs w:val="22"/>
        </w:rPr>
        <w:t>18</w:t>
      </w:r>
      <w:r w:rsidRPr="009F6FBF">
        <w:rPr>
          <w:b/>
          <w:szCs w:val="22"/>
        </w:rPr>
        <w:t>, 202</w:t>
      </w:r>
      <w:r w:rsidR="00770B46">
        <w:rPr>
          <w:b/>
          <w:szCs w:val="22"/>
        </w:rPr>
        <w:t>2</w:t>
      </w:r>
      <w:r w:rsidR="00E440D1">
        <w:rPr>
          <w:b/>
          <w:szCs w:val="22"/>
        </w:rPr>
        <w:t xml:space="preserve"> </w:t>
      </w:r>
    </w:p>
    <w:p w:rsidR="0091477D" w:rsidRPr="009F6FBF" w:rsidP="0091477D" w14:paraId="03B52BF5" w14:textId="1ACC8B15">
      <w:pPr>
        <w:pStyle w:val="NoSpacing"/>
        <w:rPr>
          <w:b/>
          <w:szCs w:val="22"/>
        </w:rPr>
      </w:pPr>
      <w:r w:rsidRPr="009F6FBF">
        <w:rPr>
          <w:b/>
          <w:szCs w:val="22"/>
        </w:rPr>
        <w:t xml:space="preserve">Reply Comments Due:  </w:t>
      </w:r>
      <w:r w:rsidR="00770B46">
        <w:rPr>
          <w:b/>
          <w:szCs w:val="22"/>
        </w:rPr>
        <w:t>July</w:t>
      </w:r>
      <w:r w:rsidRPr="009F6FBF">
        <w:rPr>
          <w:b/>
          <w:szCs w:val="22"/>
        </w:rPr>
        <w:t xml:space="preserve"> </w:t>
      </w:r>
      <w:r w:rsidR="006C54FB">
        <w:rPr>
          <w:b/>
          <w:szCs w:val="22"/>
        </w:rPr>
        <w:t>25</w:t>
      </w:r>
      <w:r w:rsidRPr="009F6FBF">
        <w:rPr>
          <w:b/>
          <w:szCs w:val="22"/>
        </w:rPr>
        <w:t>, 202</w:t>
      </w:r>
      <w:r w:rsidR="00770B46">
        <w:rPr>
          <w:b/>
          <w:szCs w:val="22"/>
        </w:rPr>
        <w:t>2</w:t>
      </w:r>
      <w:r w:rsidR="00E440D1">
        <w:rPr>
          <w:b/>
          <w:szCs w:val="22"/>
        </w:rPr>
        <w:t xml:space="preserve"> </w:t>
      </w:r>
    </w:p>
    <w:p w:rsidR="0091477D" w:rsidRPr="009F6FBF" w:rsidP="0091477D" w14:paraId="58641B16" w14:textId="77777777">
      <w:pPr>
        <w:widowControl/>
        <w:spacing w:after="120"/>
      </w:pPr>
    </w:p>
    <w:bookmarkEnd w:id="1"/>
    <w:p w:rsidR="006F2F18" w:rsidP="001C4B6F" w14:paraId="072873E7" w14:textId="6E30F462">
      <w:pPr>
        <w:autoSpaceDE w:val="0"/>
        <w:autoSpaceDN w:val="0"/>
        <w:adjustRightInd w:val="0"/>
        <w:spacing w:after="120"/>
        <w:ind w:firstLine="720"/>
        <w:rPr>
          <w:szCs w:val="22"/>
        </w:rPr>
      </w:pPr>
      <w:r w:rsidRPr="009F6FBF">
        <w:rPr>
          <w:szCs w:val="22"/>
        </w:rPr>
        <w:t xml:space="preserve">On </w:t>
      </w:r>
      <w:r w:rsidR="000D7236">
        <w:rPr>
          <w:szCs w:val="22"/>
        </w:rPr>
        <w:t>March 31</w:t>
      </w:r>
      <w:r>
        <w:rPr>
          <w:szCs w:val="22"/>
        </w:rPr>
        <w:t>, 2022</w:t>
      </w:r>
      <w:r w:rsidRPr="009F6FBF">
        <w:rPr>
          <w:szCs w:val="22"/>
        </w:rPr>
        <w:t xml:space="preserve">, the </w:t>
      </w:r>
      <w:r w:rsidR="000D7236">
        <w:rPr>
          <w:szCs w:val="22"/>
        </w:rPr>
        <w:t>University of Utah</w:t>
      </w:r>
      <w:r w:rsidRPr="009F6FBF">
        <w:rPr>
          <w:szCs w:val="22"/>
        </w:rPr>
        <w:t xml:space="preserve"> (</w:t>
      </w:r>
      <w:r w:rsidR="000D7236">
        <w:rPr>
          <w:szCs w:val="22"/>
        </w:rPr>
        <w:t>the University</w:t>
      </w:r>
      <w:r w:rsidRPr="009F6FBF">
        <w:rPr>
          <w:szCs w:val="22"/>
        </w:rPr>
        <w:t xml:space="preserve">) filed a request </w:t>
      </w:r>
      <w:r>
        <w:rPr>
          <w:szCs w:val="22"/>
        </w:rPr>
        <w:t xml:space="preserve">to </w:t>
      </w:r>
      <w:r w:rsidR="000D7236">
        <w:rPr>
          <w:szCs w:val="22"/>
        </w:rPr>
        <w:t xml:space="preserve">waive </w:t>
      </w:r>
      <w:r w:rsidR="005F5BFF">
        <w:rPr>
          <w:szCs w:val="22"/>
        </w:rPr>
        <w:t xml:space="preserve">Section 96.39 </w:t>
      </w:r>
      <w:r w:rsidR="00B432A5">
        <w:rPr>
          <w:szCs w:val="22"/>
        </w:rPr>
        <w:t xml:space="preserve">(a), (c), </w:t>
      </w:r>
      <w:r>
        <w:rPr>
          <w:szCs w:val="22"/>
        </w:rPr>
        <w:t xml:space="preserve">(d), </w:t>
      </w:r>
      <w:r w:rsidR="00B432A5">
        <w:rPr>
          <w:szCs w:val="22"/>
        </w:rPr>
        <w:t>(e)</w:t>
      </w:r>
      <w:r>
        <w:rPr>
          <w:szCs w:val="22"/>
        </w:rPr>
        <w:t>, and (g)</w:t>
      </w:r>
      <w:r w:rsidR="00B432A5">
        <w:rPr>
          <w:szCs w:val="22"/>
        </w:rPr>
        <w:t xml:space="preserve"> </w:t>
      </w:r>
      <w:r w:rsidR="005F5BFF">
        <w:rPr>
          <w:szCs w:val="22"/>
        </w:rPr>
        <w:t>of the Commission’s rules</w:t>
      </w:r>
      <w:r>
        <w:rPr>
          <w:rStyle w:val="FootnoteReference"/>
          <w:szCs w:val="22"/>
        </w:rPr>
        <w:footnoteReference w:id="3"/>
      </w:r>
      <w:r w:rsidR="005F5BFF">
        <w:rPr>
          <w:szCs w:val="22"/>
        </w:rPr>
        <w:t xml:space="preserve"> to allow it to operate its POWDER platform in the C</w:t>
      </w:r>
      <w:r w:rsidR="00861D14">
        <w:rPr>
          <w:szCs w:val="22"/>
        </w:rPr>
        <w:t>itizen’s B</w:t>
      </w:r>
      <w:r w:rsidR="00944E19">
        <w:rPr>
          <w:szCs w:val="22"/>
        </w:rPr>
        <w:t>roadb</w:t>
      </w:r>
      <w:r w:rsidR="00861D14">
        <w:rPr>
          <w:szCs w:val="22"/>
        </w:rPr>
        <w:t>and Radio Service</w:t>
      </w:r>
      <w:r w:rsidR="005F5BFF">
        <w:rPr>
          <w:szCs w:val="22"/>
        </w:rPr>
        <w:t>.</w:t>
      </w:r>
      <w:r>
        <w:rPr>
          <w:rStyle w:val="FootnoteReference"/>
          <w:szCs w:val="22"/>
        </w:rPr>
        <w:footnoteReference w:id="4"/>
      </w:r>
      <w:r w:rsidR="00021B49">
        <w:rPr>
          <w:szCs w:val="22"/>
        </w:rPr>
        <w:t xml:space="preserve">  The POWDER platform is a research tool operated by the University in partnership with Salt Lake City, Utah, and the Utah Education and Telehealth Network.  </w:t>
      </w:r>
      <w:r w:rsidR="00B432A5">
        <w:rPr>
          <w:szCs w:val="22"/>
        </w:rPr>
        <w:t xml:space="preserve">According to the University, the </w:t>
      </w:r>
      <w:r w:rsidR="00021B49">
        <w:rPr>
          <w:szCs w:val="22"/>
        </w:rPr>
        <w:t xml:space="preserve">primary objective </w:t>
      </w:r>
      <w:r w:rsidR="00B432A5">
        <w:rPr>
          <w:szCs w:val="22"/>
        </w:rPr>
        <w:t xml:space="preserve">of the POWDER platform </w:t>
      </w:r>
      <w:r w:rsidR="00021B49">
        <w:rPr>
          <w:szCs w:val="22"/>
        </w:rPr>
        <w:t>is to enable innovation and research associated with wireless systems and spectrum use.</w:t>
      </w:r>
      <w:r>
        <w:rPr>
          <w:rStyle w:val="FootnoteReference"/>
          <w:szCs w:val="22"/>
        </w:rPr>
        <w:footnoteReference w:id="5"/>
      </w:r>
      <w:r w:rsidR="00021B49">
        <w:rPr>
          <w:szCs w:val="22"/>
        </w:rPr>
        <w:t xml:space="preserve">  </w:t>
      </w:r>
      <w:r w:rsidR="001C4B6F">
        <w:rPr>
          <w:szCs w:val="22"/>
        </w:rPr>
        <w:t xml:space="preserve">  </w:t>
      </w:r>
    </w:p>
    <w:p w:rsidR="00B37BAC" w:rsidP="006F2F18" w14:paraId="4C728B1E" w14:textId="3E073376">
      <w:pPr>
        <w:autoSpaceDE w:val="0"/>
        <w:autoSpaceDN w:val="0"/>
        <w:adjustRightInd w:val="0"/>
        <w:spacing w:after="120"/>
        <w:ind w:firstLine="720"/>
        <w:rPr>
          <w:szCs w:val="22"/>
        </w:rPr>
      </w:pPr>
      <w:r>
        <w:rPr>
          <w:szCs w:val="22"/>
        </w:rPr>
        <w:t xml:space="preserve">The University contends that due to the platform’s architecture, the </w:t>
      </w:r>
      <w:r w:rsidR="00156F89">
        <w:rPr>
          <w:szCs w:val="22"/>
        </w:rPr>
        <w:t>Citizens Broadband Radio Service Devices (</w:t>
      </w:r>
      <w:r>
        <w:rPr>
          <w:szCs w:val="22"/>
        </w:rPr>
        <w:t>CBSDs</w:t>
      </w:r>
      <w:r w:rsidR="00156F89">
        <w:rPr>
          <w:szCs w:val="22"/>
        </w:rPr>
        <w:t>)</w:t>
      </w:r>
      <w:r>
        <w:rPr>
          <w:szCs w:val="22"/>
        </w:rPr>
        <w:t xml:space="preserve"> </w:t>
      </w:r>
      <w:r w:rsidR="006F2F18">
        <w:rPr>
          <w:szCs w:val="22"/>
        </w:rPr>
        <w:t>that it intends to use</w:t>
      </w:r>
      <w:r>
        <w:rPr>
          <w:szCs w:val="22"/>
        </w:rPr>
        <w:t xml:space="preserve"> will not always fully comply with Section 96.39 while performing research operations.</w:t>
      </w:r>
      <w:r>
        <w:rPr>
          <w:rStyle w:val="FootnoteReference"/>
          <w:szCs w:val="22"/>
        </w:rPr>
        <w:footnoteReference w:id="6"/>
      </w:r>
      <w:r w:rsidR="002F195B">
        <w:rPr>
          <w:szCs w:val="22"/>
        </w:rPr>
        <w:t xml:space="preserve"> </w:t>
      </w:r>
      <w:r w:rsidR="009F7594">
        <w:rPr>
          <w:szCs w:val="22"/>
        </w:rPr>
        <w:t xml:space="preserve"> </w:t>
      </w:r>
      <w:r w:rsidR="00F471A2">
        <w:rPr>
          <w:szCs w:val="22"/>
        </w:rPr>
        <w:t>T</w:t>
      </w:r>
      <w:r w:rsidR="00861D14">
        <w:rPr>
          <w:szCs w:val="22"/>
        </w:rPr>
        <w:t xml:space="preserve">he University </w:t>
      </w:r>
      <w:r>
        <w:rPr>
          <w:szCs w:val="22"/>
        </w:rPr>
        <w:t xml:space="preserve">therefore </w:t>
      </w:r>
      <w:r w:rsidR="00861D14">
        <w:rPr>
          <w:szCs w:val="22"/>
        </w:rPr>
        <w:t xml:space="preserve">requests that the Commission waive </w:t>
      </w:r>
      <w:r w:rsidR="00F86DBB">
        <w:rPr>
          <w:szCs w:val="22"/>
        </w:rPr>
        <w:t xml:space="preserve">Sections 96.39(a), (c), </w:t>
      </w:r>
      <w:r>
        <w:rPr>
          <w:szCs w:val="22"/>
        </w:rPr>
        <w:t>and</w:t>
      </w:r>
      <w:r w:rsidR="00F86DBB">
        <w:rPr>
          <w:szCs w:val="22"/>
        </w:rPr>
        <w:t xml:space="preserve"> (e), to allow </w:t>
      </w:r>
      <w:r w:rsidR="00AF2250">
        <w:rPr>
          <w:szCs w:val="22"/>
        </w:rPr>
        <w:t>it</w:t>
      </w:r>
      <w:r w:rsidR="00F86DBB">
        <w:rPr>
          <w:szCs w:val="22"/>
        </w:rPr>
        <w:t xml:space="preserve"> to use Software-Defined Radio (SDR) equipment to interact with the </w:t>
      </w:r>
      <w:r w:rsidR="00772AB5">
        <w:rPr>
          <w:szCs w:val="22"/>
        </w:rPr>
        <w:t>SAS</w:t>
      </w:r>
      <w:r w:rsidR="00F86DBB">
        <w:rPr>
          <w:szCs w:val="22"/>
        </w:rPr>
        <w:t xml:space="preserve"> within the POWDER Platform Innovation Zone on either a G</w:t>
      </w:r>
      <w:r w:rsidR="00BF7B76">
        <w:rPr>
          <w:szCs w:val="22"/>
        </w:rPr>
        <w:t xml:space="preserve">eneral Authorized </w:t>
      </w:r>
      <w:r w:rsidR="00F86DBB">
        <w:rPr>
          <w:szCs w:val="22"/>
        </w:rPr>
        <w:t>A</w:t>
      </w:r>
      <w:r w:rsidR="00BF7B76">
        <w:rPr>
          <w:szCs w:val="22"/>
        </w:rPr>
        <w:t>ccess (GAA)</w:t>
      </w:r>
      <w:r w:rsidR="00F86DBB">
        <w:rPr>
          <w:szCs w:val="22"/>
        </w:rPr>
        <w:t xml:space="preserve"> or </w:t>
      </w:r>
      <w:r w:rsidR="00F86DBB">
        <w:rPr>
          <w:szCs w:val="22"/>
        </w:rPr>
        <w:t xml:space="preserve">Priority </w:t>
      </w:r>
      <w:r>
        <w:rPr>
          <w:szCs w:val="22"/>
        </w:rPr>
        <w:t xml:space="preserve">Access License (PAL) </w:t>
      </w:r>
      <w:r w:rsidR="00F86DBB">
        <w:rPr>
          <w:szCs w:val="22"/>
        </w:rPr>
        <w:t>basis.</w:t>
      </w:r>
      <w:r>
        <w:rPr>
          <w:rStyle w:val="FootnoteReference"/>
          <w:szCs w:val="22"/>
        </w:rPr>
        <w:footnoteReference w:id="7"/>
      </w:r>
      <w:r w:rsidR="00BF7B76">
        <w:rPr>
          <w:szCs w:val="22"/>
        </w:rPr>
        <w:t xml:space="preserve">  </w:t>
      </w:r>
      <w:r w:rsidR="00A95186">
        <w:rPr>
          <w:szCs w:val="22"/>
        </w:rPr>
        <w:t>Alternat</w:t>
      </w:r>
      <w:r w:rsidR="00D67E8A">
        <w:rPr>
          <w:szCs w:val="22"/>
        </w:rPr>
        <w:t>iv</w:t>
      </w:r>
      <w:r w:rsidR="00A95186">
        <w:rPr>
          <w:szCs w:val="22"/>
        </w:rPr>
        <w:t>ely, the University requests that the Commission clarify that the POWDER platform’s use of a CBRS Domain Proxy</w:t>
      </w:r>
      <w:r w:rsidR="00722A66">
        <w:rPr>
          <w:szCs w:val="22"/>
        </w:rPr>
        <w:t xml:space="preserve"> fulfills the requirements of Sections 96.39(a), (c), and (e).</w:t>
      </w:r>
      <w:r>
        <w:rPr>
          <w:rStyle w:val="FootnoteReference"/>
          <w:szCs w:val="22"/>
        </w:rPr>
        <w:footnoteReference w:id="8"/>
      </w:r>
      <w:r w:rsidR="00722A66">
        <w:rPr>
          <w:szCs w:val="22"/>
        </w:rPr>
        <w:t xml:space="preserve">  T</w:t>
      </w:r>
      <w:r w:rsidR="00A95186">
        <w:rPr>
          <w:szCs w:val="22"/>
        </w:rPr>
        <w:t xml:space="preserve">he University </w:t>
      </w:r>
      <w:r w:rsidR="00F471A2">
        <w:rPr>
          <w:szCs w:val="22"/>
        </w:rPr>
        <w:t>contends</w:t>
      </w:r>
      <w:r w:rsidR="00A95186">
        <w:rPr>
          <w:szCs w:val="22"/>
        </w:rPr>
        <w:t xml:space="preserve"> </w:t>
      </w:r>
      <w:r w:rsidR="00722A66">
        <w:rPr>
          <w:szCs w:val="22"/>
        </w:rPr>
        <w:t xml:space="preserve">that a CBRS Domain Proxy </w:t>
      </w:r>
      <w:r w:rsidR="00A95186">
        <w:rPr>
          <w:szCs w:val="22"/>
        </w:rPr>
        <w:t xml:space="preserve">would act as an interface with an SAS, </w:t>
      </w:r>
      <w:r w:rsidR="00722A66">
        <w:rPr>
          <w:szCs w:val="22"/>
        </w:rPr>
        <w:t xml:space="preserve">would </w:t>
      </w:r>
      <w:r w:rsidR="00A95186">
        <w:rPr>
          <w:szCs w:val="22"/>
        </w:rPr>
        <w:t xml:space="preserve">control SDRs in the POWDER network, and </w:t>
      </w:r>
      <w:r w:rsidR="00722A66">
        <w:rPr>
          <w:szCs w:val="22"/>
        </w:rPr>
        <w:t xml:space="preserve">would </w:t>
      </w:r>
      <w:r w:rsidR="00A95186">
        <w:rPr>
          <w:szCs w:val="22"/>
        </w:rPr>
        <w:t>terminate transmissions that violate SAS authorization</w:t>
      </w:r>
      <w:r w:rsidR="00722A66">
        <w:rPr>
          <w:szCs w:val="22"/>
        </w:rPr>
        <w:t xml:space="preserve">.  </w:t>
      </w:r>
      <w:r>
        <w:rPr>
          <w:szCs w:val="22"/>
        </w:rPr>
        <w:t xml:space="preserve">The University also requests </w:t>
      </w:r>
      <w:r w:rsidR="00FA0BE9">
        <w:rPr>
          <w:szCs w:val="22"/>
        </w:rPr>
        <w:t>that the Commission waive</w:t>
      </w:r>
      <w:r>
        <w:rPr>
          <w:szCs w:val="22"/>
        </w:rPr>
        <w:t xml:space="preserve"> Section 96.39(d) of the Commission’s rules</w:t>
      </w:r>
      <w:r>
        <w:rPr>
          <w:rStyle w:val="FootnoteReference"/>
          <w:szCs w:val="22"/>
        </w:rPr>
        <w:footnoteReference w:id="9"/>
      </w:r>
      <w:r w:rsidR="006E5F04">
        <w:rPr>
          <w:szCs w:val="22"/>
        </w:rPr>
        <w:t xml:space="preserve"> </w:t>
      </w:r>
      <w:r>
        <w:rPr>
          <w:szCs w:val="22"/>
        </w:rPr>
        <w:t>to allow the POWDER platform to operate as a GAA or PAL CBSD without reporting signal level information to an SAS</w:t>
      </w:r>
      <w:r w:rsidR="00FA0BE9">
        <w:rPr>
          <w:szCs w:val="22"/>
        </w:rPr>
        <w:t>,</w:t>
      </w:r>
      <w:r>
        <w:rPr>
          <w:rStyle w:val="FootnoteReference"/>
          <w:szCs w:val="22"/>
        </w:rPr>
        <w:footnoteReference w:id="10"/>
      </w:r>
      <w:r w:rsidR="00FA0BE9">
        <w:rPr>
          <w:szCs w:val="22"/>
        </w:rPr>
        <w:t xml:space="preserve"> and that the Commission waive Section 96.39(g)</w:t>
      </w:r>
      <w:r>
        <w:rPr>
          <w:rStyle w:val="FootnoteReference"/>
          <w:szCs w:val="22"/>
        </w:rPr>
        <w:footnoteReference w:id="11"/>
      </w:r>
      <w:r w:rsidR="00FA0BE9">
        <w:rPr>
          <w:szCs w:val="22"/>
        </w:rPr>
        <w:t xml:space="preserve"> to allow it and researchers using the platform to update software and firmware for the CBSD equipment using SDRs.</w:t>
      </w:r>
      <w:r>
        <w:rPr>
          <w:rStyle w:val="FootnoteReference"/>
          <w:szCs w:val="22"/>
        </w:rPr>
        <w:footnoteReference w:id="12"/>
      </w:r>
    </w:p>
    <w:p w:rsidR="00A0357C" w:rsidP="00A0357C" w14:paraId="4456ECB8" w14:textId="3D9E43D6">
      <w:pPr>
        <w:autoSpaceDE w:val="0"/>
        <w:autoSpaceDN w:val="0"/>
        <w:adjustRightInd w:val="0"/>
        <w:spacing w:after="120"/>
        <w:ind w:firstLine="720"/>
        <w:rPr>
          <w:b/>
          <w:bCs/>
          <w:szCs w:val="22"/>
        </w:rPr>
      </w:pPr>
      <w:r w:rsidRPr="009F6FBF">
        <w:rPr>
          <w:szCs w:val="22"/>
        </w:rPr>
        <w:t xml:space="preserve">The </w:t>
      </w:r>
      <w:r w:rsidR="0023766B">
        <w:rPr>
          <w:szCs w:val="22"/>
        </w:rPr>
        <w:t xml:space="preserve">Bureau </w:t>
      </w:r>
      <w:r w:rsidRPr="009F6FBF">
        <w:rPr>
          <w:szCs w:val="22"/>
        </w:rPr>
        <w:t xml:space="preserve">seeks comment on </w:t>
      </w:r>
      <w:r w:rsidR="008452B9">
        <w:rPr>
          <w:szCs w:val="22"/>
        </w:rPr>
        <w:t xml:space="preserve">the </w:t>
      </w:r>
      <w:r w:rsidR="00861D14">
        <w:rPr>
          <w:szCs w:val="22"/>
        </w:rPr>
        <w:t>University’s</w:t>
      </w:r>
      <w:r w:rsidR="008452B9">
        <w:rPr>
          <w:szCs w:val="22"/>
        </w:rPr>
        <w:t xml:space="preserve"> request</w:t>
      </w:r>
      <w:r w:rsidRPr="009F6FBF">
        <w:rPr>
          <w:szCs w:val="22"/>
        </w:rPr>
        <w:t xml:space="preserve">.  To develop a complete record on the issues presented by this request, the proceeding will be treated, for </w:t>
      </w:r>
      <w:r w:rsidRPr="009F6FBF">
        <w:rPr>
          <w:i/>
          <w:iCs/>
          <w:szCs w:val="22"/>
        </w:rPr>
        <w:t xml:space="preserve">ex parte </w:t>
      </w:r>
      <w:r w:rsidRPr="009F6FBF">
        <w:rPr>
          <w:szCs w:val="22"/>
        </w:rPr>
        <w:t>purposes, as a “permit-but-disclose” proceeding in accordance with Section 1.1200(a) of the rules, subject to the requirements under Section 1.1206(b).</w:t>
      </w:r>
      <w:r w:rsidR="00F14041">
        <w:rPr>
          <w:szCs w:val="22"/>
        </w:rPr>
        <w:t xml:space="preserve">  The University filed its petition electronically as a non-docketed proceeding in the Commission’s Electronic Comment Filing System.</w:t>
      </w:r>
      <w:r w:rsidR="001C3726">
        <w:rPr>
          <w:szCs w:val="22"/>
        </w:rPr>
        <w:t xml:space="preserve">  We have opened a new docket, </w:t>
      </w:r>
      <w:r w:rsidRPr="00A76056" w:rsidR="001C3726">
        <w:rPr>
          <w:b/>
          <w:bCs/>
          <w:szCs w:val="22"/>
        </w:rPr>
        <w:t>WT Docket 22-</w:t>
      </w:r>
      <w:r w:rsidRPr="00A76056" w:rsidR="00A76056">
        <w:rPr>
          <w:b/>
          <w:bCs/>
          <w:szCs w:val="22"/>
        </w:rPr>
        <w:t>257</w:t>
      </w:r>
      <w:r w:rsidR="001C3726">
        <w:rPr>
          <w:szCs w:val="22"/>
        </w:rPr>
        <w:t xml:space="preserve">, to facilitate consideration of this request and have moved the University’s submission into this docket.  </w:t>
      </w:r>
      <w:r>
        <w:rPr>
          <w:szCs w:val="22"/>
        </w:rPr>
        <w:t xml:space="preserve">Parties should file all comments and reply comments in </w:t>
      </w:r>
      <w:r w:rsidRPr="009F6FBF">
        <w:rPr>
          <w:b/>
          <w:bCs/>
          <w:szCs w:val="22"/>
        </w:rPr>
        <w:t>WT Docket 2</w:t>
      </w:r>
      <w:r w:rsidR="001C3726">
        <w:rPr>
          <w:b/>
          <w:bCs/>
          <w:szCs w:val="22"/>
        </w:rPr>
        <w:t>2</w:t>
      </w:r>
      <w:r w:rsidRPr="009F6FBF">
        <w:rPr>
          <w:b/>
          <w:bCs/>
          <w:szCs w:val="22"/>
        </w:rPr>
        <w:t>-</w:t>
      </w:r>
      <w:r w:rsidR="00A76056">
        <w:rPr>
          <w:b/>
          <w:bCs/>
          <w:szCs w:val="22"/>
        </w:rPr>
        <w:t>257</w:t>
      </w:r>
      <w:r>
        <w:rPr>
          <w:b/>
          <w:bCs/>
          <w:szCs w:val="22"/>
        </w:rPr>
        <w:t>.</w:t>
      </w:r>
    </w:p>
    <w:p w:rsidR="0091477D" w:rsidRPr="009F6FBF" w:rsidP="0091477D" w14:paraId="52F822A7" w14:textId="77777777">
      <w:pPr>
        <w:autoSpaceDE w:val="0"/>
        <w:autoSpaceDN w:val="0"/>
        <w:adjustRightInd w:val="0"/>
        <w:spacing w:after="120"/>
        <w:ind w:firstLine="720"/>
        <w:jc w:val="center"/>
        <w:rPr>
          <w:szCs w:val="22"/>
        </w:rPr>
      </w:pPr>
      <w:r w:rsidRPr="009F6FBF">
        <w:rPr>
          <w:szCs w:val="22"/>
        </w:rPr>
        <w:t>***</w:t>
      </w:r>
    </w:p>
    <w:p w:rsidR="0091477D" w:rsidRPr="009F6FBF" w:rsidP="0091477D" w14:paraId="14563CD5" w14:textId="5DA0F77A">
      <w:pPr>
        <w:autoSpaceDE w:val="0"/>
        <w:autoSpaceDN w:val="0"/>
        <w:adjustRightInd w:val="0"/>
        <w:spacing w:after="120"/>
        <w:ind w:firstLine="720"/>
        <w:rPr>
          <w:szCs w:val="22"/>
        </w:rPr>
      </w:pPr>
      <w:r w:rsidRPr="009F6FBF">
        <w:rPr>
          <w:i/>
          <w:iCs/>
          <w:szCs w:val="22"/>
        </w:rPr>
        <w:t>Filing Requirements</w:t>
      </w:r>
      <w:r w:rsidRPr="009F6FBF">
        <w:rPr>
          <w:szCs w:val="22"/>
        </w:rPr>
        <w:t xml:space="preserve">.  Parties may file comments, identified by </w:t>
      </w:r>
      <w:r w:rsidRPr="0051438F">
        <w:rPr>
          <w:b/>
          <w:bCs/>
          <w:szCs w:val="22"/>
        </w:rPr>
        <w:t xml:space="preserve">WT Docket No. </w:t>
      </w:r>
      <w:r w:rsidR="001C3726">
        <w:rPr>
          <w:b/>
          <w:bCs/>
          <w:szCs w:val="22"/>
        </w:rPr>
        <w:t>22</w:t>
      </w:r>
      <w:r w:rsidRPr="0051438F">
        <w:rPr>
          <w:b/>
          <w:bCs/>
          <w:szCs w:val="22"/>
        </w:rPr>
        <w:t>-</w:t>
      </w:r>
      <w:r w:rsidR="00A76056">
        <w:rPr>
          <w:b/>
          <w:bCs/>
          <w:szCs w:val="22"/>
        </w:rPr>
        <w:t>257</w:t>
      </w:r>
      <w:r w:rsidRPr="009F6FBF">
        <w:rPr>
          <w:szCs w:val="22"/>
        </w:rPr>
        <w:t>, by any of the following methods:</w:t>
      </w:r>
    </w:p>
    <w:p w:rsidR="0091477D" w:rsidRPr="009F6FBF" w:rsidP="0091477D" w14:paraId="4B687AE4" w14:textId="77777777">
      <w:pPr>
        <w:pStyle w:val="ListParagraph"/>
        <w:numPr>
          <w:ilvl w:val="0"/>
          <w:numId w:val="7"/>
        </w:numPr>
        <w:autoSpaceDE w:val="0"/>
        <w:autoSpaceDN w:val="0"/>
        <w:adjustRightInd w:val="0"/>
        <w:spacing w:after="120"/>
        <w:rPr>
          <w:szCs w:val="22"/>
        </w:rPr>
      </w:pPr>
      <w:r w:rsidRPr="009F6FBF">
        <w:rPr>
          <w:szCs w:val="22"/>
        </w:rPr>
        <w:t xml:space="preserve">Electronic Filers: Comments may be filed electronically using the internet by accessing the ECFS: </w:t>
      </w:r>
      <w:hyperlink r:id="rId5" w:history="1">
        <w:r w:rsidRPr="009F6FBF">
          <w:rPr>
            <w:rStyle w:val="Hyperlink"/>
            <w:szCs w:val="22"/>
          </w:rPr>
          <w:t>https://www.fcc.gov/ecfs/</w:t>
        </w:r>
      </w:hyperlink>
      <w:r w:rsidRPr="009F6FBF">
        <w:rPr>
          <w:szCs w:val="22"/>
        </w:rPr>
        <w:t>.</w:t>
      </w:r>
    </w:p>
    <w:p w:rsidR="0091477D" w:rsidRPr="009F6FBF" w:rsidP="0091477D" w14:paraId="023F498F" w14:textId="77777777">
      <w:pPr>
        <w:pStyle w:val="ListParagraph"/>
        <w:numPr>
          <w:ilvl w:val="0"/>
          <w:numId w:val="7"/>
        </w:numPr>
        <w:autoSpaceDE w:val="0"/>
        <w:autoSpaceDN w:val="0"/>
        <w:adjustRightInd w:val="0"/>
        <w:spacing w:after="120"/>
        <w:rPr>
          <w:szCs w:val="22"/>
        </w:rPr>
      </w:pPr>
      <w:r w:rsidRPr="009F6FBF">
        <w:rPr>
          <w:szCs w:val="22"/>
        </w:rPr>
        <w:t>Paper Filers:  Parties who choose to file by paper must file an original and one copy of each filing.</w:t>
      </w:r>
    </w:p>
    <w:p w:rsidR="0091477D" w:rsidRPr="009F6FBF" w:rsidP="0091477D" w14:paraId="50F5A66D" w14:textId="77777777">
      <w:pPr>
        <w:autoSpaceDE w:val="0"/>
        <w:autoSpaceDN w:val="0"/>
        <w:adjustRightInd w:val="0"/>
        <w:spacing w:after="120"/>
        <w:ind w:firstLine="720"/>
        <w:rPr>
          <w:szCs w:val="22"/>
        </w:rPr>
      </w:pPr>
      <w:r w:rsidRPr="009F6FBF">
        <w:rPr>
          <w:szCs w:val="22"/>
        </w:rPr>
        <w:t>Filings can be sent by commercial courier or by the U.S. Postal Service.  All filings must be addressed to the Commission’s Secretary, Office of the Secretary, Federal Communications Commission.</w:t>
      </w:r>
    </w:p>
    <w:p w:rsidR="0091477D" w:rsidRPr="009F6FBF" w:rsidP="0091477D" w14:paraId="7AFE7545" w14:textId="77777777">
      <w:pPr>
        <w:pStyle w:val="ListParagraph"/>
        <w:numPr>
          <w:ilvl w:val="0"/>
          <w:numId w:val="8"/>
        </w:numPr>
        <w:autoSpaceDE w:val="0"/>
        <w:autoSpaceDN w:val="0"/>
        <w:adjustRightInd w:val="0"/>
        <w:spacing w:after="120"/>
        <w:rPr>
          <w:szCs w:val="22"/>
        </w:rPr>
      </w:pPr>
      <w:r w:rsidRPr="009F6FBF">
        <w:rPr>
          <w:szCs w:val="22"/>
        </w:rPr>
        <w:t>Commercial deliveries (other than U.S. Postal Service Express Mail and Priority Mail) must be sent to 9050 Junction Drive, Annapolis Junction, MD 20701.</w:t>
      </w:r>
    </w:p>
    <w:p w:rsidR="0091477D" w:rsidRPr="009F6FBF" w:rsidP="0091477D" w14:paraId="0EE5C876" w14:textId="77777777">
      <w:pPr>
        <w:pStyle w:val="ListParagraph"/>
        <w:numPr>
          <w:ilvl w:val="0"/>
          <w:numId w:val="8"/>
        </w:numPr>
        <w:autoSpaceDE w:val="0"/>
        <w:autoSpaceDN w:val="0"/>
        <w:adjustRightInd w:val="0"/>
        <w:spacing w:after="120"/>
        <w:rPr>
          <w:szCs w:val="22"/>
        </w:rPr>
      </w:pPr>
      <w:r w:rsidRPr="009F6FBF">
        <w:rPr>
          <w:szCs w:val="22"/>
        </w:rPr>
        <w:t>U.S. Postal Service First-Class, Express, and Priority mail must be addressed to 45 L Street, NE, Washington, DC 20554.</w:t>
      </w:r>
    </w:p>
    <w:p w:rsidR="0091477D" w:rsidRPr="009F6FBF" w:rsidP="0091477D" w14:paraId="20481C07" w14:textId="77777777">
      <w:pPr>
        <w:pStyle w:val="ListParagraph"/>
        <w:numPr>
          <w:ilvl w:val="0"/>
          <w:numId w:val="8"/>
        </w:numPr>
        <w:autoSpaceDE w:val="0"/>
        <w:autoSpaceDN w:val="0"/>
        <w:adjustRightInd w:val="0"/>
        <w:spacing w:after="120"/>
        <w:rPr>
          <w:szCs w:val="22"/>
        </w:rPr>
      </w:pPr>
      <w:r w:rsidRPr="00ED30BF">
        <w:t>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w:t>
      </w:r>
      <w:r w:rsidRPr="009F6FBF">
        <w:rPr>
          <w:b/>
          <w:bCs/>
        </w:rPr>
        <w:t xml:space="preserve"> </w:t>
      </w:r>
      <w:hyperlink r:id="rId6" w:history="1">
        <w:r w:rsidRPr="009F6FBF">
          <w:rPr>
            <w:rStyle w:val="Hyperlink"/>
          </w:rPr>
          <w:t>https://www.fcc.gov/document/fcc-closes-headquarters-open-window-and-changeshand-delivery-policy</w:t>
        </w:r>
      </w:hyperlink>
      <w:r w:rsidRPr="009F6FBF">
        <w:rPr>
          <w:rStyle w:val="Hyperlink"/>
        </w:rPr>
        <w:t>.</w:t>
      </w:r>
    </w:p>
    <w:p w:rsidR="0091477D" w:rsidRPr="00ED30BF" w:rsidP="0091477D" w14:paraId="09680520" w14:textId="77777777">
      <w:pPr>
        <w:pStyle w:val="ListParagraph"/>
        <w:numPr>
          <w:ilvl w:val="0"/>
          <w:numId w:val="8"/>
        </w:numPr>
        <w:autoSpaceDE w:val="0"/>
        <w:autoSpaceDN w:val="0"/>
        <w:adjustRightInd w:val="0"/>
        <w:spacing w:after="120"/>
        <w:rPr>
          <w:szCs w:val="22"/>
        </w:rPr>
      </w:pPr>
      <w:r w:rsidRPr="00ED30BF">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w:t>
      </w:r>
      <w:r w:rsidRPr="00ED30BF">
        <w:t>or rulemaking number; an original and one copy are sufficient.</w:t>
      </w:r>
    </w:p>
    <w:p w:rsidR="0091477D" w:rsidRPr="009F6FBF" w:rsidP="0091477D" w14:paraId="76994229" w14:textId="77777777">
      <w:pPr>
        <w:autoSpaceDE w:val="0"/>
        <w:autoSpaceDN w:val="0"/>
        <w:adjustRightInd w:val="0"/>
        <w:spacing w:after="120"/>
        <w:ind w:firstLine="720"/>
        <w:rPr>
          <w:szCs w:val="22"/>
        </w:rPr>
      </w:pPr>
      <w:r w:rsidRPr="009F6FBF">
        <w:rPr>
          <w:i/>
          <w:iCs/>
          <w:szCs w:val="22"/>
        </w:rPr>
        <w:t>People with Disabilities</w:t>
      </w:r>
      <w:r w:rsidRPr="009F6FBF">
        <w:rPr>
          <w:szCs w:val="22"/>
        </w:rPr>
        <w:t xml:space="preserve">:  To request materials in accessible formats for people with disabilities (braille, large print, electronic files, audio format), send an e-mail to </w:t>
      </w:r>
      <w:hyperlink r:id="rId7" w:history="1">
        <w:r w:rsidRPr="009F6FBF">
          <w:rPr>
            <w:rStyle w:val="Hyperlink"/>
            <w:szCs w:val="22"/>
          </w:rPr>
          <w:t>fcc504@fcc.gov</w:t>
        </w:r>
      </w:hyperlink>
      <w:r w:rsidRPr="009F6FBF">
        <w:rPr>
          <w:szCs w:val="22"/>
        </w:rPr>
        <w:t xml:space="preserve"> or call the Consumer &amp; Government Affairs Bureau at 202-418-0530 (voice), 202-418-0432 (tty).</w:t>
      </w:r>
    </w:p>
    <w:p w:rsidR="0091477D" w:rsidRPr="009F6FBF" w:rsidP="0091477D" w14:paraId="708C1F2B" w14:textId="77777777">
      <w:pPr>
        <w:autoSpaceDE w:val="0"/>
        <w:autoSpaceDN w:val="0"/>
        <w:adjustRightInd w:val="0"/>
        <w:spacing w:after="120"/>
        <w:ind w:firstLine="720"/>
        <w:rPr>
          <w:szCs w:val="22"/>
        </w:rPr>
      </w:pPr>
      <w:r w:rsidRPr="009F6FBF">
        <w:rPr>
          <w:i/>
          <w:iCs/>
          <w:szCs w:val="22"/>
        </w:rPr>
        <w:t>Additional Information</w:t>
      </w:r>
      <w:r w:rsidRPr="009F6FBF">
        <w:rPr>
          <w:szCs w:val="22"/>
        </w:rPr>
        <w:t xml:space="preserve">.  For further information regarding this Public Notice, please contact Paul Powell, Associate Chief, Mobility Division, Wireless Telecommunications Bureau at </w:t>
      </w:r>
      <w:hyperlink r:id="rId8" w:history="1">
        <w:r w:rsidRPr="009F6FBF">
          <w:rPr>
            <w:rStyle w:val="Hyperlink"/>
            <w:szCs w:val="22"/>
          </w:rPr>
          <w:t>Paul.Powell@fcc.gov</w:t>
        </w:r>
      </w:hyperlink>
      <w:r w:rsidRPr="009F6FBF">
        <w:rPr>
          <w:szCs w:val="22"/>
        </w:rPr>
        <w:t xml:space="preserve"> or (202) 418-1613. </w:t>
      </w:r>
    </w:p>
    <w:p w:rsidR="0091477D" w:rsidRPr="00E96918" w:rsidP="0091477D" w14:paraId="4A94B3A0" w14:textId="77777777">
      <w:pPr>
        <w:keepNext/>
        <w:spacing w:after="120"/>
        <w:jc w:val="center"/>
      </w:pPr>
      <w:r w:rsidRPr="009F6FBF">
        <w:t>- FCC -</w:t>
      </w:r>
    </w:p>
    <w:p w:rsidR="0091477D" w:rsidRPr="00930ECF" w:rsidP="0091477D" w14:paraId="45BBD678" w14:textId="77777777">
      <w:pPr>
        <w:rPr>
          <w:sz w:val="24"/>
        </w:rPr>
      </w:pPr>
    </w:p>
    <w:bookmarkEnd w:id="0"/>
    <w:p w:rsidR="0091477D" w:rsidRPr="00930ECF" w:rsidP="0091477D" w14:paraId="521F8F29" w14:textId="77777777">
      <w:pPr>
        <w:rPr>
          <w:sz w:val="24"/>
        </w:rPr>
      </w:pPr>
    </w:p>
    <w:p w:rsidR="0091477D" w:rsidRPr="0091477D" w:rsidP="0091477D" w14:paraId="119E34E2"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7CF80D9D" w14:textId="77777777">
    <w:pPr>
      <w:pStyle w:val="Footer"/>
      <w:framePr w:wrap="around" w:vAnchor="text" w:hAnchor="margin" w:xAlign="center" w:y="1"/>
    </w:pPr>
    <w:r>
      <w:fldChar w:fldCharType="begin"/>
    </w:r>
    <w:r>
      <w:instrText xml:space="preserve">PAGE  </w:instrText>
    </w:r>
    <w:r w:rsidR="00944EBB">
      <w:fldChar w:fldCharType="separate"/>
    </w:r>
    <w:r>
      <w:fldChar w:fldCharType="end"/>
    </w:r>
  </w:p>
  <w:p w:rsidR="00B701CC" w14:paraId="532F4D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0CF02D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59E9C9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3F39" w14:paraId="2DC7AE87" w14:textId="77777777">
      <w:r>
        <w:separator/>
      </w:r>
    </w:p>
  </w:footnote>
  <w:footnote w:type="continuationSeparator" w:id="1">
    <w:p w:rsidR="00E73F39" w14:paraId="0A0A6416" w14:textId="77777777">
      <w:pPr>
        <w:rPr>
          <w:sz w:val="20"/>
        </w:rPr>
      </w:pPr>
      <w:r>
        <w:rPr>
          <w:sz w:val="20"/>
        </w:rPr>
        <w:t xml:space="preserve">(Continued from previous page)  </w:t>
      </w:r>
      <w:r>
        <w:rPr>
          <w:sz w:val="20"/>
        </w:rPr>
        <w:separator/>
      </w:r>
    </w:p>
  </w:footnote>
  <w:footnote w:type="continuationNotice" w:id="2">
    <w:p w:rsidR="00E73F39" w14:paraId="787A6323" w14:textId="77777777">
      <w:pPr>
        <w:jc w:val="right"/>
        <w:rPr>
          <w:sz w:val="20"/>
        </w:rPr>
      </w:pPr>
      <w:r>
        <w:rPr>
          <w:sz w:val="20"/>
        </w:rPr>
        <w:t>(continued….)</w:t>
      </w:r>
    </w:p>
  </w:footnote>
  <w:footnote w:id="3">
    <w:p w:rsidR="005F5BFF" w14:paraId="55A7151E" w14:textId="2AE5AEEF">
      <w:pPr>
        <w:pStyle w:val="FootnoteText"/>
      </w:pPr>
      <w:r>
        <w:rPr>
          <w:rStyle w:val="FootnoteReference"/>
        </w:rPr>
        <w:footnoteRef/>
      </w:r>
      <w:r>
        <w:t xml:space="preserve"> </w:t>
      </w:r>
      <w:r w:rsidR="00BF7B76">
        <w:t>47 CFR §</w:t>
      </w:r>
      <w:r w:rsidR="00B432A5">
        <w:t>§</w:t>
      </w:r>
      <w:r w:rsidR="00BF7B76">
        <w:t xml:space="preserve"> 96.39</w:t>
      </w:r>
      <w:r w:rsidR="00B432A5">
        <w:t xml:space="preserve"> (a), (c), </w:t>
      </w:r>
      <w:r w:rsidR="002F195B">
        <w:t xml:space="preserve">(d), </w:t>
      </w:r>
      <w:r w:rsidR="00B432A5">
        <w:t>(e)</w:t>
      </w:r>
      <w:r w:rsidR="002F195B">
        <w:t>, and (g)</w:t>
      </w:r>
      <w:r w:rsidR="00BF7B76">
        <w:t>.</w:t>
      </w:r>
      <w:r w:rsidR="009F7594">
        <w:t xml:space="preserve"> </w:t>
      </w:r>
      <w:r w:rsidR="003275AC">
        <w:t>Under t</w:t>
      </w:r>
      <w:r w:rsidR="0023238A">
        <w:t>hese portions of section 96.39</w:t>
      </w:r>
      <w:r w:rsidR="003275AC">
        <w:t>,</w:t>
      </w:r>
      <w:r w:rsidR="0023238A">
        <w:t xml:space="preserve"> </w:t>
      </w:r>
      <w:bookmarkStart w:id="2" w:name="_Hlk107930033"/>
      <w:r w:rsidR="00B432A5">
        <w:t>Citizen’s B</w:t>
      </w:r>
      <w:r w:rsidR="00C20DFA">
        <w:t>roadb</w:t>
      </w:r>
      <w:r w:rsidR="00B432A5">
        <w:t xml:space="preserve">and Radio Service Devices (CBSDs) </w:t>
      </w:r>
      <w:r w:rsidR="003275AC">
        <w:t xml:space="preserve">must:  </w:t>
      </w:r>
      <w:r w:rsidR="00B432A5">
        <w:t>connect with an SAS to provide geo-location information (</w:t>
      </w:r>
      <w:r w:rsidRPr="00401DE7" w:rsidR="00B432A5">
        <w:rPr>
          <w:i/>
          <w:iCs/>
        </w:rPr>
        <w:t>see</w:t>
      </w:r>
      <w:r w:rsidR="00B432A5">
        <w:t xml:space="preserve"> 47 CFR § 96.39(a)); register with an SAS prior to initial transmission (</w:t>
      </w:r>
      <w:r w:rsidRPr="00F446D0" w:rsidR="00B432A5">
        <w:rPr>
          <w:i/>
          <w:iCs/>
        </w:rPr>
        <w:t>see</w:t>
      </w:r>
      <w:r w:rsidR="00B432A5">
        <w:t xml:space="preserve"> 47 CFR § 96.39(c)); </w:t>
      </w:r>
      <w:r w:rsidR="009F7594">
        <w:t xml:space="preserve">report signal level information and other metrics of interference for </w:t>
      </w:r>
      <w:r w:rsidR="003275AC">
        <w:t>themselves</w:t>
      </w:r>
      <w:r w:rsidR="009F7594">
        <w:t xml:space="preserve"> and end use devices (</w:t>
      </w:r>
      <w:r w:rsidRPr="003634B2" w:rsidR="009F7594">
        <w:rPr>
          <w:i/>
          <w:iCs/>
        </w:rPr>
        <w:t>see</w:t>
      </w:r>
      <w:r w:rsidR="009F7594">
        <w:t xml:space="preserve"> 47 CFR § 96.39(d));</w:t>
      </w:r>
      <w:r w:rsidR="00B432A5">
        <w:t xml:space="preserve"> report promptly to the SAS which available frequencies or channels they will use</w:t>
      </w:r>
      <w:r w:rsidR="003275AC">
        <w:t xml:space="preserve">, if the devices </w:t>
      </w:r>
      <w:r w:rsidRPr="003275AC" w:rsidR="003275AC">
        <w:t>receive a range of available frequencies</w:t>
      </w:r>
      <w:r w:rsidR="00B432A5">
        <w:t xml:space="preserve"> (</w:t>
      </w:r>
      <w:r w:rsidRPr="00F446D0" w:rsidR="00B432A5">
        <w:rPr>
          <w:i/>
          <w:iCs/>
        </w:rPr>
        <w:t>see</w:t>
      </w:r>
      <w:r w:rsidR="00B432A5">
        <w:t xml:space="preserve"> 47 CFR § 96.39(e))</w:t>
      </w:r>
      <w:r w:rsidR="009F7594">
        <w:t xml:space="preserve">; and ensure device security, </w:t>
      </w:r>
      <w:r w:rsidRPr="00F446D0" w:rsidR="009F7594">
        <w:rPr>
          <w:i/>
          <w:iCs/>
        </w:rPr>
        <w:t>i.e.</w:t>
      </w:r>
      <w:r w:rsidR="009F7594">
        <w:t>, employ security features sufficient to protect against modification of software and firmware by unauthorized parties</w:t>
      </w:r>
      <w:r w:rsidR="003C2FBE">
        <w:t xml:space="preserve"> (see </w:t>
      </w:r>
      <w:r w:rsidR="009F7594">
        <w:t>47 CFR § 96.39(g)</w:t>
      </w:r>
      <w:r w:rsidR="003C2FBE">
        <w:t>)</w:t>
      </w:r>
      <w:r w:rsidR="00B432A5">
        <w:t>.</w:t>
      </w:r>
      <w:bookmarkEnd w:id="2"/>
    </w:p>
  </w:footnote>
  <w:footnote w:id="4">
    <w:p w:rsidR="005F5BFF" w14:paraId="07F9F034" w14:textId="6FC06646">
      <w:pPr>
        <w:pStyle w:val="FootnoteText"/>
      </w:pPr>
      <w:r>
        <w:rPr>
          <w:rStyle w:val="FootnoteReference"/>
        </w:rPr>
        <w:footnoteRef/>
      </w:r>
      <w:r>
        <w:t xml:space="preserve"> </w:t>
      </w:r>
      <w:r w:rsidR="00567299">
        <w:t xml:space="preserve">Request of </w:t>
      </w:r>
      <w:r w:rsidR="00FB72BF">
        <w:t>University of Utah for Waiver of the Commission’s Citizen’s Band Radio Service Rules to Authorize Use of Software-Defined Radio Equipment to Interact with the Spectrum Access System (filed Mar. 31, 2022)</w:t>
      </w:r>
      <w:r w:rsidR="00567299">
        <w:t xml:space="preserve">, </w:t>
      </w:r>
      <w:hyperlink r:id="rId1" w:history="1">
        <w:r w:rsidRPr="00F06DCA" w:rsidR="007A1290">
          <w:rPr>
            <w:rStyle w:val="Hyperlink"/>
          </w:rPr>
          <w:t>https://www.fcc.gov/ecfs/file/download/DOC-5ff85db8a8800000-A.PDF?file_name=01599085.PDF</w:t>
        </w:r>
      </w:hyperlink>
      <w:r w:rsidR="007A1290">
        <w:t xml:space="preserve"> </w:t>
      </w:r>
      <w:r w:rsidR="00FB72BF">
        <w:t>(</w:t>
      </w:r>
      <w:r w:rsidRPr="00FB72BF" w:rsidR="00FB72BF">
        <w:rPr>
          <w:i/>
          <w:iCs/>
        </w:rPr>
        <w:t>Waiver Request</w:t>
      </w:r>
      <w:r w:rsidR="00FB72BF">
        <w:t>).</w:t>
      </w:r>
      <w:r w:rsidR="00112AEB">
        <w:t xml:space="preserve">  </w:t>
      </w:r>
    </w:p>
  </w:footnote>
  <w:footnote w:id="5">
    <w:p w:rsidR="00021B49" w:rsidRPr="00567299" w14:paraId="70547681" w14:textId="0F73AD89">
      <w:pPr>
        <w:pStyle w:val="FootnoteText"/>
      </w:pPr>
      <w:r>
        <w:rPr>
          <w:rStyle w:val="FootnoteReference"/>
        </w:rPr>
        <w:footnoteRef/>
      </w:r>
      <w:r>
        <w:t xml:space="preserve"> </w:t>
      </w:r>
      <w:r w:rsidRPr="00DF2EA7" w:rsidR="00DF2EA7">
        <w:rPr>
          <w:i/>
          <w:iCs/>
        </w:rPr>
        <w:t>See</w:t>
      </w:r>
      <w:r w:rsidR="00DF2EA7">
        <w:t xml:space="preserve"> </w:t>
      </w:r>
      <w:r w:rsidRPr="00DF2EA7" w:rsidR="00FB72BF">
        <w:rPr>
          <w:i/>
          <w:iCs/>
        </w:rPr>
        <w:t>Waiver Request</w:t>
      </w:r>
      <w:r w:rsidR="00FB72BF">
        <w:t xml:space="preserve"> at </w:t>
      </w:r>
      <w:r w:rsidR="00DF2EA7">
        <w:t>2.</w:t>
      </w:r>
      <w:r w:rsidRPr="00B432A5" w:rsidR="00B432A5">
        <w:rPr>
          <w:szCs w:val="22"/>
        </w:rPr>
        <w:t xml:space="preserve"> </w:t>
      </w:r>
      <w:r w:rsidR="00B432A5">
        <w:rPr>
          <w:szCs w:val="22"/>
        </w:rPr>
        <w:t xml:space="preserve">The POWDER platform </w:t>
      </w:r>
      <w:r w:rsidR="006F2F18">
        <w:rPr>
          <w:szCs w:val="22"/>
        </w:rPr>
        <w:t xml:space="preserve">operates within an </w:t>
      </w:r>
      <w:r w:rsidR="00B432A5">
        <w:rPr>
          <w:szCs w:val="22"/>
        </w:rPr>
        <w:t>Innovation Zone compris</w:t>
      </w:r>
      <w:r w:rsidR="006F2F18">
        <w:rPr>
          <w:szCs w:val="22"/>
        </w:rPr>
        <w:t>ing</w:t>
      </w:r>
      <w:r w:rsidR="00B432A5">
        <w:rPr>
          <w:szCs w:val="22"/>
        </w:rPr>
        <w:t xml:space="preserve"> approximately four square miles of Salt Lake City</w:t>
      </w:r>
      <w:r w:rsidR="006F2F18">
        <w:rPr>
          <w:szCs w:val="22"/>
        </w:rPr>
        <w:t xml:space="preserve"> that</w:t>
      </w:r>
      <w:r w:rsidR="00B432A5">
        <w:rPr>
          <w:szCs w:val="22"/>
        </w:rPr>
        <w:t xml:space="preserve"> includ</w:t>
      </w:r>
      <w:r w:rsidR="006F2F18">
        <w:rPr>
          <w:szCs w:val="22"/>
        </w:rPr>
        <w:t>es</w:t>
      </w:r>
      <w:r w:rsidR="00B432A5">
        <w:rPr>
          <w:szCs w:val="22"/>
        </w:rPr>
        <w:t xml:space="preserve"> a section of the University, </w:t>
      </w:r>
      <w:r w:rsidR="006F2F18">
        <w:rPr>
          <w:szCs w:val="22"/>
        </w:rPr>
        <w:t>downtown Salt Lake City,</w:t>
      </w:r>
      <w:r w:rsidR="00B432A5">
        <w:rPr>
          <w:szCs w:val="22"/>
        </w:rPr>
        <w:t xml:space="preserve"> and a corridor connecting those areas.</w:t>
      </w:r>
      <w:r w:rsidRPr="00B432A5" w:rsidR="00B432A5">
        <w:rPr>
          <w:i/>
          <w:iCs/>
        </w:rPr>
        <w:t xml:space="preserve"> </w:t>
      </w:r>
      <w:r w:rsidRPr="005F11CE" w:rsidR="00B432A5">
        <w:rPr>
          <w:i/>
          <w:iCs/>
        </w:rPr>
        <w:t>Id</w:t>
      </w:r>
      <w:r w:rsidR="00B432A5">
        <w:t>. at 2-3, Exhibit A</w:t>
      </w:r>
      <w:r w:rsidR="00567299">
        <w:t xml:space="preserve">.  The Office of Engineering and Technology created the innovation zone for Salt Lake City to provide opportunities for qualified licensees to test new advanced technologies and protype networks.  </w:t>
      </w:r>
      <w:r w:rsidR="00567299">
        <w:rPr>
          <w:i/>
          <w:iCs/>
        </w:rPr>
        <w:t>Office of Engineering and Technology Announces First Innovation Zones for Program Experimental Licenses</w:t>
      </w:r>
      <w:r w:rsidR="00567299">
        <w:t>, ET Docket No. 19-257, Public Notice, 34 FCC Rcd 8130 (OET 2019).  The POWDER platform is also part of the National Science Foundation’s (NSF) Platforms for Advanced Wireless Research (PAWR) program and is funded in part by an NSF award and the PAWR industry consortium.</w:t>
      </w:r>
      <w:r w:rsidR="003A4773">
        <w:t xml:space="preserve">  Advanced Wireless, Salt Lake City Powder-Renew, </w:t>
      </w:r>
      <w:hyperlink r:id="rId2" w:history="1">
        <w:r w:rsidRPr="00A467C2" w:rsidR="003A4773">
          <w:rPr>
            <w:rStyle w:val="Hyperlink"/>
          </w:rPr>
          <w:t>https://advancedwireless.org/salt-lake-city/</w:t>
        </w:r>
      </w:hyperlink>
      <w:r w:rsidR="003A4773">
        <w:t xml:space="preserve"> (last visited July 1, 2022).</w:t>
      </w:r>
    </w:p>
  </w:footnote>
  <w:footnote w:id="6">
    <w:p w:rsidR="001C4B6F" w:rsidP="001C4B6F" w14:paraId="1A3F35BE" w14:textId="0A3129E9">
      <w:pPr>
        <w:pStyle w:val="FootnoteText"/>
      </w:pPr>
      <w:r>
        <w:rPr>
          <w:rStyle w:val="FootnoteReference"/>
        </w:rPr>
        <w:footnoteRef/>
      </w:r>
      <w:r>
        <w:t xml:space="preserve"> </w:t>
      </w:r>
      <w:r w:rsidRPr="007A1290" w:rsidR="003A4773">
        <w:rPr>
          <w:i/>
          <w:iCs/>
        </w:rPr>
        <w:t>Waiver Request</w:t>
      </w:r>
      <w:r>
        <w:t xml:space="preserve"> at </w:t>
      </w:r>
      <w:r w:rsidR="00112AEB">
        <w:t>2</w:t>
      </w:r>
      <w:r>
        <w:t>.</w:t>
      </w:r>
    </w:p>
  </w:footnote>
  <w:footnote w:id="7">
    <w:p w:rsidR="002326B2" w:rsidP="002326B2" w14:paraId="3408961E" w14:textId="50AE106C">
      <w:pPr>
        <w:pStyle w:val="FootnoteText"/>
      </w:pPr>
      <w:r>
        <w:rPr>
          <w:rStyle w:val="FootnoteReference"/>
        </w:rPr>
        <w:footnoteRef/>
      </w:r>
      <w:r>
        <w:t xml:space="preserve"> </w:t>
      </w:r>
      <w:r w:rsidRPr="00E316A9" w:rsidR="00C20DFA">
        <w:rPr>
          <w:i/>
          <w:iCs/>
        </w:rPr>
        <w:t>Id</w:t>
      </w:r>
      <w:r w:rsidR="00C20DFA">
        <w:t>. at 4-5.</w:t>
      </w:r>
    </w:p>
  </w:footnote>
  <w:footnote w:id="8">
    <w:p w:rsidR="00722A66" w:rsidP="00722A66" w14:paraId="1736EC32" w14:textId="77777777">
      <w:pPr>
        <w:pStyle w:val="FootnoteText"/>
      </w:pPr>
      <w:r>
        <w:rPr>
          <w:rStyle w:val="FootnoteReference"/>
        </w:rPr>
        <w:footnoteRef/>
      </w:r>
      <w:r>
        <w:t xml:space="preserve"> </w:t>
      </w:r>
      <w:r w:rsidRPr="00BF406B">
        <w:rPr>
          <w:i/>
          <w:iCs/>
        </w:rPr>
        <w:t>See</w:t>
      </w:r>
      <w:r>
        <w:t xml:space="preserve"> </w:t>
      </w:r>
      <w:r w:rsidRPr="00BF406B">
        <w:rPr>
          <w:i/>
          <w:iCs/>
        </w:rPr>
        <w:t>Waiver Request</w:t>
      </w:r>
      <w:r>
        <w:t xml:space="preserve"> at 5.</w:t>
      </w:r>
    </w:p>
  </w:footnote>
  <w:footnote w:id="9">
    <w:p w:rsidR="006E5F04" w:rsidP="006E5F04" w14:paraId="2899CB5A" w14:textId="1B2195C8">
      <w:pPr>
        <w:pStyle w:val="FootnoteText"/>
      </w:pPr>
      <w:r>
        <w:rPr>
          <w:rStyle w:val="FootnoteReference"/>
        </w:rPr>
        <w:footnoteRef/>
      </w:r>
      <w:r>
        <w:t xml:space="preserve"> 47 CFR § 96.39</w:t>
      </w:r>
      <w:r w:rsidR="009F7594">
        <w:t>(d)</w:t>
      </w:r>
      <w:r>
        <w:t xml:space="preserve">.  </w:t>
      </w:r>
    </w:p>
  </w:footnote>
  <w:footnote w:id="10">
    <w:p w:rsidR="00B37BAC" w14:paraId="64A77E80" w14:textId="58A1EB62">
      <w:pPr>
        <w:pStyle w:val="FootnoteText"/>
      </w:pPr>
      <w:r>
        <w:rPr>
          <w:rStyle w:val="FootnoteReference"/>
        </w:rPr>
        <w:footnoteRef/>
      </w:r>
      <w:r>
        <w:t xml:space="preserve"> </w:t>
      </w:r>
      <w:r w:rsidRPr="00B37BAC">
        <w:rPr>
          <w:i/>
          <w:iCs/>
        </w:rPr>
        <w:t>Waiver Request</w:t>
      </w:r>
      <w:r>
        <w:t xml:space="preserve"> at 7.</w:t>
      </w:r>
    </w:p>
  </w:footnote>
  <w:footnote w:id="11">
    <w:p w:rsidR="00FA0BE9" w14:paraId="66CC3453" w14:textId="6B8A54C8">
      <w:pPr>
        <w:pStyle w:val="FootnoteText"/>
      </w:pPr>
      <w:r>
        <w:rPr>
          <w:rStyle w:val="FootnoteReference"/>
        </w:rPr>
        <w:footnoteRef/>
      </w:r>
      <w:r>
        <w:t xml:space="preserve"> </w:t>
      </w:r>
      <w:r w:rsidR="006E5F04">
        <w:t>47 CFR § 96.39(g).</w:t>
      </w:r>
    </w:p>
  </w:footnote>
  <w:footnote w:id="12">
    <w:p w:rsidR="00FA0BE9" w14:paraId="530F5B92" w14:textId="50BF4922">
      <w:pPr>
        <w:pStyle w:val="FootnoteText"/>
      </w:pPr>
      <w:r>
        <w:rPr>
          <w:rStyle w:val="FootnoteReference"/>
        </w:rPr>
        <w:footnoteRef/>
      </w:r>
      <w:r>
        <w:t xml:space="preserve"> </w:t>
      </w:r>
      <w:r w:rsidRPr="00FA0BE9">
        <w:rPr>
          <w:i/>
          <w:iCs/>
        </w:rPr>
        <w:t>Waiver Request</w:t>
      </w:r>
      <w:r>
        <w:t xml:space="preserve"> 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3EBAC6AE" w14:textId="66321863">
    <w:pPr>
      <w:tabs>
        <w:tab w:val="center" w:pos="4680"/>
        <w:tab w:val="right" w:pos="9360"/>
      </w:tabs>
    </w:pPr>
    <w:r>
      <w:rPr>
        <w:b/>
      </w:rPr>
      <w:tab/>
      <w:t>Federal Communications Commission</w:t>
    </w:r>
    <w:r>
      <w:rPr>
        <w:b/>
      </w:rPr>
      <w:tab/>
    </w:r>
    <w:r w:rsidR="009F6FBF">
      <w:rPr>
        <w:b/>
      </w:rPr>
      <w:t>DA 2</w:t>
    </w:r>
    <w:r w:rsidR="00A0357C">
      <w:rPr>
        <w:b/>
      </w:rPr>
      <w:t>2</w:t>
    </w:r>
    <w:r w:rsidR="009F6FBF">
      <w:rPr>
        <w:b/>
      </w:rPr>
      <w:t>-</w:t>
    </w:r>
    <w:r w:rsidR="00A76056">
      <w:rPr>
        <w:b/>
      </w:rPr>
      <w:t>720</w:t>
    </w:r>
  </w:p>
  <w:p w:rsidR="00B701CC" w14:paraId="1E64C46D" w14:textId="6DD755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701CC" w14:paraId="1AD03A7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CC" w14:paraId="2485B8DC" w14:textId="288574D9">
    <w:pPr>
      <w:pStyle w:val="Header"/>
      <w:rPr>
        <w:noProof/>
        <w:snapToGrid/>
      </w:rPr>
    </w:pPr>
    <w:r>
      <w:rPr>
        <w:noProof/>
        <w:snapToGrid/>
      </w:rPr>
      <w:drawing>
        <wp:inline distT="0" distB="0" distL="0" distR="0">
          <wp:extent cx="657606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6060" cy="1409700"/>
                  </a:xfrm>
                  <a:prstGeom prst="rect">
                    <a:avLst/>
                  </a:prstGeom>
                  <a:noFill/>
                  <a:ln>
                    <a:noFill/>
                  </a:ln>
                </pic:spPr>
              </pic:pic>
            </a:graphicData>
          </a:graphic>
        </wp:inline>
      </w:drawing>
    </w:r>
  </w:p>
  <w:p w:rsidR="00B701CC" w14:paraId="3911A1F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1A008B"/>
    <w:multiLevelType w:val="hybridMultilevel"/>
    <w:tmpl w:val="1E805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8B27A2"/>
    <w:multiLevelType w:val="hybridMultilevel"/>
    <w:tmpl w:val="75FCA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7D"/>
    <w:rsid w:val="00021B49"/>
    <w:rsid w:val="00030079"/>
    <w:rsid w:val="00033CF3"/>
    <w:rsid w:val="00037429"/>
    <w:rsid w:val="00071B9F"/>
    <w:rsid w:val="00082019"/>
    <w:rsid w:val="000D7236"/>
    <w:rsid w:val="00112AEB"/>
    <w:rsid w:val="00126FB8"/>
    <w:rsid w:val="00137C98"/>
    <w:rsid w:val="00142EB0"/>
    <w:rsid w:val="00156F89"/>
    <w:rsid w:val="0017519E"/>
    <w:rsid w:val="001954CF"/>
    <w:rsid w:val="001C3726"/>
    <w:rsid w:val="001C4B6F"/>
    <w:rsid w:val="001C5F5E"/>
    <w:rsid w:val="001F4CD7"/>
    <w:rsid w:val="00214F94"/>
    <w:rsid w:val="002306A1"/>
    <w:rsid w:val="0023238A"/>
    <w:rsid w:val="002326B2"/>
    <w:rsid w:val="0023766B"/>
    <w:rsid w:val="00260909"/>
    <w:rsid w:val="00286F9C"/>
    <w:rsid w:val="00292282"/>
    <w:rsid w:val="002F195B"/>
    <w:rsid w:val="003275AC"/>
    <w:rsid w:val="003634B2"/>
    <w:rsid w:val="003A4773"/>
    <w:rsid w:val="003A4E89"/>
    <w:rsid w:val="003B4C2D"/>
    <w:rsid w:val="003C2FBE"/>
    <w:rsid w:val="003D5FC7"/>
    <w:rsid w:val="003E041F"/>
    <w:rsid w:val="003F4977"/>
    <w:rsid w:val="00401DE7"/>
    <w:rsid w:val="0040474B"/>
    <w:rsid w:val="00415DD2"/>
    <w:rsid w:val="00431E23"/>
    <w:rsid w:val="00434224"/>
    <w:rsid w:val="004542BD"/>
    <w:rsid w:val="0045476F"/>
    <w:rsid w:val="004640DA"/>
    <w:rsid w:val="004D0FDF"/>
    <w:rsid w:val="004E0837"/>
    <w:rsid w:val="0051438F"/>
    <w:rsid w:val="00520BAE"/>
    <w:rsid w:val="00541B2D"/>
    <w:rsid w:val="005644F4"/>
    <w:rsid w:val="00567299"/>
    <w:rsid w:val="005F11CE"/>
    <w:rsid w:val="005F4A3A"/>
    <w:rsid w:val="005F5BFF"/>
    <w:rsid w:val="0063692A"/>
    <w:rsid w:val="00643E9D"/>
    <w:rsid w:val="00646A4A"/>
    <w:rsid w:val="00654B35"/>
    <w:rsid w:val="00667232"/>
    <w:rsid w:val="006C54FB"/>
    <w:rsid w:val="006D42CB"/>
    <w:rsid w:val="006E5F04"/>
    <w:rsid w:val="006F2F18"/>
    <w:rsid w:val="00722A66"/>
    <w:rsid w:val="00770B46"/>
    <w:rsid w:val="00772AB5"/>
    <w:rsid w:val="00782450"/>
    <w:rsid w:val="0078460F"/>
    <w:rsid w:val="00787350"/>
    <w:rsid w:val="007A1290"/>
    <w:rsid w:val="007D23F5"/>
    <w:rsid w:val="007D4FC4"/>
    <w:rsid w:val="007E1135"/>
    <w:rsid w:val="007E6C55"/>
    <w:rsid w:val="0083150B"/>
    <w:rsid w:val="00841562"/>
    <w:rsid w:val="008452B9"/>
    <w:rsid w:val="00861D14"/>
    <w:rsid w:val="00867485"/>
    <w:rsid w:val="00881BF0"/>
    <w:rsid w:val="00884A0F"/>
    <w:rsid w:val="008D7BBD"/>
    <w:rsid w:val="0091106A"/>
    <w:rsid w:val="0091477D"/>
    <w:rsid w:val="00930ECF"/>
    <w:rsid w:val="00944E19"/>
    <w:rsid w:val="00944EBB"/>
    <w:rsid w:val="00954EDD"/>
    <w:rsid w:val="009B43C7"/>
    <w:rsid w:val="009C0B06"/>
    <w:rsid w:val="009F0F84"/>
    <w:rsid w:val="009F6FBF"/>
    <w:rsid w:val="009F7594"/>
    <w:rsid w:val="00A0357C"/>
    <w:rsid w:val="00A467C2"/>
    <w:rsid w:val="00A731F5"/>
    <w:rsid w:val="00A76056"/>
    <w:rsid w:val="00A95186"/>
    <w:rsid w:val="00AC4E5F"/>
    <w:rsid w:val="00AF2250"/>
    <w:rsid w:val="00B17AC4"/>
    <w:rsid w:val="00B32528"/>
    <w:rsid w:val="00B3480F"/>
    <w:rsid w:val="00B37BAC"/>
    <w:rsid w:val="00B432A5"/>
    <w:rsid w:val="00B701CC"/>
    <w:rsid w:val="00BC2A2A"/>
    <w:rsid w:val="00BF406B"/>
    <w:rsid w:val="00BF7B76"/>
    <w:rsid w:val="00C12C19"/>
    <w:rsid w:val="00C1437E"/>
    <w:rsid w:val="00C20DFA"/>
    <w:rsid w:val="00C455EE"/>
    <w:rsid w:val="00C97738"/>
    <w:rsid w:val="00CB12A9"/>
    <w:rsid w:val="00D25387"/>
    <w:rsid w:val="00D67E8A"/>
    <w:rsid w:val="00DA7DEC"/>
    <w:rsid w:val="00DE2E46"/>
    <w:rsid w:val="00DF2EA7"/>
    <w:rsid w:val="00E316A9"/>
    <w:rsid w:val="00E440D1"/>
    <w:rsid w:val="00E72AF1"/>
    <w:rsid w:val="00E73F39"/>
    <w:rsid w:val="00E82518"/>
    <w:rsid w:val="00E96918"/>
    <w:rsid w:val="00ED30BF"/>
    <w:rsid w:val="00F06DCA"/>
    <w:rsid w:val="00F14041"/>
    <w:rsid w:val="00F349C3"/>
    <w:rsid w:val="00F446D0"/>
    <w:rsid w:val="00F471A2"/>
    <w:rsid w:val="00F77C98"/>
    <w:rsid w:val="00F86DBB"/>
    <w:rsid w:val="00F92C07"/>
    <w:rsid w:val="00FA0BE9"/>
    <w:rsid w:val="00FB72BF"/>
    <w:rsid w:val="00FB78AC"/>
    <w:rsid w:val="00FC6FD5"/>
    <w:rsid w:val="00FC7E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E53F78"/>
  <w15:chartTrackingRefBased/>
  <w15:docId w15:val="{D6035261-1923-40A8-A9A2-CCE63E85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7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914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7D"/>
    <w:rPr>
      <w:rFonts w:ascii="Segoe UI" w:hAnsi="Segoe UI" w:cs="Segoe UI"/>
      <w:snapToGrid w:val="0"/>
      <w:kern w:val="28"/>
      <w:sz w:val="18"/>
      <w:szCs w:val="1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91477D"/>
  </w:style>
  <w:style w:type="paragraph" w:styleId="NoSpacing">
    <w:name w:val="No Spacing"/>
    <w:uiPriority w:val="1"/>
    <w:qFormat/>
    <w:rsid w:val="0091477D"/>
    <w:rPr>
      <w:sz w:val="22"/>
    </w:rPr>
  </w:style>
  <w:style w:type="paragraph" w:styleId="ListParagraph">
    <w:name w:val="List Paragraph"/>
    <w:basedOn w:val="Normal"/>
    <w:uiPriority w:val="34"/>
    <w:qFormat/>
    <w:rsid w:val="0091477D"/>
    <w:pPr>
      <w:ind w:left="720"/>
      <w:contextualSpacing/>
    </w:pPr>
  </w:style>
  <w:style w:type="paragraph" w:styleId="Revision">
    <w:name w:val="Revision"/>
    <w:hidden/>
    <w:uiPriority w:val="99"/>
    <w:semiHidden/>
    <w:rsid w:val="00884A0F"/>
    <w:rPr>
      <w:snapToGrid w:val="0"/>
      <w:kern w:val="28"/>
      <w:sz w:val="22"/>
    </w:rPr>
  </w:style>
  <w:style w:type="character" w:styleId="CommentReference">
    <w:name w:val="annotation reference"/>
    <w:basedOn w:val="DefaultParagraphFont"/>
    <w:uiPriority w:val="99"/>
    <w:semiHidden/>
    <w:unhideWhenUsed/>
    <w:rsid w:val="00F92C07"/>
    <w:rPr>
      <w:sz w:val="16"/>
      <w:szCs w:val="16"/>
    </w:rPr>
  </w:style>
  <w:style w:type="paragraph" w:styleId="CommentText">
    <w:name w:val="annotation text"/>
    <w:basedOn w:val="Normal"/>
    <w:link w:val="CommentTextChar"/>
    <w:uiPriority w:val="99"/>
    <w:unhideWhenUsed/>
    <w:rsid w:val="00F92C07"/>
    <w:rPr>
      <w:sz w:val="20"/>
    </w:rPr>
  </w:style>
  <w:style w:type="character" w:customStyle="1" w:styleId="CommentTextChar">
    <w:name w:val="Comment Text Char"/>
    <w:basedOn w:val="DefaultParagraphFont"/>
    <w:link w:val="CommentText"/>
    <w:uiPriority w:val="99"/>
    <w:rsid w:val="00F92C07"/>
    <w:rPr>
      <w:snapToGrid w:val="0"/>
      <w:kern w:val="28"/>
    </w:rPr>
  </w:style>
  <w:style w:type="paragraph" w:styleId="CommentSubject">
    <w:name w:val="annotation subject"/>
    <w:basedOn w:val="CommentText"/>
    <w:next w:val="CommentText"/>
    <w:link w:val="CommentSubjectChar"/>
    <w:uiPriority w:val="99"/>
    <w:semiHidden/>
    <w:unhideWhenUsed/>
    <w:rsid w:val="00F92C07"/>
    <w:rPr>
      <w:b/>
      <w:bCs/>
    </w:rPr>
  </w:style>
  <w:style w:type="character" w:customStyle="1" w:styleId="CommentSubjectChar">
    <w:name w:val="Comment Subject Char"/>
    <w:basedOn w:val="CommentTextChar"/>
    <w:link w:val="CommentSubject"/>
    <w:uiPriority w:val="99"/>
    <w:semiHidden/>
    <w:rsid w:val="00F92C07"/>
    <w:rPr>
      <w:b/>
      <w:bCs/>
      <w:snapToGrid w:val="0"/>
      <w:kern w:val="28"/>
    </w:rPr>
  </w:style>
  <w:style w:type="character" w:customStyle="1" w:styleId="UnresolvedMention">
    <w:name w:val="Unresolved Mention"/>
    <w:basedOn w:val="DefaultParagraphFont"/>
    <w:uiPriority w:val="99"/>
    <w:rsid w:val="003A4E89"/>
    <w:rPr>
      <w:color w:val="605E5C"/>
      <w:shd w:val="clear" w:color="auto" w:fill="E1DFDD"/>
    </w:rPr>
  </w:style>
  <w:style w:type="character" w:styleId="PlaceholderText">
    <w:name w:val="Placeholder Text"/>
    <w:basedOn w:val="DefaultParagraphFont"/>
    <w:uiPriority w:val="99"/>
    <w:semiHidden/>
    <w:rsid w:val="007D4FC4"/>
    <w:rPr>
      <w:color w:val="808080"/>
    </w:rPr>
  </w:style>
  <w:style w:type="character" w:styleId="FollowedHyperlink">
    <w:name w:val="FollowedHyperlink"/>
    <w:basedOn w:val="DefaultParagraphFont"/>
    <w:uiPriority w:val="99"/>
    <w:semiHidden/>
    <w:unhideWhenUsed/>
    <w:rsid w:val="00454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Paul.Powell@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ff85db8a8800000-A.PDF?file_name=01599085.PDF" TargetMode="External" /><Relationship Id="rId2" Type="http://schemas.openxmlformats.org/officeDocument/2006/relationships/hyperlink" Target="https://advancedwireless.org/salt-lake-cit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