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10BEF" w14:paraId="72E09964" w14:textId="77777777">
      <w:pPr>
        <w:jc w:val="right"/>
        <w:rPr>
          <w:sz w:val="24"/>
        </w:rPr>
      </w:pPr>
    </w:p>
    <w:p w:rsidR="009A172D" w14:paraId="2D698206" w14:textId="2531C8AA">
      <w:pPr>
        <w:spacing w:before="60"/>
        <w:jc w:val="right"/>
        <w:rPr>
          <w:b/>
          <w:sz w:val="24"/>
        </w:rPr>
      </w:pPr>
      <w:r>
        <w:rPr>
          <w:b/>
          <w:sz w:val="24"/>
        </w:rPr>
        <w:t xml:space="preserve">DA </w:t>
      </w:r>
      <w:r w:rsidR="00FA3F63">
        <w:rPr>
          <w:b/>
          <w:sz w:val="24"/>
        </w:rPr>
        <w:t>22</w:t>
      </w:r>
      <w:r>
        <w:rPr>
          <w:b/>
          <w:sz w:val="24"/>
        </w:rPr>
        <w:t>-</w:t>
      </w:r>
      <w:r w:rsidR="000240BF">
        <w:rPr>
          <w:b/>
          <w:sz w:val="24"/>
        </w:rPr>
        <w:t>726</w:t>
      </w:r>
    </w:p>
    <w:p w:rsidR="00310BEF" w14:paraId="43ADDAD9" w14:textId="28BFDB8C">
      <w:pPr>
        <w:spacing w:before="60"/>
        <w:jc w:val="right"/>
        <w:rPr>
          <w:b/>
          <w:sz w:val="24"/>
        </w:rPr>
      </w:pPr>
      <w:r>
        <w:rPr>
          <w:b/>
          <w:sz w:val="24"/>
        </w:rPr>
        <w:t xml:space="preserve">Released:  </w:t>
      </w:r>
      <w:r w:rsidR="003177A7">
        <w:rPr>
          <w:b/>
          <w:sz w:val="24"/>
        </w:rPr>
        <w:t>July 2</w:t>
      </w:r>
      <w:r w:rsidR="004D7272">
        <w:rPr>
          <w:b/>
          <w:sz w:val="24"/>
        </w:rPr>
        <w:t>7</w:t>
      </w:r>
      <w:r w:rsidR="003177A7">
        <w:rPr>
          <w:b/>
          <w:sz w:val="24"/>
        </w:rPr>
        <w:t>, 2022</w:t>
      </w:r>
    </w:p>
    <w:p w:rsidR="00310BEF" w14:paraId="7FB19949" w14:textId="77777777">
      <w:pPr>
        <w:jc w:val="right"/>
        <w:rPr>
          <w:sz w:val="24"/>
        </w:rPr>
      </w:pPr>
    </w:p>
    <w:p w:rsidR="00222633" w:rsidRPr="00E21304" w:rsidP="00222633" w14:paraId="5B527948" w14:textId="77777777">
      <w:pPr>
        <w:spacing w:after="240"/>
        <w:jc w:val="center"/>
        <w:rPr>
          <w:b/>
          <w:caps/>
          <w:sz w:val="24"/>
        </w:rPr>
      </w:pPr>
      <w:r w:rsidRPr="00E524E2">
        <w:rPr>
          <w:b/>
          <w:caps/>
          <w:sz w:val="24"/>
        </w:rPr>
        <w:t>WIRELESS TELECOMMUNICATIONS BUREAU GRANT</w:t>
      </w:r>
      <w:r>
        <w:rPr>
          <w:b/>
          <w:caps/>
          <w:sz w:val="24"/>
        </w:rPr>
        <w:t>s</w:t>
      </w:r>
      <w:r w:rsidRPr="00E524E2">
        <w:rPr>
          <w:b/>
          <w:caps/>
          <w:sz w:val="24"/>
        </w:rPr>
        <w:t xml:space="preserve"> 900 mhz broadband segment applications </w:t>
      </w:r>
    </w:p>
    <w:p w:rsidR="00310BEF" w14:paraId="0603B16D" w14:textId="77777777">
      <w:pPr>
        <w:jc w:val="center"/>
        <w:rPr>
          <w:b/>
          <w:sz w:val="24"/>
        </w:rPr>
      </w:pPr>
      <w:r>
        <w:rPr>
          <w:b/>
          <w:sz w:val="24"/>
        </w:rPr>
        <w:t xml:space="preserve">WT Docket No. </w:t>
      </w:r>
      <w:r w:rsidRPr="00A01D93">
        <w:rPr>
          <w:b/>
          <w:sz w:val="24"/>
        </w:rPr>
        <w:t>17-200</w:t>
      </w:r>
    </w:p>
    <w:p w:rsidR="00310BEF" w14:paraId="56BA5626" w14:textId="77777777">
      <w:bookmarkStart w:id="0" w:name="TOChere"/>
    </w:p>
    <w:bookmarkEnd w:id="0"/>
    <w:p w:rsidR="00222633" w:rsidP="00222633" w14:paraId="4587C872" w14:textId="39C9EDFC">
      <w:pPr>
        <w:pStyle w:val="ParaNum"/>
        <w:numPr>
          <w:ilvl w:val="0"/>
          <w:numId w:val="0"/>
        </w:numPr>
        <w:ind w:firstLine="720"/>
        <w:rPr>
          <w:rFonts w:eastAsia="Calibri"/>
          <w:snapToGrid/>
          <w:kern w:val="0"/>
          <w:szCs w:val="22"/>
        </w:rPr>
      </w:pPr>
      <w:r w:rsidRPr="007422D9">
        <w:rPr>
          <w:bCs/>
          <w:szCs w:val="22"/>
        </w:rPr>
        <w:t xml:space="preserve">By this </w:t>
      </w:r>
      <w:r w:rsidRPr="00AE010F">
        <w:rPr>
          <w:rFonts w:eastAsia="Calibri"/>
          <w:iCs/>
          <w:snapToGrid/>
          <w:kern w:val="0"/>
          <w:szCs w:val="22"/>
        </w:rPr>
        <w:t>Public Notice</w:t>
      </w:r>
      <w:r w:rsidRPr="007422D9">
        <w:rPr>
          <w:rFonts w:eastAsia="Calibri"/>
          <w:snapToGrid/>
          <w:kern w:val="0"/>
          <w:szCs w:val="22"/>
        </w:rPr>
        <w:t>, the Wireless Telecommunications Bureau (</w:t>
      </w:r>
      <w:r w:rsidR="006B4CA4">
        <w:rPr>
          <w:rFonts w:eastAsia="Calibri"/>
          <w:snapToGrid/>
          <w:kern w:val="0"/>
          <w:szCs w:val="22"/>
        </w:rPr>
        <w:t>Bureau</w:t>
      </w:r>
      <w:r w:rsidRPr="007422D9">
        <w:rPr>
          <w:rFonts w:eastAsia="Calibri"/>
          <w:snapToGrid/>
          <w:kern w:val="0"/>
          <w:szCs w:val="22"/>
        </w:rPr>
        <w:t>) announces the grant of</w:t>
      </w:r>
      <w:r>
        <w:rPr>
          <w:rFonts w:eastAsia="Calibri"/>
          <w:snapToGrid/>
          <w:kern w:val="0"/>
          <w:szCs w:val="22"/>
        </w:rPr>
        <w:t xml:space="preserve"> </w:t>
      </w:r>
      <w:r w:rsidR="001C221C">
        <w:rPr>
          <w:rFonts w:eastAsia="Calibri"/>
          <w:snapToGrid/>
          <w:kern w:val="0"/>
          <w:szCs w:val="22"/>
        </w:rPr>
        <w:t>fifteen</w:t>
      </w:r>
      <w:r w:rsidRPr="007422D9" w:rsidR="00CA58AF">
        <w:rPr>
          <w:rFonts w:eastAsia="Calibri"/>
          <w:snapToGrid/>
          <w:kern w:val="0"/>
          <w:szCs w:val="22"/>
        </w:rPr>
        <w:t xml:space="preserve"> </w:t>
      </w:r>
      <w:r w:rsidRPr="007422D9">
        <w:rPr>
          <w:rFonts w:eastAsia="Calibri"/>
          <w:snapToGrid/>
          <w:kern w:val="0"/>
          <w:szCs w:val="22"/>
        </w:rPr>
        <w:t>900 MHz broadband segment license applications</w:t>
      </w:r>
      <w:r>
        <w:rPr>
          <w:rFonts w:eastAsia="Calibri"/>
          <w:snapToGrid/>
          <w:kern w:val="0"/>
          <w:szCs w:val="22"/>
        </w:rPr>
        <w:t xml:space="preserve"> (see</w:t>
      </w:r>
      <w:r w:rsidRPr="007422D9">
        <w:rPr>
          <w:rFonts w:eastAsia="Calibri"/>
          <w:snapToGrid/>
          <w:kern w:val="0"/>
          <w:szCs w:val="22"/>
        </w:rPr>
        <w:t xml:space="preserve"> </w:t>
      </w:r>
      <w:r w:rsidRPr="00087E7B">
        <w:rPr>
          <w:rFonts w:eastAsia="Calibri"/>
          <w:snapToGrid/>
          <w:kern w:val="0"/>
          <w:szCs w:val="22"/>
        </w:rPr>
        <w:t>Attachment</w:t>
      </w:r>
      <w:r>
        <w:rPr>
          <w:rFonts w:eastAsia="Calibri"/>
          <w:snapToGrid/>
          <w:kern w:val="0"/>
          <w:szCs w:val="22"/>
        </w:rPr>
        <w:t>)</w:t>
      </w:r>
      <w:r w:rsidRPr="007422D9">
        <w:rPr>
          <w:rFonts w:eastAsia="Calibri"/>
          <w:snapToGrid/>
          <w:kern w:val="0"/>
          <w:szCs w:val="22"/>
        </w:rPr>
        <w:t>.</w:t>
      </w:r>
      <w:r>
        <w:rPr>
          <w:rFonts w:eastAsia="Calibri"/>
          <w:snapToGrid/>
          <w:kern w:val="0"/>
          <w:szCs w:val="22"/>
        </w:rPr>
        <w:t xml:space="preserve">  </w:t>
      </w:r>
      <w:r w:rsidRPr="007422D9">
        <w:rPr>
          <w:rFonts w:eastAsia="Calibri"/>
          <w:snapToGrid/>
          <w:kern w:val="0"/>
          <w:szCs w:val="22"/>
        </w:rPr>
        <w:t>On May 13, 2020, the Commission realigned the 900 MHz band to make available six megahertz of low-band spectrum for the development of critical wireless broadband technologies and services</w:t>
      </w:r>
      <w:r w:rsidRPr="007422D9">
        <w:rPr>
          <w:szCs w:val="22"/>
        </w:rPr>
        <w:t>, while reserving the remaining four megahertz of spectrum for continued narrowband operations.</w:t>
      </w:r>
      <w:r>
        <w:rPr>
          <w:rStyle w:val="FootnoteReference"/>
          <w:szCs w:val="22"/>
        </w:rPr>
        <w:footnoteReference w:id="3"/>
      </w:r>
      <w:r>
        <w:rPr>
          <w:szCs w:val="22"/>
        </w:rPr>
        <w:t xml:space="preserve">  </w:t>
      </w:r>
      <w:r w:rsidRPr="007422D9">
        <w:rPr>
          <w:szCs w:val="22"/>
        </w:rPr>
        <w:t xml:space="preserve">In accordance with the </w:t>
      </w:r>
      <w:r w:rsidRPr="007422D9">
        <w:rPr>
          <w:i/>
          <w:iCs/>
          <w:szCs w:val="22"/>
        </w:rPr>
        <w:t>900 MHz Report and Order</w:t>
      </w:r>
      <w:r w:rsidRPr="007422D9">
        <w:rPr>
          <w:szCs w:val="22"/>
        </w:rPr>
        <w:t>,</w:t>
      </w:r>
      <w:r>
        <w:rPr>
          <w:rStyle w:val="FootnoteReference"/>
          <w:szCs w:val="22"/>
        </w:rPr>
        <w:footnoteReference w:id="4"/>
      </w:r>
      <w:r w:rsidRPr="007422D9">
        <w:rPr>
          <w:szCs w:val="22"/>
        </w:rPr>
        <w:t xml:space="preserve"> the Bureau announced that the opening date for acceptance of 900 MHz broadband segment applications began on </w:t>
      </w:r>
      <w:r w:rsidRPr="009E7F56">
        <w:rPr>
          <w:szCs w:val="22"/>
        </w:rPr>
        <w:t>May 27, 2021</w:t>
      </w:r>
      <w:r w:rsidRPr="007422D9">
        <w:rPr>
          <w:szCs w:val="22"/>
        </w:rPr>
        <w:t>.</w:t>
      </w:r>
      <w:r>
        <w:rPr>
          <w:rStyle w:val="FootnoteReference"/>
          <w:szCs w:val="22"/>
        </w:rPr>
        <w:footnoteReference w:id="5"/>
      </w:r>
      <w:r w:rsidRPr="007422D9">
        <w:rPr>
          <w:rFonts w:eastAsia="Calibri"/>
          <w:snapToGrid/>
          <w:kern w:val="0"/>
          <w:szCs w:val="22"/>
        </w:rPr>
        <w:t xml:space="preserve"> </w:t>
      </w:r>
    </w:p>
    <w:p w:rsidR="00222633" w:rsidRPr="007422D9" w:rsidP="00222633" w14:paraId="052192B0" w14:textId="77777777">
      <w:pPr>
        <w:pStyle w:val="ParaNum"/>
        <w:numPr>
          <w:ilvl w:val="0"/>
          <w:numId w:val="0"/>
        </w:numPr>
        <w:ind w:firstLine="720"/>
        <w:rPr>
          <w:rFonts w:eastAsia="Calibri"/>
          <w:snapToGrid/>
          <w:kern w:val="0"/>
          <w:szCs w:val="22"/>
        </w:rPr>
      </w:pPr>
      <w:r>
        <w:rPr>
          <w:rFonts w:eastAsia="Calibri"/>
          <w:snapToGrid/>
          <w:kern w:val="0"/>
          <w:szCs w:val="22"/>
        </w:rPr>
        <w:t>T</w:t>
      </w:r>
      <w:r>
        <w:t xml:space="preserve">he </w:t>
      </w:r>
      <w:r w:rsidR="001F6A23">
        <w:t>Bureau</w:t>
      </w:r>
      <w:r>
        <w:t xml:space="preserve"> finds the </w:t>
      </w:r>
      <w:r w:rsidRPr="007422D9">
        <w:rPr>
          <w:rFonts w:eastAsia="Calibri"/>
          <w:snapToGrid/>
          <w:kern w:val="0"/>
          <w:szCs w:val="22"/>
        </w:rPr>
        <w:t xml:space="preserve">900 MHz broadband segment </w:t>
      </w:r>
      <w:r>
        <w:t>applications listed in the Attachment to be complete and in conformance with the Commission’s rules.  N</w:t>
      </w:r>
      <w:r w:rsidRPr="003A5387">
        <w:t>o petitions to deny these applications were filed</w:t>
      </w:r>
      <w:r>
        <w:t xml:space="preserve">, and the </w:t>
      </w:r>
      <w:r w:rsidRPr="007422D9">
        <w:rPr>
          <w:rFonts w:eastAsia="Calibri"/>
          <w:snapToGrid/>
          <w:kern w:val="0"/>
          <w:szCs w:val="22"/>
        </w:rPr>
        <w:t xml:space="preserve">applications </w:t>
      </w:r>
      <w:r>
        <w:rPr>
          <w:rFonts w:eastAsia="Calibri"/>
          <w:snapToGrid/>
          <w:kern w:val="0"/>
          <w:szCs w:val="22"/>
        </w:rPr>
        <w:t>sufficiently demonstrate conformance with</w:t>
      </w:r>
      <w:r w:rsidRPr="007422D9">
        <w:rPr>
          <w:rFonts w:eastAsia="Calibri"/>
          <w:snapToGrid/>
          <w:kern w:val="0"/>
          <w:szCs w:val="22"/>
        </w:rPr>
        <w:t xml:space="preserve"> the eligibility conditions (Eligibility Certification) and</w:t>
      </w:r>
      <w:r>
        <w:rPr>
          <w:rFonts w:eastAsia="Calibri"/>
          <w:snapToGrid/>
          <w:kern w:val="0"/>
          <w:szCs w:val="22"/>
        </w:rPr>
        <w:t xml:space="preserve"> requirements </w:t>
      </w:r>
      <w:r w:rsidRPr="007422D9">
        <w:rPr>
          <w:rFonts w:eastAsia="Calibri"/>
          <w:snapToGrid/>
          <w:kern w:val="0"/>
          <w:szCs w:val="22"/>
        </w:rPr>
        <w:t>for transitioning the 900 MHz band in the particular county requested</w:t>
      </w:r>
      <w:r w:rsidRPr="00471EE7">
        <w:rPr>
          <w:rFonts w:eastAsia="Calibri"/>
          <w:snapToGrid/>
          <w:kern w:val="0"/>
          <w:szCs w:val="22"/>
        </w:rPr>
        <w:t xml:space="preserve"> </w:t>
      </w:r>
      <w:r>
        <w:rPr>
          <w:rFonts w:eastAsia="Calibri"/>
          <w:snapToGrid/>
          <w:kern w:val="0"/>
          <w:szCs w:val="22"/>
        </w:rPr>
        <w:t>(</w:t>
      </w:r>
      <w:r w:rsidRPr="007422D9">
        <w:rPr>
          <w:rFonts w:eastAsia="Calibri"/>
          <w:snapToGrid/>
          <w:kern w:val="0"/>
          <w:szCs w:val="22"/>
        </w:rPr>
        <w:t>Transition Plan).</w:t>
      </w:r>
      <w:r>
        <w:rPr>
          <w:rStyle w:val="FootnoteReference"/>
          <w:rFonts w:eastAsia="Calibri"/>
          <w:snapToGrid/>
          <w:kern w:val="0"/>
          <w:szCs w:val="22"/>
        </w:rPr>
        <w:footnoteReference w:id="6"/>
      </w:r>
      <w:r>
        <w:rPr>
          <w:rFonts w:eastAsia="Calibri"/>
          <w:snapToGrid/>
          <w:kern w:val="0"/>
          <w:szCs w:val="22"/>
        </w:rPr>
        <w:t xml:space="preserve">  </w:t>
      </w:r>
      <w:r w:rsidRPr="00025AC7">
        <w:rPr>
          <w:rFonts w:eastAsia="Calibri"/>
          <w:snapToGrid/>
          <w:kern w:val="0"/>
          <w:szCs w:val="22"/>
        </w:rPr>
        <w:t xml:space="preserve">Furthermore, the Commission has received full </w:t>
      </w:r>
      <w:r>
        <w:rPr>
          <w:rFonts w:eastAsia="Calibri"/>
          <w:snapToGrid/>
          <w:kern w:val="0"/>
          <w:szCs w:val="22"/>
        </w:rPr>
        <w:t xml:space="preserve">anti-windfall </w:t>
      </w:r>
      <w:r w:rsidRPr="00025AC7">
        <w:rPr>
          <w:rFonts w:eastAsia="Calibri"/>
          <w:snapToGrid/>
          <w:kern w:val="0"/>
          <w:szCs w:val="22"/>
        </w:rPr>
        <w:t>payment</w:t>
      </w:r>
      <w:r>
        <w:rPr>
          <w:rFonts w:eastAsia="Calibri"/>
          <w:snapToGrid/>
          <w:kern w:val="0"/>
          <w:szCs w:val="22"/>
        </w:rPr>
        <w:t>s</w:t>
      </w:r>
      <w:r w:rsidRPr="00025AC7">
        <w:rPr>
          <w:rFonts w:eastAsia="Calibri"/>
          <w:snapToGrid/>
          <w:kern w:val="0"/>
          <w:szCs w:val="22"/>
        </w:rPr>
        <w:t xml:space="preserve"> for the licenses listed in </w:t>
      </w:r>
      <w:r>
        <w:rPr>
          <w:rFonts w:eastAsia="Calibri"/>
          <w:snapToGrid/>
          <w:kern w:val="0"/>
          <w:szCs w:val="22"/>
        </w:rPr>
        <w:t xml:space="preserve">the </w:t>
      </w:r>
      <w:r w:rsidRPr="00025AC7">
        <w:rPr>
          <w:rFonts w:eastAsia="Calibri"/>
          <w:snapToGrid/>
          <w:kern w:val="0"/>
          <w:szCs w:val="22"/>
        </w:rPr>
        <w:t>Attachment, as required by section</w:t>
      </w:r>
      <w:r>
        <w:rPr>
          <w:rFonts w:eastAsia="Calibri"/>
          <w:snapToGrid/>
          <w:kern w:val="0"/>
          <w:szCs w:val="22"/>
        </w:rPr>
        <w:t xml:space="preserve"> 27.1503(c)(2).  Therefore, </w:t>
      </w:r>
      <w:r w:rsidR="001F6A23">
        <w:t>the Bureau</w:t>
      </w:r>
      <w:r w:rsidRPr="00EB2849">
        <w:t xml:space="preserve"> find</w:t>
      </w:r>
      <w:r>
        <w:t>s</w:t>
      </w:r>
      <w:r w:rsidRPr="00EB2849">
        <w:t xml:space="preserve"> that granting the applications for the </w:t>
      </w:r>
      <w:r w:rsidRPr="00471EE7">
        <w:t xml:space="preserve">900 MHz broadband segment </w:t>
      </w:r>
      <w:r w:rsidRPr="00EB2849">
        <w:t xml:space="preserve">licenses listed </w:t>
      </w:r>
      <w:r w:rsidRPr="00087E7B">
        <w:t xml:space="preserve">in </w:t>
      </w:r>
      <w:r>
        <w:t xml:space="preserve">the </w:t>
      </w:r>
      <w:r w:rsidRPr="00087E7B">
        <w:t>Attachment serves</w:t>
      </w:r>
      <w:r w:rsidRPr="00EB2849">
        <w:t xml:space="preserve"> the public interest</w:t>
      </w:r>
      <w:r>
        <w:t xml:space="preserve">, convenience, and necessity. </w:t>
      </w:r>
    </w:p>
    <w:p w:rsidR="00222633" w:rsidRPr="007422D9" w:rsidP="006E5638" w14:paraId="7405122C" w14:textId="77777777">
      <w:pPr>
        <w:pStyle w:val="ParaNum"/>
        <w:numPr>
          <w:ilvl w:val="0"/>
          <w:numId w:val="0"/>
        </w:numPr>
        <w:ind w:firstLine="720"/>
      </w:pPr>
      <w:r w:rsidRPr="00087E7B">
        <w:t xml:space="preserve">Accordingly, by this </w:t>
      </w:r>
      <w:r w:rsidRPr="00841774">
        <w:rPr>
          <w:rFonts w:eastAsia="Calibri"/>
          <w:snapToGrid/>
          <w:kern w:val="0"/>
          <w:szCs w:val="22"/>
        </w:rPr>
        <w:t>Public</w:t>
      </w:r>
      <w:r w:rsidRPr="00087E7B">
        <w:t xml:space="preserve"> Notice, we announce the grant of the licenses listed in </w:t>
      </w:r>
      <w:r>
        <w:t xml:space="preserve">the </w:t>
      </w:r>
      <w:r w:rsidRPr="00087E7B">
        <w:t>Attachment.</w:t>
      </w:r>
      <w:r>
        <w:t xml:space="preserve">  </w:t>
      </w:r>
      <w:r w:rsidRPr="00087E7B">
        <w:t xml:space="preserve">We grant these licenses pursuant to section 309(a) of the Communications Act, 47 U.S.C. § 309(a), and sections 0.131 and 0.331 of the Commission’s rules, 47 </w:t>
      </w:r>
      <w:r>
        <w:t>CFR</w:t>
      </w:r>
      <w:r w:rsidRPr="00087E7B">
        <w:t xml:space="preserve"> §§ 0.131, 0.331.</w:t>
      </w:r>
      <w:r>
        <w:t xml:space="preserve"> </w:t>
      </w:r>
      <w:r w:rsidRPr="00087E7B">
        <w:t xml:space="preserve"> </w:t>
      </w:r>
      <w:r w:rsidRPr="00087E7B">
        <w:rPr>
          <w:rFonts w:eastAsia="Calibri"/>
        </w:rPr>
        <w:t>New 900 MHz broadband licensees may begin operation in the applicable counties, subject to protecting covered incumbents.</w:t>
      </w:r>
      <w:r>
        <w:rPr>
          <w:rStyle w:val="FootnoteReference"/>
          <w:rFonts w:eastAsia="Calibri"/>
        </w:rPr>
        <w:footnoteReference w:id="7"/>
      </w:r>
      <w:r w:rsidRPr="007422D9">
        <w:rPr>
          <w:rFonts w:eastAsia="Calibri"/>
        </w:rPr>
        <w:t xml:space="preserve">   </w:t>
      </w:r>
    </w:p>
    <w:p w:rsidR="00222633" w:rsidRPr="007422D9" w:rsidP="00841774" w14:paraId="01971095" w14:textId="77777777">
      <w:pPr>
        <w:pStyle w:val="ParaNum"/>
        <w:widowControl/>
        <w:numPr>
          <w:ilvl w:val="0"/>
          <w:numId w:val="0"/>
        </w:numPr>
        <w:ind w:firstLine="720"/>
      </w:pPr>
      <w:r w:rsidRPr="00087E7B">
        <w:t xml:space="preserve">We remind licensees that they should review the Commission’s part </w:t>
      </w:r>
      <w:r>
        <w:t>27</w:t>
      </w:r>
      <w:r w:rsidRPr="00087E7B">
        <w:t xml:space="preserve"> rules and all Commission orders and public notices establishing rules and policies for the 900 MHz band.</w:t>
      </w:r>
      <w:r>
        <w:rPr>
          <w:rStyle w:val="FootnoteReference"/>
        </w:rPr>
        <w:footnoteReference w:id="8"/>
      </w:r>
      <w:r>
        <w:t xml:space="preserve">  </w:t>
      </w:r>
      <w:r w:rsidRPr="007422D9">
        <w:t>Each licensee is solely responsible for complying with all FCC rules and regulations associated with these licenses.</w:t>
      </w:r>
    </w:p>
    <w:p w:rsidR="00222633" w:rsidRPr="007422D9" w:rsidP="006E5638" w14:paraId="1B63DB81" w14:textId="77777777">
      <w:pPr>
        <w:pStyle w:val="ParaNum"/>
        <w:numPr>
          <w:ilvl w:val="0"/>
          <w:numId w:val="0"/>
        </w:numPr>
        <w:ind w:firstLine="720"/>
      </w:pPr>
      <w:r w:rsidRPr="007422D9">
        <w:t xml:space="preserve">This Public </w:t>
      </w:r>
      <w:r w:rsidRPr="00841774">
        <w:rPr>
          <w:rFonts w:eastAsia="Calibri"/>
          <w:snapToGrid/>
          <w:kern w:val="0"/>
          <w:szCs w:val="22"/>
        </w:rPr>
        <w:t>Notice</w:t>
      </w:r>
      <w:r w:rsidRPr="007422D9">
        <w:t xml:space="preserve"> includes </w:t>
      </w:r>
      <w:r>
        <w:t xml:space="preserve">one </w:t>
      </w:r>
      <w:r w:rsidRPr="007422D9">
        <w:t xml:space="preserve">attachment: </w:t>
      </w:r>
    </w:p>
    <w:p w:rsidR="00222633" w:rsidRPr="007422D9" w:rsidP="00841774" w14:paraId="60E8A041" w14:textId="77777777">
      <w:pPr>
        <w:pStyle w:val="ParaNum"/>
        <w:numPr>
          <w:ilvl w:val="0"/>
          <w:numId w:val="0"/>
        </w:numPr>
      </w:pPr>
      <w:r w:rsidRPr="007422D9">
        <w:t>Attachment – 900 MHz Broadband</w:t>
      </w:r>
      <w:r>
        <w:t xml:space="preserve"> Segment</w:t>
      </w:r>
      <w:r w:rsidRPr="007422D9">
        <w:t xml:space="preserve"> License</w:t>
      </w:r>
      <w:r>
        <w:t>s Granted</w:t>
      </w:r>
      <w:r w:rsidRPr="007422D9">
        <w:t xml:space="preserve"> – Sorted by Licensee</w:t>
      </w:r>
    </w:p>
    <w:p w:rsidR="00222633" w:rsidRPr="007422D9" w:rsidP="00222633" w14:paraId="5758D263" w14:textId="1E687E10">
      <w:pPr>
        <w:pStyle w:val="ParaNum"/>
        <w:numPr>
          <w:ilvl w:val="0"/>
          <w:numId w:val="0"/>
        </w:numPr>
        <w:ind w:firstLine="720"/>
        <w:rPr>
          <w:rFonts w:eastAsia="Calibri"/>
          <w:kern w:val="0"/>
          <w:szCs w:val="22"/>
        </w:rPr>
      </w:pPr>
      <w:r w:rsidRPr="00841774">
        <w:rPr>
          <w:rFonts w:eastAsia="Calibri"/>
          <w:snapToGrid/>
          <w:kern w:val="0"/>
          <w:szCs w:val="22"/>
        </w:rPr>
        <w:t>Applicants</w:t>
      </w:r>
      <w:r w:rsidRPr="007422D9">
        <w:rPr>
          <w:rFonts w:eastAsia="Calibri"/>
          <w:kern w:val="0"/>
          <w:szCs w:val="22"/>
        </w:rPr>
        <w:t xml:space="preserve"> who have questions concerning this </w:t>
      </w:r>
      <w:r w:rsidRPr="00AE010F">
        <w:rPr>
          <w:rFonts w:eastAsia="Calibri"/>
          <w:kern w:val="0"/>
          <w:szCs w:val="22"/>
        </w:rPr>
        <w:t>Public Notice</w:t>
      </w:r>
      <w:r w:rsidRPr="007422D9">
        <w:rPr>
          <w:rFonts w:eastAsia="Calibri"/>
          <w:kern w:val="0"/>
          <w:szCs w:val="22"/>
        </w:rPr>
        <w:t xml:space="preserve"> may contact </w:t>
      </w:r>
      <w:r w:rsidR="002B496D">
        <w:rPr>
          <w:rFonts w:eastAsia="Calibri"/>
          <w:kern w:val="0"/>
          <w:szCs w:val="22"/>
        </w:rPr>
        <w:t>Morgan Mendenhall</w:t>
      </w:r>
      <w:r w:rsidRPr="007422D9">
        <w:rPr>
          <w:rFonts w:eastAsia="Calibri"/>
          <w:kern w:val="0"/>
          <w:szCs w:val="22"/>
        </w:rPr>
        <w:t xml:space="preserve"> of the Wireless Telecommunications Bureau, Mobility Division, (202) 418-</w:t>
      </w:r>
      <w:r w:rsidR="00905BB8">
        <w:rPr>
          <w:rFonts w:eastAsia="Calibri"/>
          <w:kern w:val="0"/>
          <w:szCs w:val="22"/>
        </w:rPr>
        <w:t>0154</w:t>
      </w:r>
      <w:r w:rsidRPr="007422D9">
        <w:rPr>
          <w:rFonts w:eastAsia="Calibri"/>
          <w:kern w:val="0"/>
          <w:szCs w:val="22"/>
        </w:rPr>
        <w:t xml:space="preserve">, </w:t>
      </w:r>
      <w:hyperlink r:id="rId5" w:history="1">
        <w:r w:rsidR="002B496D">
          <w:rPr>
            <w:rStyle w:val="Hyperlink"/>
            <w:rFonts w:eastAsia="Calibri"/>
            <w:kern w:val="0"/>
            <w:szCs w:val="22"/>
          </w:rPr>
          <w:t>morgan.mendenhall@fcc.gov</w:t>
        </w:r>
      </w:hyperlink>
      <w:r w:rsidRPr="007422D9">
        <w:rPr>
          <w:rFonts w:eastAsia="Calibri"/>
          <w:kern w:val="0"/>
          <w:szCs w:val="22"/>
        </w:rPr>
        <w:t>.</w:t>
      </w:r>
    </w:p>
    <w:p w:rsidR="00222633" w:rsidRPr="007422D9" w:rsidP="00841774" w14:paraId="058C105C" w14:textId="77777777">
      <w:pPr>
        <w:pStyle w:val="ParaNum"/>
        <w:numPr>
          <w:ilvl w:val="0"/>
          <w:numId w:val="0"/>
        </w:numPr>
        <w:ind w:firstLine="720"/>
      </w:pPr>
      <w:r w:rsidRPr="007422D9">
        <w:t xml:space="preserve">People with Disabilities:  To request materials in accessible formats for people with disabilities (braille, large print, electronic files, audio format), send an e-mail to </w:t>
      </w:r>
      <w:hyperlink r:id="rId6" w:history="1">
        <w:r w:rsidRPr="007422D9">
          <w:rPr>
            <w:rStyle w:val="Hyperlink"/>
          </w:rPr>
          <w:t>fcc504@fcc.gov</w:t>
        </w:r>
      </w:hyperlink>
      <w:r w:rsidRPr="007422D9">
        <w:t xml:space="preserve"> or call the Consumer &amp; Governmental Affairs Bureau at (202) 418-0530 (voice).</w:t>
      </w:r>
    </w:p>
    <w:p w:rsidR="00222633" w14:paraId="695C5E94" w14:textId="77777777"/>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2A733953" w14:textId="77777777">
    <w:pPr>
      <w:pStyle w:val="Footer"/>
      <w:framePr w:wrap="around" w:vAnchor="text" w:hAnchor="margin" w:xAlign="center" w:y="1"/>
    </w:pPr>
    <w:r>
      <w:fldChar w:fldCharType="begin"/>
    </w:r>
    <w:r>
      <w:instrText xml:space="preserve">PAGE  </w:instrText>
    </w:r>
    <w:r w:rsidR="00A37B20">
      <w:fldChar w:fldCharType="separate"/>
    </w:r>
    <w:r>
      <w:fldChar w:fldCharType="end"/>
    </w:r>
  </w:p>
  <w:p w:rsidR="00310BEF" w14:paraId="216AF6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6458C85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5D7FBE0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62B84" w14:paraId="151010C2" w14:textId="77777777">
      <w:r>
        <w:separator/>
      </w:r>
    </w:p>
  </w:footnote>
  <w:footnote w:type="continuationSeparator" w:id="1">
    <w:p w:rsidR="00C62B84" w14:paraId="034D54B4" w14:textId="77777777">
      <w:pPr>
        <w:rPr>
          <w:sz w:val="20"/>
        </w:rPr>
      </w:pPr>
      <w:r>
        <w:rPr>
          <w:sz w:val="20"/>
        </w:rPr>
        <w:t xml:space="preserve">(Continued from previous page)  </w:t>
      </w:r>
      <w:r>
        <w:rPr>
          <w:sz w:val="20"/>
        </w:rPr>
        <w:separator/>
      </w:r>
    </w:p>
  </w:footnote>
  <w:footnote w:type="continuationNotice" w:id="2">
    <w:p w:rsidR="00C62B84" w14:paraId="35FD3048" w14:textId="77777777">
      <w:pPr>
        <w:jc w:val="right"/>
        <w:rPr>
          <w:sz w:val="20"/>
        </w:rPr>
      </w:pPr>
      <w:r>
        <w:rPr>
          <w:sz w:val="20"/>
        </w:rPr>
        <w:t>(continued….)</w:t>
      </w:r>
    </w:p>
  </w:footnote>
  <w:footnote w:id="3">
    <w:p w:rsidR="00222633" w:rsidP="00222633" w14:paraId="56E9921E" w14:textId="29B90009">
      <w:pPr>
        <w:pStyle w:val="FootnoteText"/>
      </w:pPr>
      <w:r>
        <w:rPr>
          <w:rStyle w:val="FootnoteReference"/>
        </w:rPr>
        <w:footnoteRef/>
      </w:r>
      <w:r>
        <w:t xml:space="preserve"> </w:t>
      </w:r>
      <w:r w:rsidRPr="00D60D75">
        <w:rPr>
          <w:i/>
        </w:rPr>
        <w:t>Review of the Commission’s Rules Governing the 896-901/935-940 MHz Band</w:t>
      </w:r>
      <w:r>
        <w:t xml:space="preserve">, WT Docket No. </w:t>
      </w:r>
      <w:r w:rsidR="00C9350E">
        <w:t>17-200</w:t>
      </w:r>
      <w:r>
        <w:t xml:space="preserve">, Report and Order, Order of Proposed Modification, and Order, </w:t>
      </w:r>
      <w:r w:rsidRPr="00D60D75">
        <w:t xml:space="preserve">35 FCC </w:t>
      </w:r>
      <w:r w:rsidRPr="00D60D75">
        <w:t>Rcd</w:t>
      </w:r>
      <w:r w:rsidRPr="00D60D75">
        <w:t xml:space="preserve"> 5183 </w:t>
      </w:r>
      <w:r>
        <w:t>(</w:t>
      </w:r>
      <w:r w:rsidRPr="005A736D">
        <w:t>20</w:t>
      </w:r>
      <w:r>
        <w:t>20) (</w:t>
      </w:r>
      <w:r>
        <w:rPr>
          <w:i/>
          <w:iCs/>
        </w:rPr>
        <w:t>900 MHz Report and Order</w:t>
      </w:r>
      <w:r>
        <w:t xml:space="preserve">).  </w:t>
      </w:r>
    </w:p>
  </w:footnote>
  <w:footnote w:id="4">
    <w:p w:rsidR="00222633" w:rsidP="00222633" w14:paraId="59977DB6" w14:textId="77777777">
      <w:pPr>
        <w:pStyle w:val="FootnoteText"/>
      </w:pPr>
      <w:r>
        <w:rPr>
          <w:rStyle w:val="FootnoteReference"/>
        </w:rPr>
        <w:footnoteRef/>
      </w:r>
      <w:r>
        <w:t xml:space="preserve"> </w:t>
      </w:r>
      <w:r w:rsidRPr="004E0A0C">
        <w:rPr>
          <w:i/>
          <w:iCs/>
        </w:rPr>
        <w:t>900 MHz Report and Order</w:t>
      </w:r>
      <w:r>
        <w:t xml:space="preserve">, 35 FCC </w:t>
      </w:r>
      <w:r>
        <w:t>Rcd</w:t>
      </w:r>
      <w:r w:rsidRPr="004E0A0C">
        <w:t xml:space="preserve"> at</w:t>
      </w:r>
      <w:r>
        <w:t xml:space="preserve"> 5229,</w:t>
      </w:r>
      <w:r w:rsidRPr="004E0A0C">
        <w:t xml:space="preserve"> </w:t>
      </w:r>
      <w:r>
        <w:t>para. 113</w:t>
      </w:r>
      <w:r w:rsidRPr="004E0A0C">
        <w:t>.</w:t>
      </w:r>
    </w:p>
  </w:footnote>
  <w:footnote w:id="5">
    <w:p w:rsidR="00222633" w:rsidP="00222633" w14:paraId="23BE8FC7" w14:textId="77777777">
      <w:pPr>
        <w:pStyle w:val="FootnoteText"/>
      </w:pPr>
      <w:r>
        <w:rPr>
          <w:rStyle w:val="FootnoteReference"/>
        </w:rPr>
        <w:footnoteRef/>
      </w:r>
      <w:r>
        <w:t xml:space="preserve"> </w:t>
      </w:r>
      <w:r>
        <w:rPr>
          <w:i/>
          <w:iCs/>
        </w:rPr>
        <w:t>See Wireless Telecommunications Bureau to Accept 900 MHz Broadband Segment Applications Beginning May 27, 2021</w:t>
      </w:r>
      <w:r w:rsidRPr="00660BA7">
        <w:t>,</w:t>
      </w:r>
      <w:r>
        <w:t xml:space="preserve"> WTB Docket No. 17-200, </w:t>
      </w:r>
      <w:r w:rsidR="009F4378">
        <w:t>Public Notice,</w:t>
      </w:r>
      <w:r w:rsidRPr="00660BA7" w:rsidR="009F4378">
        <w:t xml:space="preserve"> </w:t>
      </w:r>
      <w:r w:rsidRPr="009F4378" w:rsidR="009F4378">
        <w:t xml:space="preserve">36 FCC </w:t>
      </w:r>
      <w:r w:rsidRPr="009F4378" w:rsidR="009F4378">
        <w:t>Rcd</w:t>
      </w:r>
      <w:r w:rsidRPr="009F4378" w:rsidR="009F4378">
        <w:t xml:space="preserve"> 7377 </w:t>
      </w:r>
      <w:r>
        <w:t>(WTB 202</w:t>
      </w:r>
      <w:r w:rsidR="00A01D93">
        <w:t>1</w:t>
      </w:r>
      <w:r>
        <w:t>) (</w:t>
      </w:r>
      <w:r>
        <w:rPr>
          <w:i/>
          <w:iCs/>
        </w:rPr>
        <w:t>900 MHZ Broadband Segment Applications Public Notice</w:t>
      </w:r>
      <w:r>
        <w:t>).</w:t>
      </w:r>
    </w:p>
  </w:footnote>
  <w:footnote w:id="6">
    <w:p w:rsidR="00222633" w:rsidRPr="00087E7B" w:rsidP="00222633" w14:paraId="609E84E8" w14:textId="77777777">
      <w:pPr>
        <w:pStyle w:val="FootnoteText"/>
        <w:rPr>
          <w:i/>
          <w:iCs/>
        </w:rPr>
      </w:pPr>
      <w:r>
        <w:rPr>
          <w:rStyle w:val="FootnoteReference"/>
        </w:rPr>
        <w:footnoteRef/>
      </w:r>
      <w:r>
        <w:t xml:space="preserve"> </w:t>
      </w:r>
      <w:bookmarkStart w:id="1" w:name="_Hlk69720430"/>
      <w:bookmarkStart w:id="2" w:name="_Hlk69329154"/>
      <w:r>
        <w:t>47 CFR § 27.1503</w:t>
      </w:r>
      <w:bookmarkEnd w:id="1"/>
      <w:bookmarkEnd w:id="2"/>
      <w:r>
        <w:t xml:space="preserve">; </w:t>
      </w:r>
      <w:r>
        <w:rPr>
          <w:i/>
          <w:iCs/>
        </w:rPr>
        <w:t>see also 900 MHz Broadband Segment Applications Public Notice, Attachment A</w:t>
      </w:r>
      <w:r>
        <w:t>.</w:t>
      </w:r>
    </w:p>
  </w:footnote>
  <w:footnote w:id="7">
    <w:p w:rsidR="00222633" w:rsidP="00222633" w14:paraId="3C5D9A4A" w14:textId="77777777">
      <w:pPr>
        <w:pStyle w:val="FootnoteText"/>
      </w:pPr>
      <w:r>
        <w:rPr>
          <w:rStyle w:val="FootnoteReference"/>
        </w:rPr>
        <w:footnoteRef/>
      </w:r>
      <w:r>
        <w:t xml:space="preserve"> A Covered Incumbent is a</w:t>
      </w:r>
      <w:r w:rsidRPr="00A51D1D">
        <w:t xml:space="preserve">ny 900 MHz site-based licensee in the broadband segment that is required under section 90.621(b) to be protected by a broadband licensee with a base station at any location within the county, or any 900 MHz geographic-based SMR licensee in the broadband segment whose license area completely or partially overlaps the county. </w:t>
      </w:r>
      <w:r>
        <w:t xml:space="preserve"> </w:t>
      </w:r>
      <w:r w:rsidRPr="00A51D1D">
        <w:t>47 CFR § 27.150</w:t>
      </w:r>
      <w:r>
        <w:t>1(g)</w:t>
      </w:r>
      <w:r w:rsidRPr="00A51D1D">
        <w:t xml:space="preserve">.  </w:t>
      </w:r>
    </w:p>
  </w:footnote>
  <w:footnote w:id="8">
    <w:p w:rsidR="00222633" w:rsidRPr="00C97298" w:rsidP="00222633" w14:paraId="6DF4D2D6" w14:textId="77777777">
      <w:pPr>
        <w:pStyle w:val="FootnoteText"/>
      </w:pPr>
      <w:r>
        <w:rPr>
          <w:rStyle w:val="FootnoteReference"/>
        </w:rPr>
        <w:footnoteRef/>
      </w:r>
      <w:r>
        <w:t xml:space="preserve"> </w:t>
      </w:r>
      <w:r>
        <w:rPr>
          <w:i/>
        </w:rPr>
        <w:t xml:space="preserve">See </w:t>
      </w:r>
      <w:r>
        <w:rPr>
          <w:iCs/>
        </w:rPr>
        <w:t xml:space="preserve">47 CFR pt. 27; </w:t>
      </w:r>
      <w:r w:rsidRPr="00087E7B">
        <w:rPr>
          <w:i/>
        </w:rPr>
        <w:t>see also</w:t>
      </w:r>
      <w:r>
        <w:rPr>
          <w:iCs/>
        </w:rPr>
        <w:t xml:space="preserve"> </w:t>
      </w:r>
      <w:r>
        <w:rPr>
          <w:i/>
          <w:iCs/>
        </w:rPr>
        <w:t>900 MHz Report and Order</w:t>
      </w:r>
      <w:r>
        <w:t xml:space="preserve">, </w:t>
      </w:r>
      <w:r w:rsidRPr="00D60D75">
        <w:t xml:space="preserve">35 FCC </w:t>
      </w:r>
      <w:r w:rsidRPr="00D60D75">
        <w:t>Rcd</w:t>
      </w:r>
      <w:r w:rsidRPr="00D60D75">
        <w:t xml:space="preserve"> 5183</w:t>
      </w:r>
      <w:r>
        <w:t xml:space="preserve">; </w:t>
      </w:r>
      <w:r>
        <w:rPr>
          <w:i/>
          <w:iCs/>
        </w:rPr>
        <w:t>900 MHz Broadband Segment Applications Public Notice</w:t>
      </w:r>
      <w:r w:rsidRPr="00A2753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752D035B" w14:textId="3D9CC5FD">
    <w:pPr>
      <w:tabs>
        <w:tab w:val="center" w:pos="4680"/>
        <w:tab w:val="right" w:pos="9360"/>
      </w:tabs>
    </w:pPr>
    <w:r>
      <w:rPr>
        <w:b/>
      </w:rPr>
      <w:tab/>
      <w:t>Federal Communications Commission</w:t>
    </w:r>
    <w:r>
      <w:rPr>
        <w:b/>
      </w:rPr>
      <w:tab/>
    </w:r>
    <w:r w:rsidR="00116F1C">
      <w:rPr>
        <w:b/>
      </w:rPr>
      <w:t xml:space="preserve">DA </w:t>
    </w:r>
    <w:r w:rsidR="0030199D">
      <w:rPr>
        <w:b/>
      </w:rPr>
      <w:t>22-</w:t>
    </w:r>
    <w:r w:rsidR="00A37B20">
      <w:rPr>
        <w:b/>
      </w:rPr>
      <w:t>726</w:t>
    </w:r>
  </w:p>
  <w:p w:rsidR="00310BEF" w14:paraId="5AE6B53D"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310BEF" w14:paraId="5FC3D6A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4AEA237A" w14:textId="77777777">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33"/>
    <w:rsid w:val="000240BF"/>
    <w:rsid w:val="00025AC7"/>
    <w:rsid w:val="00087E7B"/>
    <w:rsid w:val="00116F1C"/>
    <w:rsid w:val="00163149"/>
    <w:rsid w:val="001C221C"/>
    <w:rsid w:val="001F6A23"/>
    <w:rsid w:val="00222633"/>
    <w:rsid w:val="00252B72"/>
    <w:rsid w:val="00295B09"/>
    <w:rsid w:val="002B496D"/>
    <w:rsid w:val="0030199D"/>
    <w:rsid w:val="00310BEF"/>
    <w:rsid w:val="003177A7"/>
    <w:rsid w:val="00324B6D"/>
    <w:rsid w:val="003A5387"/>
    <w:rsid w:val="00425D3D"/>
    <w:rsid w:val="00450D1C"/>
    <w:rsid w:val="00471EE7"/>
    <w:rsid w:val="004B207D"/>
    <w:rsid w:val="004B7900"/>
    <w:rsid w:val="004D7272"/>
    <w:rsid w:val="004E0A0C"/>
    <w:rsid w:val="00517C90"/>
    <w:rsid w:val="005A736D"/>
    <w:rsid w:val="005B02D9"/>
    <w:rsid w:val="0064347E"/>
    <w:rsid w:val="00660BA7"/>
    <w:rsid w:val="00685677"/>
    <w:rsid w:val="006B4CA4"/>
    <w:rsid w:val="006E5638"/>
    <w:rsid w:val="007151E0"/>
    <w:rsid w:val="007422D9"/>
    <w:rsid w:val="00841774"/>
    <w:rsid w:val="00862FE3"/>
    <w:rsid w:val="00871281"/>
    <w:rsid w:val="00905BB8"/>
    <w:rsid w:val="00927935"/>
    <w:rsid w:val="00976986"/>
    <w:rsid w:val="009A172D"/>
    <w:rsid w:val="009E7F56"/>
    <w:rsid w:val="009F4378"/>
    <w:rsid w:val="00A01D93"/>
    <w:rsid w:val="00A27536"/>
    <w:rsid w:val="00A37B20"/>
    <w:rsid w:val="00A51D1D"/>
    <w:rsid w:val="00AB4DFC"/>
    <w:rsid w:val="00AE010F"/>
    <w:rsid w:val="00BC3C63"/>
    <w:rsid w:val="00BC5D3F"/>
    <w:rsid w:val="00C62B84"/>
    <w:rsid w:val="00C71686"/>
    <w:rsid w:val="00C92640"/>
    <w:rsid w:val="00C9350E"/>
    <w:rsid w:val="00C97298"/>
    <w:rsid w:val="00CA58AF"/>
    <w:rsid w:val="00CC4044"/>
    <w:rsid w:val="00D229B0"/>
    <w:rsid w:val="00D4001A"/>
    <w:rsid w:val="00D60D75"/>
    <w:rsid w:val="00D86615"/>
    <w:rsid w:val="00DA186F"/>
    <w:rsid w:val="00DA5921"/>
    <w:rsid w:val="00E21304"/>
    <w:rsid w:val="00E524E2"/>
    <w:rsid w:val="00EB2849"/>
    <w:rsid w:val="00EF1C9A"/>
    <w:rsid w:val="00F17AC8"/>
    <w:rsid w:val="00FA3F63"/>
    <w:rsid w:val="00FE413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C6485F9"/>
  <w15:chartTrackingRefBased/>
  <w15:docId w15:val="{A07D6208-A9E9-4BEA-BCDD-26B96C64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uiPriority w:val="99"/>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ParaNumChar">
    <w:name w:val="ParaNum Char"/>
    <w:link w:val="ParaNum"/>
    <w:rsid w:val="00222633"/>
    <w:rPr>
      <w:snapToGrid w:val="0"/>
      <w:kern w:val="28"/>
      <w:sz w:val="22"/>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uiPriority w:val="99"/>
    <w:rsid w:val="00222633"/>
  </w:style>
  <w:style w:type="character" w:styleId="CommentReference">
    <w:name w:val="annotation reference"/>
    <w:basedOn w:val="DefaultParagraphFont"/>
    <w:uiPriority w:val="99"/>
    <w:semiHidden/>
    <w:unhideWhenUsed/>
    <w:rsid w:val="00A01D93"/>
    <w:rPr>
      <w:sz w:val="16"/>
      <w:szCs w:val="16"/>
    </w:rPr>
  </w:style>
  <w:style w:type="paragraph" w:styleId="CommentText">
    <w:name w:val="annotation text"/>
    <w:basedOn w:val="Normal"/>
    <w:link w:val="CommentTextChar"/>
    <w:uiPriority w:val="99"/>
    <w:semiHidden/>
    <w:unhideWhenUsed/>
    <w:rsid w:val="00A01D93"/>
    <w:rPr>
      <w:sz w:val="20"/>
    </w:rPr>
  </w:style>
  <w:style w:type="character" w:customStyle="1" w:styleId="CommentTextChar">
    <w:name w:val="Comment Text Char"/>
    <w:basedOn w:val="DefaultParagraphFont"/>
    <w:link w:val="CommentText"/>
    <w:uiPriority w:val="99"/>
    <w:semiHidden/>
    <w:rsid w:val="00A01D93"/>
    <w:rPr>
      <w:snapToGrid w:val="0"/>
      <w:kern w:val="28"/>
    </w:rPr>
  </w:style>
  <w:style w:type="paragraph" w:styleId="CommentSubject">
    <w:name w:val="annotation subject"/>
    <w:basedOn w:val="CommentText"/>
    <w:next w:val="CommentText"/>
    <w:link w:val="CommentSubjectChar"/>
    <w:uiPriority w:val="99"/>
    <w:semiHidden/>
    <w:unhideWhenUsed/>
    <w:rsid w:val="00A01D93"/>
    <w:rPr>
      <w:b/>
      <w:bCs/>
    </w:rPr>
  </w:style>
  <w:style w:type="character" w:customStyle="1" w:styleId="CommentSubjectChar">
    <w:name w:val="Comment Subject Char"/>
    <w:basedOn w:val="CommentTextChar"/>
    <w:link w:val="CommentSubject"/>
    <w:uiPriority w:val="99"/>
    <w:semiHidden/>
    <w:rsid w:val="00A01D93"/>
    <w:rPr>
      <w:b/>
      <w:bCs/>
      <w:snapToGrid w:val="0"/>
      <w:kern w:val="28"/>
    </w:rPr>
  </w:style>
  <w:style w:type="paragraph" w:styleId="BalloonText">
    <w:name w:val="Balloon Text"/>
    <w:basedOn w:val="Normal"/>
    <w:link w:val="BalloonTextChar"/>
    <w:uiPriority w:val="99"/>
    <w:semiHidden/>
    <w:unhideWhenUsed/>
    <w:rsid w:val="00A01D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D93"/>
    <w:rPr>
      <w:rFonts w:ascii="Segoe UI" w:hAnsi="Segoe UI" w:cs="Segoe UI"/>
      <w:snapToGrid w:val="0"/>
      <w:kern w:val="28"/>
      <w:sz w:val="18"/>
      <w:szCs w:val="18"/>
    </w:rPr>
  </w:style>
  <w:style w:type="paragraph" w:styleId="Revision">
    <w:name w:val="Revision"/>
    <w:hidden/>
    <w:uiPriority w:val="99"/>
    <w:semiHidden/>
    <w:rsid w:val="00CA58A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atherine.nevitt@fcc.gov"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