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6E323E" w14:paraId="31A1138E" w14:textId="77777777">
      <w:pPr>
        <w:jc w:val="center"/>
        <w:rPr>
          <w:b/>
        </w:rPr>
      </w:pPr>
      <w:r w:rsidRPr="006E323E">
        <w:rPr>
          <w:b/>
        </w:rPr>
        <w:t>Before the</w:t>
      </w:r>
    </w:p>
    <w:p w:rsidR="00921803" w:rsidRPr="006E323E" w:rsidP="00921803" w14:paraId="0B77EFB4" w14:textId="77777777">
      <w:pPr>
        <w:pStyle w:val="StyleBoldCentered"/>
        <w:rPr>
          <w:rFonts w:ascii="Times New Roman" w:hAnsi="Times New Roman"/>
        </w:rPr>
      </w:pPr>
      <w:r w:rsidRPr="006E323E">
        <w:rPr>
          <w:rFonts w:ascii="Times New Roman" w:hAnsi="Times New Roman"/>
        </w:rPr>
        <w:t>F</w:t>
      </w:r>
      <w:r w:rsidRPr="006E323E">
        <w:rPr>
          <w:rFonts w:ascii="Times New Roman" w:hAnsi="Times New Roman"/>
          <w:caps w:val="0"/>
        </w:rPr>
        <w:t>ederal Communications Commission</w:t>
      </w:r>
    </w:p>
    <w:p w:rsidR="004C2EE3" w:rsidRPr="006E323E" w:rsidP="00096D8C" w14:paraId="133379F3" w14:textId="77777777">
      <w:pPr>
        <w:pStyle w:val="StyleBoldCentered"/>
        <w:rPr>
          <w:rFonts w:ascii="Times New Roman" w:hAnsi="Times New Roman"/>
        </w:rPr>
      </w:pPr>
      <w:r w:rsidRPr="006E323E">
        <w:rPr>
          <w:rFonts w:ascii="Times New Roman" w:hAnsi="Times New Roman"/>
          <w:caps w:val="0"/>
        </w:rPr>
        <w:t>Washington, D.C. 20554</w:t>
      </w:r>
    </w:p>
    <w:p w:rsidR="004C2EE3" w:rsidRPr="006E323E" w:rsidP="0070224F" w14:paraId="23922AD1" w14:textId="77777777"/>
    <w:tbl>
      <w:tblPr>
        <w:tblW w:w="0" w:type="auto"/>
        <w:tblLayout w:type="fixed"/>
        <w:tblLook w:val="0000"/>
      </w:tblPr>
      <w:tblGrid>
        <w:gridCol w:w="4698"/>
        <w:gridCol w:w="630"/>
        <w:gridCol w:w="4248"/>
      </w:tblGrid>
      <w:tr w14:paraId="02130CC8" w14:textId="77777777">
        <w:tblPrEx>
          <w:tblW w:w="0" w:type="auto"/>
          <w:tblLayout w:type="fixed"/>
          <w:tblLook w:val="0000"/>
        </w:tblPrEx>
        <w:tc>
          <w:tcPr>
            <w:tcW w:w="4698" w:type="dxa"/>
          </w:tcPr>
          <w:p w:rsidR="004C2EE3" w:rsidRPr="006E323E" w14:paraId="39816AEB" w14:textId="77777777">
            <w:pPr>
              <w:tabs>
                <w:tab w:val="center" w:pos="4680"/>
              </w:tabs>
              <w:suppressAutoHyphens/>
              <w:rPr>
                <w:spacing w:val="-2"/>
              </w:rPr>
            </w:pPr>
            <w:r w:rsidRPr="006E323E">
              <w:rPr>
                <w:spacing w:val="-2"/>
              </w:rPr>
              <w:t>In the Matter of</w:t>
            </w:r>
          </w:p>
          <w:p w:rsidR="004C2EE3" w:rsidRPr="006E323E" w14:paraId="34EF8ECA" w14:textId="77777777">
            <w:pPr>
              <w:tabs>
                <w:tab w:val="center" w:pos="4680"/>
              </w:tabs>
              <w:suppressAutoHyphens/>
              <w:rPr>
                <w:spacing w:val="-2"/>
              </w:rPr>
            </w:pPr>
          </w:p>
          <w:p w:rsidR="00D76296" w:rsidRPr="006E323E" w:rsidP="00D76296" w14:paraId="172D735A" w14:textId="77777777">
            <w:pPr>
              <w:tabs>
                <w:tab w:val="center" w:pos="4680"/>
              </w:tabs>
              <w:suppressAutoHyphens/>
              <w:rPr>
                <w:spacing w:val="-2"/>
              </w:rPr>
            </w:pPr>
            <w:r w:rsidRPr="006E323E">
              <w:rPr>
                <w:spacing w:val="-2"/>
              </w:rPr>
              <w:t xml:space="preserve">Applications of TEGNA, Inc. </w:t>
            </w:r>
          </w:p>
          <w:p w:rsidR="00D76296" w:rsidRPr="006E323E" w:rsidP="00D76296" w14:paraId="45AEFE4A" w14:textId="77777777">
            <w:pPr>
              <w:tabs>
                <w:tab w:val="center" w:pos="4680"/>
              </w:tabs>
              <w:suppressAutoHyphens/>
              <w:rPr>
                <w:spacing w:val="-2"/>
              </w:rPr>
            </w:pPr>
            <w:r w:rsidRPr="006E323E">
              <w:rPr>
                <w:spacing w:val="-2"/>
              </w:rPr>
              <w:t>(Transferor)</w:t>
            </w:r>
          </w:p>
          <w:p w:rsidR="00D76296" w:rsidRPr="006E323E" w:rsidP="00D76296" w14:paraId="655E385E" w14:textId="77777777">
            <w:pPr>
              <w:tabs>
                <w:tab w:val="center" w:pos="4680"/>
              </w:tabs>
              <w:suppressAutoHyphens/>
              <w:rPr>
                <w:spacing w:val="-2"/>
              </w:rPr>
            </w:pPr>
          </w:p>
          <w:p w:rsidR="00D76296" w:rsidRPr="006E323E" w:rsidP="00D76296" w14:paraId="6AA56608" w14:textId="77777777">
            <w:pPr>
              <w:tabs>
                <w:tab w:val="center" w:pos="4680"/>
              </w:tabs>
              <w:suppressAutoHyphens/>
              <w:rPr>
                <w:spacing w:val="-2"/>
              </w:rPr>
            </w:pPr>
            <w:r w:rsidRPr="006E323E">
              <w:rPr>
                <w:spacing w:val="-2"/>
              </w:rPr>
              <w:t xml:space="preserve">and </w:t>
            </w:r>
          </w:p>
          <w:p w:rsidR="00D76296" w:rsidRPr="006E323E" w:rsidP="00D76296" w14:paraId="664832B8" w14:textId="77777777">
            <w:pPr>
              <w:tabs>
                <w:tab w:val="center" w:pos="4680"/>
              </w:tabs>
              <w:suppressAutoHyphens/>
              <w:rPr>
                <w:spacing w:val="-2"/>
              </w:rPr>
            </w:pPr>
          </w:p>
          <w:p w:rsidR="00D76296" w:rsidRPr="006E323E" w:rsidP="00D76296" w14:paraId="7ACEB9AC" w14:textId="77777777">
            <w:pPr>
              <w:tabs>
                <w:tab w:val="center" w:pos="4680"/>
              </w:tabs>
              <w:suppressAutoHyphens/>
              <w:rPr>
                <w:spacing w:val="-2"/>
              </w:rPr>
            </w:pPr>
            <w:r w:rsidRPr="006E323E">
              <w:rPr>
                <w:spacing w:val="-2"/>
              </w:rPr>
              <w:t xml:space="preserve">Standard General, L.P and </w:t>
            </w:r>
          </w:p>
          <w:p w:rsidR="004C2EE3" w:rsidRPr="006E323E" w:rsidP="00D76296" w14:paraId="6545B7EB" w14:textId="67B5ECD9">
            <w:pPr>
              <w:tabs>
                <w:tab w:val="center" w:pos="4680"/>
              </w:tabs>
              <w:suppressAutoHyphens/>
              <w:rPr>
                <w:spacing w:val="-2"/>
              </w:rPr>
            </w:pPr>
            <w:r w:rsidRPr="006E323E">
              <w:rPr>
                <w:spacing w:val="-2"/>
              </w:rPr>
              <w:t>SCGI Holdings III, LLC (Transferee)</w:t>
            </w:r>
          </w:p>
        </w:tc>
        <w:tc>
          <w:tcPr>
            <w:tcW w:w="630" w:type="dxa"/>
          </w:tcPr>
          <w:p w:rsidR="004C2EE3" w:rsidRPr="006E323E" w14:paraId="3EAD98B9" w14:textId="77777777">
            <w:pPr>
              <w:tabs>
                <w:tab w:val="center" w:pos="4680"/>
              </w:tabs>
              <w:suppressAutoHyphens/>
              <w:rPr>
                <w:b/>
                <w:spacing w:val="-2"/>
              </w:rPr>
            </w:pPr>
            <w:r w:rsidRPr="006E323E">
              <w:rPr>
                <w:b/>
                <w:spacing w:val="-2"/>
              </w:rPr>
              <w:t>)</w:t>
            </w:r>
          </w:p>
          <w:p w:rsidR="004C2EE3" w:rsidRPr="006E323E" w14:paraId="24C8CFB2" w14:textId="77777777">
            <w:pPr>
              <w:tabs>
                <w:tab w:val="center" w:pos="4680"/>
              </w:tabs>
              <w:suppressAutoHyphens/>
              <w:rPr>
                <w:b/>
                <w:spacing w:val="-2"/>
              </w:rPr>
            </w:pPr>
            <w:r w:rsidRPr="006E323E">
              <w:rPr>
                <w:b/>
                <w:spacing w:val="-2"/>
              </w:rPr>
              <w:t>)</w:t>
            </w:r>
          </w:p>
          <w:p w:rsidR="004C2EE3" w:rsidRPr="006E323E" w14:paraId="46D49503" w14:textId="77777777">
            <w:pPr>
              <w:tabs>
                <w:tab w:val="center" w:pos="4680"/>
              </w:tabs>
              <w:suppressAutoHyphens/>
              <w:rPr>
                <w:b/>
                <w:spacing w:val="-2"/>
              </w:rPr>
            </w:pPr>
            <w:r w:rsidRPr="006E323E">
              <w:rPr>
                <w:b/>
                <w:spacing w:val="-2"/>
              </w:rPr>
              <w:t>)</w:t>
            </w:r>
          </w:p>
          <w:p w:rsidR="004C2EE3" w:rsidRPr="006E323E" w14:paraId="64657A84" w14:textId="77777777">
            <w:pPr>
              <w:tabs>
                <w:tab w:val="center" w:pos="4680"/>
              </w:tabs>
              <w:suppressAutoHyphens/>
              <w:rPr>
                <w:b/>
                <w:spacing w:val="-2"/>
              </w:rPr>
            </w:pPr>
            <w:r w:rsidRPr="006E323E">
              <w:rPr>
                <w:b/>
                <w:spacing w:val="-2"/>
              </w:rPr>
              <w:t>)</w:t>
            </w:r>
          </w:p>
          <w:p w:rsidR="004C2EE3" w:rsidRPr="006E323E" w14:paraId="2419FF68" w14:textId="77777777">
            <w:pPr>
              <w:tabs>
                <w:tab w:val="center" w:pos="4680"/>
              </w:tabs>
              <w:suppressAutoHyphens/>
              <w:rPr>
                <w:b/>
                <w:spacing w:val="-2"/>
              </w:rPr>
            </w:pPr>
            <w:r w:rsidRPr="006E323E">
              <w:rPr>
                <w:b/>
                <w:spacing w:val="-2"/>
              </w:rPr>
              <w:t>)</w:t>
            </w:r>
          </w:p>
          <w:p w:rsidR="004C2EE3" w:rsidRPr="006E323E" w14:paraId="14681060" w14:textId="77777777">
            <w:pPr>
              <w:tabs>
                <w:tab w:val="center" w:pos="4680"/>
              </w:tabs>
              <w:suppressAutoHyphens/>
              <w:rPr>
                <w:b/>
                <w:spacing w:val="-2"/>
              </w:rPr>
            </w:pPr>
            <w:r w:rsidRPr="006E323E">
              <w:rPr>
                <w:b/>
                <w:spacing w:val="-2"/>
              </w:rPr>
              <w:t>)</w:t>
            </w:r>
          </w:p>
          <w:p w:rsidR="004C2EE3" w:rsidRPr="006E323E" w14:paraId="7748F34F" w14:textId="77777777">
            <w:pPr>
              <w:tabs>
                <w:tab w:val="center" w:pos="4680"/>
              </w:tabs>
              <w:suppressAutoHyphens/>
              <w:rPr>
                <w:b/>
                <w:spacing w:val="-2"/>
              </w:rPr>
            </w:pPr>
            <w:r w:rsidRPr="006E323E">
              <w:rPr>
                <w:b/>
                <w:spacing w:val="-2"/>
              </w:rPr>
              <w:t>)</w:t>
            </w:r>
          </w:p>
          <w:p w:rsidR="004C2EE3" w:rsidRPr="006E323E" w14:paraId="44AB25FE" w14:textId="77777777">
            <w:pPr>
              <w:tabs>
                <w:tab w:val="center" w:pos="4680"/>
              </w:tabs>
              <w:suppressAutoHyphens/>
              <w:rPr>
                <w:b/>
                <w:spacing w:val="-2"/>
              </w:rPr>
            </w:pPr>
            <w:r w:rsidRPr="006E323E">
              <w:rPr>
                <w:b/>
                <w:spacing w:val="-2"/>
              </w:rPr>
              <w:t>)</w:t>
            </w:r>
          </w:p>
          <w:p w:rsidR="004C2EE3" w:rsidRPr="006E323E" w14:paraId="74DD6AB2" w14:textId="77777777">
            <w:pPr>
              <w:tabs>
                <w:tab w:val="center" w:pos="4680"/>
              </w:tabs>
              <w:suppressAutoHyphens/>
              <w:rPr>
                <w:spacing w:val="-2"/>
              </w:rPr>
            </w:pPr>
            <w:r w:rsidRPr="006E323E">
              <w:rPr>
                <w:b/>
                <w:spacing w:val="-2"/>
              </w:rPr>
              <w:t>)</w:t>
            </w:r>
          </w:p>
        </w:tc>
        <w:tc>
          <w:tcPr>
            <w:tcW w:w="4248" w:type="dxa"/>
          </w:tcPr>
          <w:p w:rsidR="004C2EE3" w:rsidRPr="006E323E" w14:paraId="6D531E4E" w14:textId="77777777">
            <w:pPr>
              <w:tabs>
                <w:tab w:val="center" w:pos="4680"/>
              </w:tabs>
              <w:suppressAutoHyphens/>
              <w:rPr>
                <w:spacing w:val="-2"/>
              </w:rPr>
            </w:pPr>
          </w:p>
          <w:p w:rsidR="004C2EE3" w:rsidRPr="006E323E" w14:paraId="28BE890E" w14:textId="77777777">
            <w:pPr>
              <w:pStyle w:val="TOAHeading"/>
              <w:tabs>
                <w:tab w:val="center" w:pos="4680"/>
                <w:tab w:val="clear" w:pos="9360"/>
              </w:tabs>
              <w:rPr>
                <w:spacing w:val="-2"/>
              </w:rPr>
            </w:pPr>
          </w:p>
          <w:p w:rsidR="004C2EE3" w:rsidRPr="006E323E" w14:paraId="309C9529" w14:textId="1D1E9054">
            <w:pPr>
              <w:tabs>
                <w:tab w:val="center" w:pos="4680"/>
              </w:tabs>
              <w:suppressAutoHyphens/>
              <w:rPr>
                <w:spacing w:val="-2"/>
              </w:rPr>
            </w:pPr>
            <w:r w:rsidRPr="006E323E">
              <w:rPr>
                <w:spacing w:val="-2"/>
              </w:rPr>
              <w:t>MB Docket No. 22-162</w:t>
            </w:r>
          </w:p>
        </w:tc>
      </w:tr>
    </w:tbl>
    <w:p w:rsidR="004C2EE3" w:rsidRPr="006E323E" w:rsidP="0070224F" w14:paraId="2FDE01B1" w14:textId="77777777"/>
    <w:p w:rsidR="00841AB1" w:rsidRPr="006E323E" w:rsidP="00F021FA" w14:paraId="72F39D25" w14:textId="28C37E9E">
      <w:pPr>
        <w:pStyle w:val="StyleBoldCentered"/>
        <w:rPr>
          <w:rFonts w:ascii="Times New Roman" w:hAnsi="Times New Roman"/>
        </w:rPr>
      </w:pPr>
      <w:r w:rsidRPr="006E323E">
        <w:rPr>
          <w:rFonts w:ascii="Times New Roman" w:hAnsi="Times New Roman"/>
        </w:rPr>
        <w:t>order</w:t>
      </w:r>
    </w:p>
    <w:p w:rsidR="004C2EE3" w:rsidRPr="006E323E" w14:paraId="06E08DFB" w14:textId="77777777">
      <w:pPr>
        <w:tabs>
          <w:tab w:val="left" w:pos="-720"/>
        </w:tabs>
        <w:suppressAutoHyphens/>
        <w:spacing w:line="227" w:lineRule="auto"/>
        <w:rPr>
          <w:spacing w:val="-2"/>
        </w:rPr>
      </w:pPr>
    </w:p>
    <w:p w:rsidR="004C2EE3" w:rsidRPr="006E323E" w:rsidP="00133F79" w14:paraId="6FB37B45" w14:textId="02C1D931">
      <w:pPr>
        <w:tabs>
          <w:tab w:val="left" w:pos="720"/>
          <w:tab w:val="right" w:pos="9360"/>
        </w:tabs>
        <w:suppressAutoHyphens/>
        <w:spacing w:line="227" w:lineRule="auto"/>
        <w:rPr>
          <w:spacing w:val="-2"/>
        </w:rPr>
      </w:pPr>
      <w:r w:rsidRPr="00991229">
        <w:rPr>
          <w:b/>
          <w:spacing w:val="-2"/>
        </w:rPr>
        <w:t xml:space="preserve">Adopted:  </w:t>
      </w:r>
      <w:r w:rsidRPr="00991229" w:rsidR="008A1C02">
        <w:rPr>
          <w:b/>
          <w:spacing w:val="-2"/>
        </w:rPr>
        <w:t xml:space="preserve">July </w:t>
      </w:r>
      <w:r w:rsidRPr="00991229" w:rsidR="00991229">
        <w:rPr>
          <w:b/>
          <w:spacing w:val="-2"/>
        </w:rPr>
        <w:t>12</w:t>
      </w:r>
      <w:r w:rsidRPr="00991229" w:rsidR="008A1C02">
        <w:rPr>
          <w:b/>
          <w:spacing w:val="-2"/>
        </w:rPr>
        <w:t>, 2022</w:t>
      </w:r>
      <w:r w:rsidRPr="00991229">
        <w:rPr>
          <w:b/>
          <w:spacing w:val="-2"/>
        </w:rPr>
        <w:tab/>
      </w:r>
      <w:r w:rsidRPr="00991229" w:rsidR="00822CE0">
        <w:rPr>
          <w:b/>
          <w:spacing w:val="-2"/>
        </w:rPr>
        <w:t>Released</w:t>
      </w:r>
      <w:r w:rsidRPr="00991229">
        <w:rPr>
          <w:b/>
          <w:spacing w:val="-2"/>
        </w:rPr>
        <w:t>:</w:t>
      </w:r>
      <w:r w:rsidRPr="00991229" w:rsidR="00822CE0">
        <w:rPr>
          <w:b/>
          <w:spacing w:val="-2"/>
        </w:rPr>
        <w:t xml:space="preserve"> </w:t>
      </w:r>
      <w:r w:rsidRPr="00991229">
        <w:rPr>
          <w:b/>
          <w:spacing w:val="-2"/>
        </w:rPr>
        <w:t xml:space="preserve"> </w:t>
      </w:r>
      <w:r w:rsidRPr="00991229" w:rsidR="008A1C02">
        <w:rPr>
          <w:b/>
          <w:spacing w:val="-2"/>
        </w:rPr>
        <w:t xml:space="preserve">July </w:t>
      </w:r>
      <w:r w:rsidRPr="00991229" w:rsidR="00991229">
        <w:rPr>
          <w:b/>
          <w:spacing w:val="-2"/>
        </w:rPr>
        <w:t>12</w:t>
      </w:r>
      <w:r w:rsidRPr="00991229" w:rsidR="008A1C02">
        <w:rPr>
          <w:b/>
          <w:spacing w:val="-2"/>
        </w:rPr>
        <w:t>, 2022</w:t>
      </w:r>
    </w:p>
    <w:p w:rsidR="00822CE0" w:rsidRPr="006E323E" w14:paraId="538D02E5" w14:textId="77777777"/>
    <w:p w:rsidR="002B6142" w:rsidRPr="006E323E" w:rsidP="002B6142" w14:paraId="23551711" w14:textId="0391171C">
      <w:pPr>
        <w:rPr>
          <w:spacing w:val="-2"/>
        </w:rPr>
      </w:pPr>
      <w:r w:rsidRPr="006E323E">
        <w:t xml:space="preserve">By </w:t>
      </w:r>
      <w:r w:rsidRPr="006E323E" w:rsidR="004E4A22">
        <w:t>the</w:t>
      </w:r>
      <w:r w:rsidRPr="006E323E" w:rsidR="002A2D2E">
        <w:t xml:space="preserve"> </w:t>
      </w:r>
      <w:r w:rsidRPr="006E323E" w:rsidR="00D76296">
        <w:rPr>
          <w:spacing w:val="-2"/>
        </w:rPr>
        <w:t>Chief, Media Bureau:</w:t>
      </w:r>
    </w:p>
    <w:p w:rsidR="00187601" w:rsidP="002B6142" w14:paraId="3DC4B87E" w14:textId="2A3A97A9">
      <w:pPr>
        <w:pStyle w:val="ParaNum"/>
        <w:numPr>
          <w:ilvl w:val="0"/>
          <w:numId w:val="0"/>
        </w:numPr>
        <w:ind w:firstLine="720"/>
        <w:rPr>
          <w:szCs w:val="22"/>
        </w:rPr>
      </w:pPr>
    </w:p>
    <w:p w:rsidR="002B6142" w:rsidP="002B6142" w14:paraId="5FB1A8FA" w14:textId="319A2606">
      <w:pPr>
        <w:pStyle w:val="ParaNum"/>
        <w:numPr>
          <w:ilvl w:val="0"/>
          <w:numId w:val="8"/>
        </w:numPr>
      </w:pPr>
      <w:r w:rsidRPr="002B6142">
        <w:rPr>
          <w:szCs w:val="22"/>
        </w:rPr>
        <w:t xml:space="preserve">In this Order, we grant </w:t>
      </w:r>
      <w:r w:rsidR="007210C0">
        <w:rPr>
          <w:szCs w:val="22"/>
        </w:rPr>
        <w:t>the</w:t>
      </w:r>
      <w:r w:rsidRPr="002B6142">
        <w:rPr>
          <w:szCs w:val="22"/>
        </w:rPr>
        <w:t xml:space="preserve"> Motion for Extension of Time to File Replies </w:t>
      </w:r>
      <w:r w:rsidR="008069C9">
        <w:rPr>
          <w:szCs w:val="22"/>
        </w:rPr>
        <w:t xml:space="preserve">(Motion) </w:t>
      </w:r>
      <w:r w:rsidRPr="002B6142">
        <w:rPr>
          <w:szCs w:val="22"/>
        </w:rPr>
        <w:t xml:space="preserve">filed by </w:t>
      </w:r>
      <w:r w:rsidRPr="00A42165">
        <w:t xml:space="preserve">The </w:t>
      </w:r>
      <w:r w:rsidRPr="00A42165">
        <w:t>NewsGuild</w:t>
      </w:r>
      <w:r w:rsidRPr="00A42165">
        <w:t>-CWA (TNG-CWA), the National Association of Broadcast Employees and Technicians-CWA (NABET-CWA), Common Cause and United Church of Christ, OC., Inc. doing business as United Church of Christ Media Justice Ministry (UCC</w:t>
      </w:r>
      <w:r w:rsidR="007238F8">
        <w:t xml:space="preserve"> and, collectively, Petitioners</w:t>
      </w:r>
      <w:r w:rsidRPr="00A42165">
        <w:t>)</w:t>
      </w:r>
      <w:r w:rsidR="004C1482">
        <w:t>.</w:t>
      </w:r>
      <w:r>
        <w:rPr>
          <w:rStyle w:val="FootnoteReference"/>
        </w:rPr>
        <w:footnoteReference w:id="3"/>
      </w:r>
      <w:r w:rsidR="004C1482">
        <w:t xml:space="preserve">  The deadline for filing replies for all </w:t>
      </w:r>
      <w:r w:rsidR="00357D76">
        <w:t>current</w:t>
      </w:r>
      <w:r w:rsidR="004C1482">
        <w:t xml:space="preserve"> participants is extended to</w:t>
      </w:r>
      <w:r w:rsidRPr="00A42165">
        <w:t xml:space="preserve"> August 1, 2022.</w:t>
      </w:r>
      <w:r w:rsidR="00440255">
        <w:t xml:space="preserve">  Additionally, </w:t>
      </w:r>
      <w:r w:rsidR="007238F8">
        <w:t>we amend our</w:t>
      </w:r>
      <w:r w:rsidR="00D13496">
        <w:t xml:space="preserve"> June 3, 2022, Public Notice</w:t>
      </w:r>
      <w:r>
        <w:rPr>
          <w:rStyle w:val="FootnoteReference"/>
        </w:rPr>
        <w:footnoteReference w:id="4"/>
      </w:r>
      <w:r w:rsidR="00D13496">
        <w:t xml:space="preserve"> </w:t>
      </w:r>
      <w:r w:rsidR="007238F8">
        <w:t xml:space="preserve">so </w:t>
      </w:r>
      <w:r w:rsidR="00D13496">
        <w:t>all participants will have until August 1, 2022, to supplement any pleadings with information filed in response to the June 3, 2022, Information Request.</w:t>
      </w:r>
      <w:r>
        <w:rPr>
          <w:rStyle w:val="FootnoteReference"/>
        </w:rPr>
        <w:footnoteReference w:id="5"/>
      </w:r>
    </w:p>
    <w:p w:rsidR="00713DBE" w:rsidRPr="00713DBE" w:rsidP="00713DBE" w14:paraId="42A97747" w14:textId="2A8D2021">
      <w:pPr>
        <w:pStyle w:val="ParaNum"/>
        <w:numPr>
          <w:ilvl w:val="0"/>
          <w:numId w:val="8"/>
        </w:numPr>
        <w:rPr>
          <w:sz w:val="20"/>
        </w:rPr>
      </w:pPr>
      <w:r w:rsidRPr="00713DBE">
        <w:t xml:space="preserve">Petitioners cite two primary justifications for the extension.  First, they </w:t>
      </w:r>
      <w:r w:rsidR="00CF04E1">
        <w:t>contend</w:t>
      </w:r>
      <w:r w:rsidRPr="00713DBE">
        <w:t xml:space="preserve"> that the timeframe to file the reply is unnecessarily short and would impede the development of a full record upon which the Commission can make a well-informed decision.  They </w:t>
      </w:r>
      <w:r w:rsidR="00CF04E1">
        <w:t>explain</w:t>
      </w:r>
      <w:r w:rsidRPr="00713DBE" w:rsidR="00CF04E1">
        <w:t xml:space="preserve"> </w:t>
      </w:r>
      <w:r w:rsidRPr="00713DBE">
        <w:t xml:space="preserve">that the 10-day timeframe provided them would encompass two weekends; that the proceeding includes a protective order and, therefore, they would need to draft a </w:t>
      </w:r>
      <w:r w:rsidR="00CF04E1">
        <w:t xml:space="preserve">second, </w:t>
      </w:r>
      <w:r w:rsidRPr="00713DBE">
        <w:t xml:space="preserve">redacted version of the reply; and, finally, that the issues raised by the transaction are complex and extending the deadline now would obviate the need for </w:t>
      </w:r>
      <w:r w:rsidR="00CF04E1">
        <w:t>additional</w:t>
      </w:r>
      <w:r w:rsidRPr="00713DBE">
        <w:t xml:space="preserve"> ex </w:t>
      </w:r>
      <w:r w:rsidRPr="00713DBE">
        <w:t>partes</w:t>
      </w:r>
      <w:r w:rsidRPr="00713DBE">
        <w:t xml:space="preserve"> later.  Second, they note that counsel for TNG-CWA and NABET</w:t>
      </w:r>
      <w:r w:rsidR="00357D76">
        <w:t>-</w:t>
      </w:r>
      <w:r w:rsidRPr="00713DBE">
        <w:t>CWA has had to schedule unavoidable medical treatment.</w:t>
      </w:r>
    </w:p>
    <w:p w:rsidR="00B87B77" w:rsidP="00B34597" w14:paraId="743763AD" w14:textId="622C2B3B">
      <w:pPr>
        <w:pStyle w:val="ParaNum"/>
        <w:numPr>
          <w:ilvl w:val="0"/>
          <w:numId w:val="8"/>
        </w:numPr>
        <w:tabs>
          <w:tab w:val="left" w:pos="1080"/>
        </w:tabs>
      </w:pPr>
      <w:r>
        <w:t xml:space="preserve">In response, SGCI Holdings III LLC, TEGNA Inc., and CMG Media Corporation (collectively, Applicants) </w:t>
      </w:r>
      <w:r w:rsidR="008069C9">
        <w:t>filed a Joint Opposition.</w:t>
      </w:r>
      <w:r>
        <w:rPr>
          <w:rStyle w:val="FootnoteReference"/>
        </w:rPr>
        <w:footnoteReference w:id="6"/>
      </w:r>
      <w:r w:rsidR="003D518E">
        <w:t xml:space="preserve">  Applicants </w:t>
      </w:r>
      <w:r w:rsidR="00006EEE">
        <w:t xml:space="preserve">note </w:t>
      </w:r>
      <w:r w:rsidR="003D518E">
        <w:t xml:space="preserve">that </w:t>
      </w:r>
      <w:r w:rsidR="00D6439D">
        <w:t xml:space="preserve">the Petitioners </w:t>
      </w:r>
      <w:r w:rsidR="00006EEE">
        <w:t>were already granted an extension of the deadlines</w:t>
      </w:r>
      <w:r w:rsidR="00D6439D">
        <w:t>.</w:t>
      </w:r>
      <w:r>
        <w:rPr>
          <w:rStyle w:val="FootnoteReference"/>
        </w:rPr>
        <w:footnoteReference w:id="7"/>
      </w:r>
      <w:r w:rsidR="002A0159">
        <w:t xml:space="preserve"> </w:t>
      </w:r>
      <w:r w:rsidR="00D6439D">
        <w:t xml:space="preserve"> </w:t>
      </w:r>
      <w:r w:rsidR="00136228">
        <w:t xml:space="preserve">Next, Applicants </w:t>
      </w:r>
      <w:r w:rsidR="00006EEE">
        <w:t>question</w:t>
      </w:r>
      <w:r w:rsidR="00136228">
        <w:t xml:space="preserve"> </w:t>
      </w:r>
      <w:r w:rsidR="00261C8A">
        <w:t>Petitioners’</w:t>
      </w:r>
      <w:r w:rsidR="00136228">
        <w:t xml:space="preserve"> need to cite Highly Confidential </w:t>
      </w:r>
      <w:r w:rsidR="00E854F2">
        <w:t>I</w:t>
      </w:r>
      <w:r w:rsidR="00136228">
        <w:t>nformation</w:t>
      </w:r>
      <w:r w:rsidR="00006EEE">
        <w:t xml:space="preserve">, on the basis that </w:t>
      </w:r>
      <w:r w:rsidR="00771C92">
        <w:t>the</w:t>
      </w:r>
      <w:r w:rsidR="00136228">
        <w:t xml:space="preserve"> Applicants’ Opposition did not contain any redacted Confidential or Highly Confidential Information, and replies </w:t>
      </w:r>
      <w:r w:rsidRPr="00136228" w:rsidR="00136228">
        <w:t xml:space="preserve">may only address matters raised in </w:t>
      </w:r>
      <w:r w:rsidRPr="00136228" w:rsidR="00136228">
        <w:t>oppositions.</w:t>
      </w:r>
      <w:r>
        <w:rPr>
          <w:rStyle w:val="FootnoteReference"/>
        </w:rPr>
        <w:footnoteReference w:id="8"/>
      </w:r>
      <w:r w:rsidR="00D614CD">
        <w:t xml:space="preserve">  </w:t>
      </w:r>
      <w:r w:rsidR="00820F5A">
        <w:t xml:space="preserve">Applicants </w:t>
      </w:r>
      <w:r w:rsidR="005C4A7B">
        <w:t>also</w:t>
      </w:r>
      <w:r w:rsidR="00820F5A">
        <w:t xml:space="preserve"> argue that the Applications do not present “complex” issues warranting additional time</w:t>
      </w:r>
      <w:r w:rsidR="00261C8A">
        <w:t xml:space="preserve"> </w:t>
      </w:r>
      <w:r w:rsidR="00771C92">
        <w:t>and that</w:t>
      </w:r>
      <w:r w:rsidR="0053504E">
        <w:t xml:space="preserve"> </w:t>
      </w:r>
      <w:r w:rsidR="00B34597">
        <w:t>a</w:t>
      </w:r>
      <w:r w:rsidR="0053504E">
        <w:t xml:space="preserve"> grant of the Motion would bring the time between application filing and the reply deadline to </w:t>
      </w:r>
      <w:r w:rsidR="00F325D0">
        <w:t>above</w:t>
      </w:r>
      <w:r w:rsidR="0053504E">
        <w:t xml:space="preserve"> the historical average</w:t>
      </w:r>
      <w:r>
        <w:t>.</w:t>
      </w:r>
      <w:r>
        <w:rPr>
          <w:rStyle w:val="FootnoteReference"/>
        </w:rPr>
        <w:footnoteReference w:id="9"/>
      </w:r>
      <w:r>
        <w:t xml:space="preserve">  Applicants</w:t>
      </w:r>
      <w:r w:rsidR="00A52899">
        <w:t xml:space="preserve"> further</w:t>
      </w:r>
      <w:r>
        <w:t xml:space="preserve"> respond that</w:t>
      </w:r>
      <w:r w:rsidR="00B833F3">
        <w:t>, despite the medical procedure, there</w:t>
      </w:r>
      <w:r w:rsidR="00B34597">
        <w:t xml:space="preserve"> </w:t>
      </w:r>
      <w:r>
        <w:t xml:space="preserve">should </w:t>
      </w:r>
      <w:r w:rsidR="00596F22">
        <w:t>b</w:t>
      </w:r>
      <w:r>
        <w:t xml:space="preserve">e ample time to prepare a response on the limited issues that it is permissible for </w:t>
      </w:r>
      <w:r w:rsidR="00B833F3">
        <w:t>Petitioners</w:t>
      </w:r>
      <w:r>
        <w:t xml:space="preserve"> to address on reply, and the Motion itself is indicative that Petitioners are pooling resources in this proceeding.</w:t>
      </w:r>
      <w:r>
        <w:rPr>
          <w:rStyle w:val="FootnoteReference"/>
        </w:rPr>
        <w:footnoteReference w:id="10"/>
      </w:r>
    </w:p>
    <w:p w:rsidR="00713DBE" w:rsidP="00A52899" w14:paraId="29218BAE" w14:textId="2A59FAB5">
      <w:pPr>
        <w:pStyle w:val="ParaNum"/>
        <w:numPr>
          <w:ilvl w:val="0"/>
          <w:numId w:val="8"/>
        </w:numPr>
      </w:pPr>
      <w:r w:rsidRPr="00554729">
        <w:t>As set forth in section 1.46 of the Commission's rules,</w:t>
      </w:r>
      <w:r>
        <w:rPr>
          <w:rStyle w:val="FootnoteReference"/>
        </w:rPr>
        <w:footnoteReference w:id="11"/>
      </w:r>
      <w:r w:rsidRPr="00554729">
        <w:t xml:space="preserve"> the Commission does not routinely grant extensions of time</w:t>
      </w:r>
      <w:r w:rsidR="001B5BF5">
        <w:t>.</w:t>
      </w:r>
      <w:r w:rsidR="00A52899">
        <w:t xml:space="preserve">  </w:t>
      </w:r>
      <w:r>
        <w:t>We</w:t>
      </w:r>
      <w:r w:rsidR="00A52899">
        <w:t xml:space="preserve"> do</w:t>
      </w:r>
      <w:r>
        <w:t xml:space="preserve"> find</w:t>
      </w:r>
      <w:r w:rsidR="00A52899">
        <w:t xml:space="preserve"> in this case </w:t>
      </w:r>
      <w:r>
        <w:t>that the reasons provided justify extending the time within which to file a reply in this proceeding</w:t>
      </w:r>
      <w:r w:rsidR="00E34533">
        <w:t xml:space="preserve">.  The public interest is served by having as complete a record as possible before final consideration of the applications.  Furthermore, so as not to prejudice any of the current participants in this proceeding, we are extending this deadline </w:t>
      </w:r>
      <w:r w:rsidR="00CF04E1">
        <w:t>for</w:t>
      </w:r>
      <w:r w:rsidR="00E34533">
        <w:t xml:space="preserve"> all of those entities that currently have petitions or comments on file.</w:t>
      </w:r>
      <w:r w:rsidR="00A52899">
        <w:t xml:space="preserve">  We do not find the Joint Opposition to be persuasive.</w:t>
      </w:r>
      <w:r w:rsidR="006A29FB">
        <w:t xml:space="preserve">  In the context of a transaction involving review of confidential materials, representation by solo counsel and counsel’s need for medical treatment, </w:t>
      </w:r>
      <w:r w:rsidR="005C4A7B">
        <w:t xml:space="preserve">Applicants’ interest in expediting this proceeding does not outweigh the public interest considerations </w:t>
      </w:r>
      <w:r w:rsidR="00365E22">
        <w:t>supporting</w:t>
      </w:r>
      <w:r w:rsidR="005C4A7B">
        <w:t xml:space="preserve"> a two-week extension.</w:t>
      </w:r>
      <w:r w:rsidR="003B16DB">
        <w:t xml:space="preserve">  </w:t>
      </w:r>
      <w:r w:rsidR="00F85F11">
        <w:t>Further, a</w:t>
      </w:r>
      <w:r w:rsidR="003B16DB">
        <w:t xml:space="preserve">s we explained in issuing the </w:t>
      </w:r>
      <w:r w:rsidR="003B16DB">
        <w:rPr>
          <w:i/>
          <w:iCs/>
        </w:rPr>
        <w:t>Information Request Public Notice</w:t>
      </w:r>
      <w:r w:rsidR="003B16DB">
        <w:t xml:space="preserve">, parties are not </w:t>
      </w:r>
      <w:r w:rsidR="00365E22">
        <w:t>prevented from</w:t>
      </w:r>
      <w:r w:rsidR="003B16DB">
        <w:t xml:space="preserve"> raising new issues in this reply cycle.</w:t>
      </w:r>
      <w:r>
        <w:rPr>
          <w:rStyle w:val="FootnoteReference"/>
        </w:rPr>
        <w:footnoteReference w:id="12"/>
      </w:r>
    </w:p>
    <w:p w:rsidR="00E34533" w:rsidP="001A655C" w14:paraId="1DE426CF" w14:textId="1F2921AA">
      <w:pPr>
        <w:pStyle w:val="ParaNum"/>
        <w:numPr>
          <w:ilvl w:val="0"/>
          <w:numId w:val="8"/>
        </w:numPr>
        <w:tabs>
          <w:tab w:val="left" w:pos="1080"/>
        </w:tabs>
      </w:pPr>
      <w:r>
        <w:t>ACCORDINGLY</w:t>
      </w:r>
      <w:r w:rsidRPr="001A655C">
        <w:rPr>
          <w:szCs w:val="22"/>
        </w:rPr>
        <w:t>, IT IS ORDERED, that the Motion for Extension of Time to File Replies IS GRANTED, and that</w:t>
      </w:r>
      <w:r>
        <w:t xml:space="preserve"> all replies in this proceeding</w:t>
      </w:r>
      <w:r w:rsidR="005772F7">
        <w:t>, MB Docket No. 22-162, will be due by close of business on August 1, 2022.</w:t>
      </w:r>
    </w:p>
    <w:p w:rsidR="00D76296" w:rsidRPr="00713DBE" w:rsidP="001A655C" w14:paraId="255D4DEE" w14:textId="1818DCA6">
      <w:pPr>
        <w:pStyle w:val="ParaNum"/>
        <w:widowControl/>
        <w:numPr>
          <w:ilvl w:val="0"/>
          <w:numId w:val="8"/>
        </w:numPr>
        <w:tabs>
          <w:tab w:val="left" w:pos="1080"/>
        </w:tabs>
      </w:pPr>
      <w:r w:rsidRPr="00713DBE">
        <w:rPr>
          <w:szCs w:val="22"/>
        </w:rPr>
        <w:t>This Order is issued pursuant to Sections 4(j), 214 and 310(d) of the Communications Act of 1934, as amended, and authority delegated under Section 0.283 of the Commission’s rules, 47 CFR §</w:t>
      </w:r>
      <w:r w:rsidR="001A655C">
        <w:rPr>
          <w:szCs w:val="22"/>
        </w:rPr>
        <w:t> </w:t>
      </w:r>
      <w:r w:rsidRPr="00713DBE">
        <w:rPr>
          <w:szCs w:val="22"/>
        </w:rPr>
        <w:t>0.283, and is effective upon its adoption.</w:t>
      </w:r>
    </w:p>
    <w:p w:rsidR="00D76296" w:rsidRPr="00713DBE" w:rsidP="00D76296" w14:paraId="5A1A4844" w14:textId="77777777">
      <w:pPr>
        <w:keepNext/>
        <w:keepLines/>
      </w:pPr>
      <w:r w:rsidRPr="00D76296">
        <w:tab/>
      </w:r>
      <w:r w:rsidRPr="00D76296">
        <w:tab/>
      </w:r>
      <w:r w:rsidRPr="00D76296">
        <w:tab/>
      </w:r>
      <w:r w:rsidRPr="00D76296">
        <w:tab/>
      </w:r>
      <w:r w:rsidRPr="00D76296">
        <w:tab/>
      </w:r>
      <w:r w:rsidRPr="00D76296">
        <w:tab/>
      </w:r>
      <w:r w:rsidRPr="00713DBE">
        <w:t>FEDERAL COMMUNICATIONS COMMISSION</w:t>
      </w:r>
    </w:p>
    <w:p w:rsidR="00D76296" w:rsidRPr="00713DBE" w:rsidP="00D76296" w14:paraId="3D533265" w14:textId="77777777">
      <w:pPr>
        <w:keepNext/>
        <w:keepLines/>
      </w:pPr>
    </w:p>
    <w:p w:rsidR="00D76296" w:rsidRPr="00713DBE" w:rsidP="00D76296" w14:paraId="3BC1106D" w14:textId="77777777">
      <w:pPr>
        <w:keepNext/>
        <w:keepLines/>
      </w:pPr>
    </w:p>
    <w:p w:rsidR="00D76296" w:rsidRPr="00713DBE" w:rsidP="00D76296" w14:paraId="78A0073A" w14:textId="77777777">
      <w:pPr>
        <w:keepNext/>
        <w:keepLines/>
      </w:pPr>
    </w:p>
    <w:p w:rsidR="00D76296" w:rsidRPr="00713DBE" w:rsidP="00D76296" w14:paraId="2E422FE9" w14:textId="77777777">
      <w:pPr>
        <w:keepNext/>
        <w:keepLines/>
      </w:pPr>
    </w:p>
    <w:p w:rsidR="00D76296" w:rsidRPr="00713DBE" w:rsidP="005772F7" w14:paraId="3C34D097" w14:textId="77777777">
      <w:pPr>
        <w:keepNext/>
        <w:keepLines/>
      </w:pPr>
      <w:r w:rsidRPr="00713DBE">
        <w:tab/>
      </w:r>
      <w:r w:rsidRPr="00713DBE">
        <w:tab/>
      </w:r>
      <w:r w:rsidRPr="00713DBE">
        <w:tab/>
      </w:r>
      <w:r w:rsidRPr="00713DBE">
        <w:tab/>
      </w:r>
      <w:r w:rsidRPr="00713DBE">
        <w:tab/>
      </w:r>
      <w:r w:rsidRPr="00713DBE">
        <w:tab/>
        <w:t>Holly Saurer</w:t>
      </w:r>
    </w:p>
    <w:p w:rsidR="005772F7" w:rsidRPr="00D76296" w:rsidP="005772F7" w14:paraId="149B381C" w14:textId="4177A630">
      <w:pPr>
        <w:keepNext/>
        <w:keepLines/>
      </w:pPr>
      <w:r w:rsidRPr="00713DBE">
        <w:tab/>
      </w:r>
      <w:r w:rsidRPr="00713DBE">
        <w:tab/>
      </w:r>
      <w:r w:rsidRPr="00713DBE">
        <w:tab/>
      </w:r>
      <w:r w:rsidRPr="00713DBE">
        <w:tab/>
      </w:r>
      <w:r w:rsidRPr="00713DBE">
        <w:tab/>
      </w:r>
      <w:r w:rsidRPr="00713DBE">
        <w:tab/>
        <w:t>C</w:t>
      </w:r>
      <w:r>
        <w:t>hief, Media Bureau</w:t>
      </w:r>
    </w:p>
    <w:p w:rsidR="00412FC5" w:rsidRPr="00D76296" w:rsidP="00D76296" w14:paraId="07557E5F" w14:textId="286BC66A">
      <w:pPr>
        <w:snapToGrid w:val="0"/>
        <w:spacing w:line="200" w:lineRule="exact"/>
        <w:ind w:left="3600" w:firstLine="720"/>
      </w:pPr>
    </w:p>
    <w:sectPr w:rsidSect="00D76296">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04B6E8C4" w14:textId="77777777">
    <w:pPr>
      <w:pStyle w:val="Footer"/>
      <w:framePr w:wrap="around" w:vAnchor="text" w:hAnchor="margin" w:xAlign="center" w:y="1"/>
    </w:pPr>
    <w:r>
      <w:fldChar w:fldCharType="begin"/>
    </w:r>
    <w:r>
      <w:instrText xml:space="preserve">PAGE  </w:instrText>
    </w:r>
    <w:r w:rsidR="00960BC0">
      <w:fldChar w:fldCharType="separate"/>
    </w:r>
    <w:r>
      <w:fldChar w:fldCharType="end"/>
    </w:r>
  </w:p>
  <w:p w:rsidR="00840C2D" w14:paraId="780C54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153176D4" w14:textId="77777777">
    <w:pPr>
      <w:pStyle w:val="Footer"/>
      <w:framePr w:wrap="around" w:vAnchor="text" w:hAnchor="margin" w:xAlign="center" w:y="1"/>
    </w:pPr>
    <w:r>
      <w:fldChar w:fldCharType="begin"/>
    </w:r>
    <w:r>
      <w:instrText xml:space="preserve">PAGE  </w:instrText>
    </w:r>
    <w:r>
      <w:fldChar w:fldCharType="separate"/>
    </w:r>
    <w:r>
      <w:rPr>
        <w:noProof/>
      </w:rPr>
      <w:t>4</w:t>
    </w:r>
    <w:r>
      <w:fldChar w:fldCharType="end"/>
    </w:r>
  </w:p>
  <w:p w:rsidR="00840C2D" w14:paraId="25A85FB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D76296" w14:paraId="6A7EB525" w14:textId="2F745FE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6FBC" w14:paraId="5FC60A05" w14:textId="77777777">
      <w:r>
        <w:separator/>
      </w:r>
    </w:p>
  </w:footnote>
  <w:footnote w:type="continuationSeparator" w:id="1">
    <w:p w:rsidR="00FB6FBC" w:rsidP="00C721AC" w14:paraId="54754DA1" w14:textId="77777777">
      <w:pPr>
        <w:spacing w:before="120"/>
        <w:rPr>
          <w:sz w:val="20"/>
        </w:rPr>
      </w:pPr>
      <w:r>
        <w:rPr>
          <w:sz w:val="20"/>
        </w:rPr>
        <w:t xml:space="preserve">(Continued from previous page)  </w:t>
      </w:r>
      <w:r>
        <w:rPr>
          <w:sz w:val="20"/>
        </w:rPr>
        <w:separator/>
      </w:r>
    </w:p>
  </w:footnote>
  <w:footnote w:type="continuationNotice" w:id="2">
    <w:p w:rsidR="00FB6FBC" w:rsidP="00C721AC" w14:paraId="5396582B" w14:textId="77777777">
      <w:pPr>
        <w:jc w:val="right"/>
        <w:rPr>
          <w:sz w:val="20"/>
        </w:rPr>
      </w:pPr>
      <w:r>
        <w:rPr>
          <w:sz w:val="20"/>
        </w:rPr>
        <w:t>(continued….)</w:t>
      </w:r>
    </w:p>
  </w:footnote>
  <w:footnote w:id="3">
    <w:p w:rsidR="008069C9" w:rsidRPr="008069C9" w14:paraId="52EDADEA" w14:textId="267F5E52">
      <w:pPr>
        <w:pStyle w:val="FootnoteText"/>
      </w:pPr>
      <w:r>
        <w:rPr>
          <w:rStyle w:val="FootnoteReference"/>
        </w:rPr>
        <w:footnoteRef/>
      </w:r>
      <w:r>
        <w:t xml:space="preserve"> </w:t>
      </w:r>
      <w:r>
        <w:rPr>
          <w:i/>
          <w:iCs/>
        </w:rPr>
        <w:t>See</w:t>
      </w:r>
      <w:r>
        <w:t xml:space="preserve"> Motion, </w:t>
      </w:r>
      <w:r w:rsidRPr="006E323E">
        <w:rPr>
          <w:spacing w:val="-2"/>
        </w:rPr>
        <w:t>MB Docket No. 22-162</w:t>
      </w:r>
      <w:r>
        <w:rPr>
          <w:spacing w:val="-2"/>
        </w:rPr>
        <w:t xml:space="preserve"> (filed July 8, 2022)</w:t>
      </w:r>
    </w:p>
  </w:footnote>
  <w:footnote w:id="4">
    <w:p w:rsidR="00D13496" w:rsidRPr="00E8220D" w:rsidP="00554729" w14:paraId="581F28DE" w14:textId="5F72A121">
      <w:pPr>
        <w:pStyle w:val="FootnoteText"/>
      </w:pPr>
      <w:r>
        <w:rPr>
          <w:rStyle w:val="FootnoteReference"/>
        </w:rPr>
        <w:footnoteRef/>
      </w:r>
      <w:r>
        <w:t xml:space="preserve"> </w:t>
      </w:r>
      <w:r w:rsidRPr="00F66C7A" w:rsidR="00E8220D">
        <w:rPr>
          <w:i/>
          <w:iCs/>
        </w:rPr>
        <w:t>Media Bureau Issues Information Request and Protective Order for Applications to Transfer Control of TEGNA, Inc., to Standard General, L.P.</w:t>
      </w:r>
      <w:r w:rsidRPr="00952E19" w:rsidR="00E8220D">
        <w:t>, Public Notice, MB Docket No. 22-162, DA 22-605 (MB rel. June 3, 2022)</w:t>
      </w:r>
      <w:r w:rsidR="003B16DB">
        <w:t xml:space="preserve"> (</w:t>
      </w:r>
      <w:r w:rsidR="003B16DB">
        <w:rPr>
          <w:i/>
          <w:iCs/>
        </w:rPr>
        <w:t>Information Request Public Notice</w:t>
      </w:r>
      <w:r w:rsidR="003B16DB">
        <w:t>)</w:t>
      </w:r>
      <w:r w:rsidRPr="00952E19" w:rsidR="00E8220D">
        <w:t>.</w:t>
      </w:r>
    </w:p>
  </w:footnote>
  <w:footnote w:id="5">
    <w:p w:rsidR="00E8220D" w14:paraId="23BF79FF" w14:textId="2398001E">
      <w:pPr>
        <w:pStyle w:val="FootnoteText"/>
      </w:pPr>
      <w:r>
        <w:rPr>
          <w:rStyle w:val="FootnoteReference"/>
        </w:rPr>
        <w:footnoteRef/>
      </w:r>
      <w:r>
        <w:t xml:space="preserve"> Letter</w:t>
      </w:r>
      <w:r w:rsidR="00945F6C">
        <w:t xml:space="preserve"> from Holly Saurer, Chief, FCC Media Bureau to Scott R. Flick, </w:t>
      </w:r>
      <w:r w:rsidR="00945F6C">
        <w:rPr>
          <w:i/>
          <w:iCs/>
        </w:rPr>
        <w:t>et al.</w:t>
      </w:r>
      <w:r w:rsidRPr="00952E19">
        <w:t>, MB Docket No. 22-162, DA 22-60</w:t>
      </w:r>
      <w:r w:rsidR="007238F8">
        <w:t>3</w:t>
      </w:r>
      <w:r w:rsidRPr="00952E19">
        <w:t xml:space="preserve"> (MB rel. June 3, 2022).</w:t>
      </w:r>
    </w:p>
  </w:footnote>
  <w:footnote w:id="6">
    <w:p w:rsidR="008069C9" w:rsidRPr="008069C9" w14:paraId="597301D1" w14:textId="0C516770">
      <w:pPr>
        <w:pStyle w:val="FootnoteText"/>
      </w:pPr>
      <w:r>
        <w:rPr>
          <w:rStyle w:val="FootnoteReference"/>
        </w:rPr>
        <w:footnoteRef/>
      </w:r>
      <w:r>
        <w:t xml:space="preserve"> </w:t>
      </w:r>
      <w:r>
        <w:rPr>
          <w:i/>
          <w:iCs/>
        </w:rPr>
        <w:t>See</w:t>
      </w:r>
      <w:r>
        <w:t xml:space="preserve"> Joint Opposition, MB Docket No. 22-162 (filed July 11, 2022).</w:t>
      </w:r>
    </w:p>
  </w:footnote>
  <w:footnote w:id="7">
    <w:p w:rsidR="00D6439D" w:rsidRPr="00D6439D" w14:paraId="22C19195" w14:textId="15673092">
      <w:pPr>
        <w:pStyle w:val="FootnoteText"/>
      </w:pPr>
      <w:r>
        <w:rPr>
          <w:rStyle w:val="FootnoteReference"/>
        </w:rPr>
        <w:footnoteRef/>
      </w:r>
      <w:r>
        <w:t xml:space="preserve"> </w:t>
      </w:r>
      <w:r>
        <w:rPr>
          <w:i/>
          <w:iCs/>
        </w:rPr>
        <w:t>Id</w:t>
      </w:r>
      <w:r>
        <w:t>. at 5-6.</w:t>
      </w:r>
    </w:p>
  </w:footnote>
  <w:footnote w:id="8">
    <w:p w:rsidR="00820F5A" w:rsidRPr="00820F5A" w14:paraId="68C91018" w14:textId="5D0B19C1">
      <w:pPr>
        <w:pStyle w:val="FootnoteText"/>
      </w:pPr>
      <w:r>
        <w:rPr>
          <w:rStyle w:val="FootnoteReference"/>
        </w:rPr>
        <w:footnoteRef/>
      </w:r>
      <w:r>
        <w:t xml:space="preserve"> </w:t>
      </w:r>
      <w:r>
        <w:rPr>
          <w:i/>
          <w:iCs/>
        </w:rPr>
        <w:t>Id</w:t>
      </w:r>
      <w:r>
        <w:t>. at 2, 6 (citations omitted).</w:t>
      </w:r>
    </w:p>
  </w:footnote>
  <w:footnote w:id="9">
    <w:p w:rsidR="00820F5A" w14:paraId="40376140" w14:textId="16DA46D4">
      <w:pPr>
        <w:pStyle w:val="FootnoteText"/>
      </w:pPr>
      <w:r>
        <w:rPr>
          <w:rStyle w:val="FootnoteReference"/>
        </w:rPr>
        <w:footnoteRef/>
      </w:r>
      <w:r>
        <w:t xml:space="preserve"> </w:t>
      </w:r>
      <w:r>
        <w:rPr>
          <w:i/>
          <w:iCs/>
        </w:rPr>
        <w:t>Id</w:t>
      </w:r>
      <w:r>
        <w:t xml:space="preserve">. at </w:t>
      </w:r>
      <w:r w:rsidR="00B34597">
        <w:t xml:space="preserve">2, </w:t>
      </w:r>
      <w:r>
        <w:t>8</w:t>
      </w:r>
      <w:r w:rsidR="00B34597">
        <w:t>.</w:t>
      </w:r>
    </w:p>
  </w:footnote>
  <w:footnote w:id="10">
    <w:p w:rsidR="00B87B77" w:rsidRPr="00B87B77" w14:paraId="3ADA8C8D" w14:textId="5D368B15">
      <w:pPr>
        <w:pStyle w:val="FootnoteText"/>
      </w:pPr>
      <w:r>
        <w:rPr>
          <w:rStyle w:val="FootnoteReference"/>
        </w:rPr>
        <w:footnoteRef/>
      </w:r>
      <w:r>
        <w:t xml:space="preserve"> </w:t>
      </w:r>
      <w:r>
        <w:rPr>
          <w:i/>
          <w:iCs/>
        </w:rPr>
        <w:t>Id</w:t>
      </w:r>
      <w:r>
        <w:t xml:space="preserve">. at </w:t>
      </w:r>
      <w:r w:rsidR="00A52899">
        <w:t>9.</w:t>
      </w:r>
    </w:p>
  </w:footnote>
  <w:footnote w:id="11">
    <w:p w:rsidR="00554729" w:rsidP="001B5BF5" w14:paraId="04A4B9ED" w14:textId="414D7BC6">
      <w:pPr>
        <w:pStyle w:val="FootnoteText"/>
      </w:pPr>
      <w:r>
        <w:rPr>
          <w:rStyle w:val="FootnoteReference"/>
        </w:rPr>
        <w:footnoteRef/>
      </w:r>
      <w:r>
        <w:t xml:space="preserve"> </w:t>
      </w:r>
      <w:r w:rsidR="001B5BF5">
        <w:t>47 CFR § 1.46.</w:t>
      </w:r>
    </w:p>
  </w:footnote>
  <w:footnote w:id="12">
    <w:p w:rsidR="003B16DB" w:rsidRPr="00185A6A" w14:paraId="7D2FE050" w14:textId="2743BE24">
      <w:pPr>
        <w:pStyle w:val="FootnoteText"/>
      </w:pPr>
      <w:r>
        <w:rPr>
          <w:rStyle w:val="FootnoteReference"/>
        </w:rPr>
        <w:footnoteRef/>
      </w:r>
      <w:r>
        <w:t xml:space="preserve"> </w:t>
      </w:r>
      <w:r w:rsidR="00185A6A">
        <w:rPr>
          <w:i/>
          <w:iCs/>
        </w:rPr>
        <w:t>Information Request Public Notice</w:t>
      </w:r>
      <w:r w:rsidR="00185A6A">
        <w:t xml:space="preserve"> at 1 (“I</w:t>
      </w:r>
      <w:r w:rsidRPr="00E522FD" w:rsidR="00185A6A">
        <w:t xml:space="preserve">f entities and/or persons need more time to review the </w:t>
      </w:r>
      <w:r w:rsidR="00185A6A">
        <w:t>Applicant’s submissions</w:t>
      </w:r>
      <w:r w:rsidRPr="00E522FD" w:rsidR="00185A6A">
        <w:t xml:space="preserve">, they may supplement any filed pleadings by the July 18, 2022, deadline for </w:t>
      </w:r>
      <w:r w:rsidR="00185A6A">
        <w:t>the petitioner(s)’</w:t>
      </w:r>
      <w:r w:rsidRPr="00E522FD" w:rsidR="00185A6A">
        <w:t xml:space="preserve"> reply</w:t>
      </w:r>
      <w:r w:rsidR="00602B55">
        <w:t>.</w:t>
      </w:r>
      <w:r w:rsidR="00185A6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7C56C9" w14:paraId="499FF479" w14:textId="2F8C08BE">
    <w:pPr>
      <w:pStyle w:val="Header"/>
    </w:pPr>
    <w:r>
      <w:tab/>
      <w:t>Federal Communications Commission</w:t>
    </w:r>
    <w:r>
      <w:tab/>
    </w:r>
    <w:r w:rsidRPr="00960BC0">
      <w:t xml:space="preserve">DA </w:t>
    </w:r>
    <w:r w:rsidRPr="00960BC0" w:rsidR="008A1C02">
      <w:t>22-</w:t>
    </w:r>
    <w:r w:rsidR="00960BC0">
      <w:t>752</w:t>
    </w:r>
    <w:r>
      <w:t xml:space="preserve"> </w:t>
    </w:r>
  </w:p>
  <w:p w:rsidR="00840C2D" w14:paraId="18729F20" w14:textId="4A046C4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0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7"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40C2D" w14:paraId="004F47F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17D" w:rsidRPr="0000617D" w:rsidP="0000617D" w14:paraId="28B25C5B" w14:textId="4046B095">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0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8"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D76296">
      <w:tab/>
      <w:t>Federal Communications Commission</w:t>
    </w:r>
    <w:r w:rsidR="00D76296">
      <w:tab/>
    </w:r>
    <w:r w:rsidRPr="00960BC0" w:rsidR="00D76296">
      <w:t xml:space="preserve">DA </w:t>
    </w:r>
    <w:r w:rsidRPr="00960BC0" w:rsidR="00F24C4A">
      <w:t>22-</w:t>
    </w:r>
    <w:r w:rsidR="00960BC0">
      <w:t>752</w:t>
    </w:r>
  </w:p>
  <w:p w:rsidR="00840C2D" w:rsidP="007C56C9" w14:paraId="5D8DE50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7"/>
    <w:lvlOverride w:ilvl="0">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96"/>
    <w:rsid w:val="0000617D"/>
    <w:rsid w:val="00006EEE"/>
    <w:rsid w:val="00036039"/>
    <w:rsid w:val="00037F90"/>
    <w:rsid w:val="000875BF"/>
    <w:rsid w:val="00096D8C"/>
    <w:rsid w:val="000C0B65"/>
    <w:rsid w:val="000C7739"/>
    <w:rsid w:val="000E05FE"/>
    <w:rsid w:val="000E3D42"/>
    <w:rsid w:val="001106B2"/>
    <w:rsid w:val="00122BD5"/>
    <w:rsid w:val="00133F79"/>
    <w:rsid w:val="00136228"/>
    <w:rsid w:val="00146359"/>
    <w:rsid w:val="00165480"/>
    <w:rsid w:val="00185A6A"/>
    <w:rsid w:val="00187601"/>
    <w:rsid w:val="00194A66"/>
    <w:rsid w:val="001A655C"/>
    <w:rsid w:val="001B5BF5"/>
    <w:rsid w:val="001D6BCF"/>
    <w:rsid w:val="001E01CA"/>
    <w:rsid w:val="00237E89"/>
    <w:rsid w:val="00261C8A"/>
    <w:rsid w:val="00275CF5"/>
    <w:rsid w:val="0028301F"/>
    <w:rsid w:val="00285017"/>
    <w:rsid w:val="002A0159"/>
    <w:rsid w:val="002A2D2E"/>
    <w:rsid w:val="002B6142"/>
    <w:rsid w:val="002C00E8"/>
    <w:rsid w:val="00343749"/>
    <w:rsid w:val="00357D76"/>
    <w:rsid w:val="00365E22"/>
    <w:rsid w:val="003660ED"/>
    <w:rsid w:val="003B0550"/>
    <w:rsid w:val="003B16DB"/>
    <w:rsid w:val="003B694F"/>
    <w:rsid w:val="003C2ABE"/>
    <w:rsid w:val="003D518E"/>
    <w:rsid w:val="003F171C"/>
    <w:rsid w:val="00412FC5"/>
    <w:rsid w:val="00422276"/>
    <w:rsid w:val="004242F1"/>
    <w:rsid w:val="00440255"/>
    <w:rsid w:val="00445A00"/>
    <w:rsid w:val="00451B0F"/>
    <w:rsid w:val="00477BFA"/>
    <w:rsid w:val="00482CEB"/>
    <w:rsid w:val="004C1482"/>
    <w:rsid w:val="004C2EE3"/>
    <w:rsid w:val="004E4A22"/>
    <w:rsid w:val="004E5232"/>
    <w:rsid w:val="00511968"/>
    <w:rsid w:val="0053504E"/>
    <w:rsid w:val="00554729"/>
    <w:rsid w:val="0055614C"/>
    <w:rsid w:val="00566D06"/>
    <w:rsid w:val="005772F7"/>
    <w:rsid w:val="00596F22"/>
    <w:rsid w:val="005C4A7B"/>
    <w:rsid w:val="005D111C"/>
    <w:rsid w:val="005E14C2"/>
    <w:rsid w:val="00602B55"/>
    <w:rsid w:val="00607BA5"/>
    <w:rsid w:val="0061180A"/>
    <w:rsid w:val="00626EB6"/>
    <w:rsid w:val="00655D03"/>
    <w:rsid w:val="00676CA7"/>
    <w:rsid w:val="00683388"/>
    <w:rsid w:val="00683F84"/>
    <w:rsid w:val="00693FDE"/>
    <w:rsid w:val="006A29FB"/>
    <w:rsid w:val="006A6A81"/>
    <w:rsid w:val="006B1B80"/>
    <w:rsid w:val="006D0D67"/>
    <w:rsid w:val="006E323E"/>
    <w:rsid w:val="006F7393"/>
    <w:rsid w:val="0070224F"/>
    <w:rsid w:val="007115F7"/>
    <w:rsid w:val="00713DBE"/>
    <w:rsid w:val="007210C0"/>
    <w:rsid w:val="007238F8"/>
    <w:rsid w:val="00730368"/>
    <w:rsid w:val="00761E05"/>
    <w:rsid w:val="00771C92"/>
    <w:rsid w:val="007823C6"/>
    <w:rsid w:val="00785689"/>
    <w:rsid w:val="0079754B"/>
    <w:rsid w:val="007A1E6D"/>
    <w:rsid w:val="007B0EB2"/>
    <w:rsid w:val="007C56C9"/>
    <w:rsid w:val="008069C9"/>
    <w:rsid w:val="00810B6F"/>
    <w:rsid w:val="00820F5A"/>
    <w:rsid w:val="00822CE0"/>
    <w:rsid w:val="00840C2D"/>
    <w:rsid w:val="00841AB1"/>
    <w:rsid w:val="008A1C02"/>
    <w:rsid w:val="008C68F1"/>
    <w:rsid w:val="00921803"/>
    <w:rsid w:val="00926503"/>
    <w:rsid w:val="00945F6C"/>
    <w:rsid w:val="00952E19"/>
    <w:rsid w:val="00960BC0"/>
    <w:rsid w:val="009726D8"/>
    <w:rsid w:val="00991229"/>
    <w:rsid w:val="009D7308"/>
    <w:rsid w:val="009E3939"/>
    <w:rsid w:val="009F76DB"/>
    <w:rsid w:val="00A04CF4"/>
    <w:rsid w:val="00A32C3B"/>
    <w:rsid w:val="00A42165"/>
    <w:rsid w:val="00A45F4F"/>
    <w:rsid w:val="00A52899"/>
    <w:rsid w:val="00A600A9"/>
    <w:rsid w:val="00AA55B7"/>
    <w:rsid w:val="00AA5B9E"/>
    <w:rsid w:val="00AB2407"/>
    <w:rsid w:val="00AB53DF"/>
    <w:rsid w:val="00B07E5C"/>
    <w:rsid w:val="00B22827"/>
    <w:rsid w:val="00B34597"/>
    <w:rsid w:val="00B811F7"/>
    <w:rsid w:val="00B833F3"/>
    <w:rsid w:val="00B87B77"/>
    <w:rsid w:val="00B9523C"/>
    <w:rsid w:val="00BA5DC6"/>
    <w:rsid w:val="00BA6196"/>
    <w:rsid w:val="00BC6D8C"/>
    <w:rsid w:val="00C34006"/>
    <w:rsid w:val="00C36B4C"/>
    <w:rsid w:val="00C426B1"/>
    <w:rsid w:val="00C50B7B"/>
    <w:rsid w:val="00C66160"/>
    <w:rsid w:val="00C721AC"/>
    <w:rsid w:val="00C90D6A"/>
    <w:rsid w:val="00CA247E"/>
    <w:rsid w:val="00CA6D21"/>
    <w:rsid w:val="00CC72B6"/>
    <w:rsid w:val="00CF04E1"/>
    <w:rsid w:val="00D0218D"/>
    <w:rsid w:val="00D13496"/>
    <w:rsid w:val="00D25FB5"/>
    <w:rsid w:val="00D44223"/>
    <w:rsid w:val="00D614CD"/>
    <w:rsid w:val="00D6439D"/>
    <w:rsid w:val="00D76296"/>
    <w:rsid w:val="00D87C5D"/>
    <w:rsid w:val="00DA2529"/>
    <w:rsid w:val="00DB130A"/>
    <w:rsid w:val="00DB2EBB"/>
    <w:rsid w:val="00DC10A1"/>
    <w:rsid w:val="00DC655F"/>
    <w:rsid w:val="00DD0B59"/>
    <w:rsid w:val="00DD7EBD"/>
    <w:rsid w:val="00DF62B6"/>
    <w:rsid w:val="00E07225"/>
    <w:rsid w:val="00E34533"/>
    <w:rsid w:val="00E522FD"/>
    <w:rsid w:val="00E5409F"/>
    <w:rsid w:val="00E8220D"/>
    <w:rsid w:val="00E854F2"/>
    <w:rsid w:val="00EB426A"/>
    <w:rsid w:val="00EE6488"/>
    <w:rsid w:val="00F021FA"/>
    <w:rsid w:val="00F24C4A"/>
    <w:rsid w:val="00F325D0"/>
    <w:rsid w:val="00F62E97"/>
    <w:rsid w:val="00F64209"/>
    <w:rsid w:val="00F66C7A"/>
    <w:rsid w:val="00F85F11"/>
    <w:rsid w:val="00F93BF5"/>
    <w:rsid w:val="00FA2B7F"/>
    <w:rsid w:val="00FB6FBC"/>
    <w:rsid w:val="00FE3B5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5038C438"/>
  <w15:chartTrackingRefBased/>
  <w15:docId w15:val="{7CEECE4F-C17B-4748-8B73-CDC02E66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60BC0"/>
    <w:pPr>
      <w:widowControl w:val="0"/>
    </w:pPr>
    <w:rPr>
      <w:snapToGrid w:val="0"/>
      <w:kern w:val="28"/>
      <w:sz w:val="22"/>
    </w:rPr>
  </w:style>
  <w:style w:type="paragraph" w:styleId="Heading1">
    <w:name w:val="heading 1"/>
    <w:basedOn w:val="Normal"/>
    <w:next w:val="ParaNum"/>
    <w:qFormat/>
    <w:rsid w:val="00960B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60BC0"/>
    <w:pPr>
      <w:keepNext/>
      <w:numPr>
        <w:ilvl w:val="1"/>
        <w:numId w:val="3"/>
      </w:numPr>
      <w:spacing w:after="120"/>
      <w:outlineLvl w:val="1"/>
    </w:pPr>
    <w:rPr>
      <w:b/>
    </w:rPr>
  </w:style>
  <w:style w:type="paragraph" w:styleId="Heading3">
    <w:name w:val="heading 3"/>
    <w:basedOn w:val="Normal"/>
    <w:next w:val="ParaNum"/>
    <w:qFormat/>
    <w:rsid w:val="00960BC0"/>
    <w:pPr>
      <w:keepNext/>
      <w:numPr>
        <w:ilvl w:val="2"/>
        <w:numId w:val="3"/>
      </w:numPr>
      <w:tabs>
        <w:tab w:val="left" w:pos="2160"/>
      </w:tabs>
      <w:spacing w:after="120"/>
      <w:outlineLvl w:val="2"/>
    </w:pPr>
    <w:rPr>
      <w:b/>
    </w:rPr>
  </w:style>
  <w:style w:type="paragraph" w:styleId="Heading4">
    <w:name w:val="heading 4"/>
    <w:basedOn w:val="Normal"/>
    <w:next w:val="ParaNum"/>
    <w:qFormat/>
    <w:rsid w:val="00960BC0"/>
    <w:pPr>
      <w:keepNext/>
      <w:numPr>
        <w:ilvl w:val="3"/>
        <w:numId w:val="3"/>
      </w:numPr>
      <w:tabs>
        <w:tab w:val="left" w:pos="2880"/>
      </w:tabs>
      <w:spacing w:after="120"/>
      <w:outlineLvl w:val="3"/>
    </w:pPr>
    <w:rPr>
      <w:b/>
    </w:rPr>
  </w:style>
  <w:style w:type="paragraph" w:styleId="Heading5">
    <w:name w:val="heading 5"/>
    <w:basedOn w:val="Normal"/>
    <w:next w:val="ParaNum"/>
    <w:qFormat/>
    <w:rsid w:val="00960BC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60BC0"/>
    <w:pPr>
      <w:numPr>
        <w:ilvl w:val="5"/>
        <w:numId w:val="3"/>
      </w:numPr>
      <w:tabs>
        <w:tab w:val="left" w:pos="4320"/>
      </w:tabs>
      <w:spacing w:after="120"/>
      <w:outlineLvl w:val="5"/>
    </w:pPr>
    <w:rPr>
      <w:b/>
    </w:rPr>
  </w:style>
  <w:style w:type="paragraph" w:styleId="Heading7">
    <w:name w:val="heading 7"/>
    <w:basedOn w:val="Normal"/>
    <w:next w:val="ParaNum"/>
    <w:qFormat/>
    <w:rsid w:val="00960B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60BC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60B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60B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0BC0"/>
  </w:style>
  <w:style w:type="paragraph" w:customStyle="1" w:styleId="ParaNum">
    <w:name w:val="ParaNum"/>
    <w:basedOn w:val="Normal"/>
    <w:rsid w:val="00960BC0"/>
    <w:pPr>
      <w:numPr>
        <w:numId w:val="2"/>
      </w:numPr>
      <w:tabs>
        <w:tab w:val="clear" w:pos="1080"/>
        <w:tab w:val="num" w:pos="1440"/>
      </w:tabs>
      <w:spacing w:after="120"/>
    </w:pPr>
  </w:style>
  <w:style w:type="paragraph" w:styleId="EndnoteText">
    <w:name w:val="endnote text"/>
    <w:basedOn w:val="Normal"/>
    <w:semiHidden/>
    <w:rsid w:val="00960BC0"/>
    <w:rPr>
      <w:sz w:val="20"/>
    </w:rPr>
  </w:style>
  <w:style w:type="character" w:styleId="EndnoteReference">
    <w:name w:val="endnote reference"/>
    <w:semiHidden/>
    <w:rsid w:val="00960BC0"/>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960BC0"/>
    <w:pPr>
      <w:spacing w:after="120"/>
    </w:pPr>
  </w:style>
  <w:style w:type="character" w:styleId="FootnoteReference">
    <w:name w:val="footnote reference"/>
    <w:aliases w:val="(NECG) Footnote Reference,Appel note de bas de p,FR,Footnote Reference/,Style 12,Style 124,Style 13,Style 17,Style 3,Style 6,Style 7,fr,o"/>
    <w:rsid w:val="00960BC0"/>
    <w:rPr>
      <w:rFonts w:ascii="Times New Roman" w:hAnsi="Times New Roman"/>
      <w:dstrike w:val="0"/>
      <w:color w:val="auto"/>
      <w:sz w:val="20"/>
      <w:vertAlign w:val="superscript"/>
    </w:rPr>
  </w:style>
  <w:style w:type="paragraph" w:styleId="TOC1">
    <w:name w:val="toc 1"/>
    <w:basedOn w:val="Normal"/>
    <w:next w:val="Normal"/>
    <w:semiHidden/>
    <w:rsid w:val="00960B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60BC0"/>
    <w:pPr>
      <w:tabs>
        <w:tab w:val="left" w:pos="720"/>
        <w:tab w:val="right" w:leader="dot" w:pos="9360"/>
      </w:tabs>
      <w:suppressAutoHyphens/>
      <w:ind w:left="720" w:right="720" w:hanging="360"/>
    </w:pPr>
    <w:rPr>
      <w:noProof/>
    </w:rPr>
  </w:style>
  <w:style w:type="paragraph" w:styleId="TOC3">
    <w:name w:val="toc 3"/>
    <w:basedOn w:val="Normal"/>
    <w:next w:val="Normal"/>
    <w:semiHidden/>
    <w:rsid w:val="00960B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60B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60B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0B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0B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0B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0B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60BC0"/>
    <w:pPr>
      <w:tabs>
        <w:tab w:val="right" w:pos="9360"/>
      </w:tabs>
      <w:suppressAutoHyphens/>
    </w:pPr>
  </w:style>
  <w:style w:type="character" w:customStyle="1" w:styleId="EquationCaption">
    <w:name w:val="_Equation Caption"/>
    <w:rsid w:val="00960BC0"/>
  </w:style>
  <w:style w:type="paragraph" w:styleId="Header">
    <w:name w:val="header"/>
    <w:basedOn w:val="Normal"/>
    <w:link w:val="HeaderChar"/>
    <w:autoRedefine/>
    <w:rsid w:val="00960BC0"/>
    <w:pPr>
      <w:tabs>
        <w:tab w:val="center" w:pos="4680"/>
        <w:tab w:val="right" w:pos="9360"/>
      </w:tabs>
    </w:pPr>
    <w:rPr>
      <w:b/>
    </w:rPr>
  </w:style>
  <w:style w:type="paragraph" w:styleId="Footer">
    <w:name w:val="footer"/>
    <w:basedOn w:val="Normal"/>
    <w:link w:val="FooterChar"/>
    <w:uiPriority w:val="99"/>
    <w:rsid w:val="00960BC0"/>
    <w:pPr>
      <w:tabs>
        <w:tab w:val="center" w:pos="4320"/>
        <w:tab w:val="right" w:pos="8640"/>
      </w:tabs>
    </w:pPr>
  </w:style>
  <w:style w:type="character" w:styleId="PageNumber">
    <w:name w:val="page number"/>
    <w:basedOn w:val="DefaultParagraphFont"/>
    <w:rsid w:val="00960BC0"/>
  </w:style>
  <w:style w:type="paragraph" w:styleId="BlockText">
    <w:name w:val="Block Text"/>
    <w:basedOn w:val="Normal"/>
    <w:rsid w:val="00960BC0"/>
    <w:pPr>
      <w:spacing w:after="240"/>
      <w:ind w:left="1440" w:right="1440"/>
    </w:pPr>
  </w:style>
  <w:style w:type="paragraph" w:customStyle="1" w:styleId="Paratitle">
    <w:name w:val="Para title"/>
    <w:basedOn w:val="Normal"/>
    <w:rsid w:val="00960BC0"/>
    <w:pPr>
      <w:tabs>
        <w:tab w:val="center" w:pos="9270"/>
      </w:tabs>
      <w:spacing w:after="240"/>
    </w:pPr>
    <w:rPr>
      <w:spacing w:val="-2"/>
    </w:rPr>
  </w:style>
  <w:style w:type="paragraph" w:customStyle="1" w:styleId="Bullet">
    <w:name w:val="Bullet"/>
    <w:basedOn w:val="Normal"/>
    <w:rsid w:val="00960BC0"/>
    <w:pPr>
      <w:tabs>
        <w:tab w:val="left" w:pos="2160"/>
      </w:tabs>
      <w:spacing w:after="220"/>
      <w:ind w:left="2160" w:hanging="720"/>
    </w:pPr>
  </w:style>
  <w:style w:type="paragraph" w:customStyle="1" w:styleId="TableFormat">
    <w:name w:val="TableFormat"/>
    <w:basedOn w:val="Bullet"/>
    <w:rsid w:val="00960BC0"/>
    <w:pPr>
      <w:tabs>
        <w:tab w:val="clear" w:pos="2160"/>
        <w:tab w:val="left" w:pos="5040"/>
      </w:tabs>
      <w:ind w:left="5040" w:hanging="3600"/>
    </w:pPr>
  </w:style>
  <w:style w:type="paragraph" w:customStyle="1" w:styleId="TOCTitle">
    <w:name w:val="TOC Title"/>
    <w:basedOn w:val="Normal"/>
    <w:rsid w:val="00960B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0BC0"/>
    <w:pPr>
      <w:jc w:val="center"/>
    </w:pPr>
    <w:rPr>
      <w:rFonts w:ascii="Times New Roman Bold" w:hAnsi="Times New Roman Bold"/>
      <w:b/>
      <w:bCs/>
      <w:caps/>
      <w:szCs w:val="22"/>
    </w:rPr>
  </w:style>
  <w:style w:type="character" w:styleId="Hyperlink">
    <w:name w:val="Hyperlink"/>
    <w:rsid w:val="00960BC0"/>
    <w:rPr>
      <w:color w:val="0000FF"/>
      <w:u w:val="single"/>
    </w:rPr>
  </w:style>
  <w:style w:type="character" w:customStyle="1" w:styleId="FooterChar">
    <w:name w:val="Footer Char"/>
    <w:link w:val="Footer"/>
    <w:uiPriority w:val="99"/>
    <w:rsid w:val="00960BC0"/>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D76296"/>
  </w:style>
  <w:style w:type="paragraph" w:customStyle="1" w:styleId="ParaNumChar">
    <w:name w:val="ParaNum Char"/>
    <w:basedOn w:val="Normal"/>
    <w:rsid w:val="00D76296"/>
    <w:pPr>
      <w:numPr>
        <w:numId w:val="7"/>
      </w:numPr>
    </w:pPr>
    <w:rPr>
      <w:rFonts w:ascii="Calibri" w:hAnsi="Calibri"/>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D76296"/>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D76296"/>
    <w:rPr>
      <w:rFonts w:ascii="Calibri" w:hAnsi="Calibri"/>
      <w:kern w:val="28"/>
      <w:sz w:val="22"/>
    </w:rPr>
  </w:style>
  <w:style w:type="character" w:customStyle="1" w:styleId="HeaderChar">
    <w:name w:val="Header Char"/>
    <w:link w:val="Header"/>
    <w:rsid w:val="00D76296"/>
    <w:rPr>
      <w:b/>
      <w:snapToGrid w:val="0"/>
      <w:kern w:val="28"/>
      <w:sz w:val="22"/>
    </w:rPr>
  </w:style>
  <w:style w:type="paragraph" w:styleId="Revision">
    <w:name w:val="Revision"/>
    <w:hidden/>
    <w:uiPriority w:val="99"/>
    <w:semiHidden/>
    <w:rsid w:val="00482CEB"/>
    <w:rPr>
      <w:snapToGrid w:val="0"/>
      <w:kern w:val="28"/>
      <w:sz w:val="22"/>
    </w:rPr>
  </w:style>
  <w:style w:type="paragraph" w:styleId="BodyTextIndent">
    <w:name w:val="Body Text Indent"/>
    <w:basedOn w:val="Normal"/>
    <w:link w:val="BodyTextIndentChar"/>
    <w:unhideWhenUsed/>
    <w:rsid w:val="001A655C"/>
    <w:pPr>
      <w:widowControl/>
      <w:tabs>
        <w:tab w:val="left" w:pos="4320"/>
        <w:tab w:val="left" w:pos="5040"/>
      </w:tabs>
      <w:ind w:left="5040" w:hanging="5040"/>
      <w:jc w:val="both"/>
    </w:pPr>
    <w:rPr>
      <w:rFonts w:ascii="CG Times" w:hAnsi="CG Times"/>
      <w:snapToGrid/>
      <w:kern w:val="0"/>
      <w:sz w:val="24"/>
    </w:rPr>
  </w:style>
  <w:style w:type="character" w:customStyle="1" w:styleId="BodyTextIndentChar">
    <w:name w:val="Body Text Indent Char"/>
    <w:basedOn w:val="DefaultParagraphFont"/>
    <w:link w:val="BodyTextIndent"/>
    <w:rsid w:val="001A655C"/>
    <w:rPr>
      <w:rFonts w:ascii="CG Times" w:hAnsi="CG Times"/>
      <w:sz w:val="24"/>
    </w:rPr>
  </w:style>
  <w:style w:type="character" w:styleId="CommentReference">
    <w:name w:val="annotation reference"/>
    <w:basedOn w:val="DefaultParagraphFont"/>
    <w:rsid w:val="003C2ABE"/>
    <w:rPr>
      <w:sz w:val="16"/>
      <w:szCs w:val="16"/>
    </w:rPr>
  </w:style>
  <w:style w:type="paragraph" w:styleId="CommentText">
    <w:name w:val="annotation text"/>
    <w:basedOn w:val="Normal"/>
    <w:link w:val="CommentTextChar"/>
    <w:rsid w:val="003C2ABE"/>
    <w:rPr>
      <w:sz w:val="20"/>
    </w:rPr>
  </w:style>
  <w:style w:type="character" w:customStyle="1" w:styleId="CommentTextChar">
    <w:name w:val="Comment Text Char"/>
    <w:basedOn w:val="DefaultParagraphFont"/>
    <w:link w:val="CommentText"/>
    <w:rsid w:val="003C2ABE"/>
    <w:rPr>
      <w:snapToGrid w:val="0"/>
      <w:kern w:val="28"/>
    </w:rPr>
  </w:style>
  <w:style w:type="paragraph" w:styleId="CommentSubject">
    <w:name w:val="annotation subject"/>
    <w:basedOn w:val="CommentText"/>
    <w:next w:val="CommentText"/>
    <w:link w:val="CommentSubjectChar"/>
    <w:rsid w:val="003C2ABE"/>
    <w:rPr>
      <w:b/>
      <w:bCs/>
    </w:rPr>
  </w:style>
  <w:style w:type="character" w:customStyle="1" w:styleId="CommentSubjectChar">
    <w:name w:val="Comment Subject Char"/>
    <w:basedOn w:val="CommentTextChar"/>
    <w:link w:val="CommentSubject"/>
    <w:rsid w:val="003C2ABE"/>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