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C27DC" w:rsidRPr="00B04621" w:rsidP="008C27DC" w14:paraId="4A950375" w14:textId="1CA403A2">
      <w:pPr>
        <w:ind w:left="5760" w:firstLine="720"/>
      </w:pPr>
      <w:r w:rsidRPr="00B04621">
        <w:t>DA</w:t>
      </w:r>
      <w:r>
        <w:t xml:space="preserve"> 22-</w:t>
      </w:r>
      <w:r w:rsidR="00620550">
        <w:t>771</w:t>
      </w:r>
    </w:p>
    <w:p w:rsidR="008C27DC" w:rsidRPr="00B04621" w:rsidP="008C27DC" w14:paraId="51B27705" w14:textId="77777777">
      <w:pPr>
        <w:rPr>
          <w:i/>
        </w:rPr>
      </w:pPr>
      <w:r w:rsidRPr="00B04621">
        <w:rPr>
          <w:i/>
        </w:rPr>
        <w:tab/>
      </w:r>
      <w:r w:rsidRPr="00B04621">
        <w:rPr>
          <w:i/>
        </w:rPr>
        <w:tab/>
      </w:r>
      <w:r w:rsidRPr="00B04621">
        <w:rPr>
          <w:i/>
        </w:rPr>
        <w:tab/>
      </w:r>
      <w:r>
        <w:rPr>
          <w:i/>
        </w:rPr>
        <w:tab/>
      </w:r>
      <w:r>
        <w:rPr>
          <w:i/>
        </w:rPr>
        <w:tab/>
      </w:r>
      <w:r>
        <w:rPr>
          <w:i/>
        </w:rPr>
        <w:tab/>
      </w:r>
      <w:r>
        <w:rPr>
          <w:i/>
        </w:rPr>
        <w:tab/>
      </w:r>
      <w:r>
        <w:rPr>
          <w:i/>
        </w:rPr>
        <w:tab/>
      </w:r>
      <w:r>
        <w:rPr>
          <w:i/>
        </w:rPr>
        <w:tab/>
      </w:r>
      <w:r w:rsidRPr="00B04621">
        <w:rPr>
          <w:i/>
        </w:rPr>
        <w:t>In Reply Refer to:</w:t>
      </w:r>
    </w:p>
    <w:p w:rsidR="008C27DC" w:rsidRPr="00B04621" w:rsidP="008C27DC" w14:paraId="468CDAA6" w14:textId="77777777">
      <w:r w:rsidRPr="00B04621">
        <w:tab/>
      </w:r>
      <w:r>
        <w:tab/>
      </w:r>
      <w:r>
        <w:tab/>
      </w:r>
      <w:r>
        <w:tab/>
      </w:r>
      <w:r>
        <w:tab/>
      </w:r>
      <w:r>
        <w:tab/>
      </w:r>
      <w:r>
        <w:tab/>
      </w:r>
      <w:r>
        <w:tab/>
      </w:r>
      <w:r>
        <w:tab/>
      </w:r>
      <w:r w:rsidRPr="00B04621">
        <w:t>1800B3-</w:t>
      </w:r>
      <w:r>
        <w:t>ATS</w:t>
      </w:r>
    </w:p>
    <w:p w:rsidR="008C27DC" w:rsidP="008C27DC" w14:paraId="24ACF85C" w14:textId="73933275">
      <w:r w:rsidRPr="00B04621">
        <w:tab/>
      </w:r>
      <w:r>
        <w:tab/>
      </w:r>
      <w:r>
        <w:tab/>
      </w:r>
      <w:r>
        <w:tab/>
      </w:r>
      <w:r>
        <w:tab/>
      </w:r>
      <w:r>
        <w:tab/>
      </w:r>
      <w:r>
        <w:tab/>
      </w:r>
      <w:r>
        <w:tab/>
      </w:r>
      <w:r>
        <w:tab/>
      </w:r>
      <w:r w:rsidRPr="00B04621">
        <w:t>Released</w:t>
      </w:r>
      <w:r>
        <w:t xml:space="preserve"> </w:t>
      </w:r>
      <w:r w:rsidR="00620550">
        <w:t>July 18, 2022</w:t>
      </w:r>
    </w:p>
    <w:p w:rsidR="0045642F" w:rsidP="0045642F" w14:paraId="1E96F26E" w14:textId="242895E4">
      <w:pPr>
        <w:rPr>
          <w:sz w:val="22"/>
          <w:szCs w:val="22"/>
        </w:rPr>
      </w:pPr>
      <w:r>
        <w:rPr>
          <w:sz w:val="22"/>
          <w:szCs w:val="22"/>
        </w:rPr>
        <w:t xml:space="preserve">Ms. Ruth Abigail </w:t>
      </w:r>
      <w:r>
        <w:rPr>
          <w:sz w:val="22"/>
          <w:szCs w:val="22"/>
        </w:rPr>
        <w:t>Guel</w:t>
      </w:r>
    </w:p>
    <w:p w:rsidR="00A358C8" w:rsidRPr="004C3D22" w:rsidP="003056C6" w14:paraId="361664B6" w14:textId="427683F1">
      <w:pPr>
        <w:rPr>
          <w:sz w:val="22"/>
          <w:szCs w:val="22"/>
          <w:lang w:val="es-ES"/>
        </w:rPr>
      </w:pPr>
      <w:r w:rsidRPr="004C3D22">
        <w:rPr>
          <w:sz w:val="22"/>
          <w:szCs w:val="22"/>
          <w:lang w:val="es-ES"/>
        </w:rPr>
        <w:t>Centro Familiar de Restauracion Y</w:t>
      </w:r>
      <w:r>
        <w:rPr>
          <w:sz w:val="22"/>
          <w:szCs w:val="22"/>
          <w:lang w:val="es-ES"/>
        </w:rPr>
        <w:t xml:space="preserve"> Vida</w:t>
      </w:r>
    </w:p>
    <w:p w:rsidR="00292BE4" w:rsidP="003056C6" w14:paraId="1603C6E2" w14:textId="08CFB789">
      <w:pPr>
        <w:rPr>
          <w:sz w:val="22"/>
          <w:szCs w:val="22"/>
        </w:rPr>
      </w:pPr>
      <w:r>
        <w:rPr>
          <w:sz w:val="22"/>
          <w:szCs w:val="22"/>
        </w:rPr>
        <w:t>8330 Lyndon B. Johnson Fwy, Suite 400</w:t>
      </w:r>
    </w:p>
    <w:p w:rsidR="00B61959" w:rsidP="003056C6" w14:paraId="23C0A6D0" w14:textId="3EA49FAC">
      <w:pPr>
        <w:rPr>
          <w:sz w:val="22"/>
          <w:szCs w:val="22"/>
        </w:rPr>
      </w:pPr>
      <w:r>
        <w:rPr>
          <w:sz w:val="22"/>
          <w:szCs w:val="22"/>
        </w:rPr>
        <w:t>Dallas, TX 75243</w:t>
      </w:r>
    </w:p>
    <w:p w:rsidR="00A62ED5" w:rsidP="00340FD6" w14:paraId="35A151D0" w14:textId="4E1FA8DA">
      <w:pPr>
        <w:rPr>
          <w:sz w:val="22"/>
          <w:szCs w:val="22"/>
        </w:rPr>
      </w:pPr>
      <w:r>
        <w:rPr>
          <w:sz w:val="22"/>
          <w:szCs w:val="22"/>
        </w:rPr>
        <w:t xml:space="preserve">(sent by electronic mail to: </w:t>
      </w:r>
      <w:hyperlink r:id="rId5" w:history="1">
        <w:r w:rsidRPr="00613283" w:rsidR="00613283">
          <w:rPr>
            <w:rStyle w:val="Hyperlink"/>
            <w:sz w:val="22"/>
            <w:szCs w:val="22"/>
          </w:rPr>
          <w:t>info@</w:t>
        </w:r>
        <w:r w:rsidRPr="00613283" w:rsidR="00B61959">
          <w:rPr>
            <w:rStyle w:val="Hyperlink"/>
            <w:sz w:val="22"/>
            <w:szCs w:val="22"/>
          </w:rPr>
          <w:t>centrofamiliarderestauracionyvida.org</w:t>
        </w:r>
      </w:hyperlink>
      <w:r>
        <w:rPr>
          <w:sz w:val="22"/>
          <w:szCs w:val="22"/>
        </w:rPr>
        <w:t>)</w:t>
      </w:r>
    </w:p>
    <w:p w:rsidR="00340FD6" w:rsidP="00340FD6" w14:paraId="71CB99EF" w14:textId="5C575ACE">
      <w:pPr>
        <w:rPr>
          <w:sz w:val="22"/>
          <w:szCs w:val="22"/>
        </w:rPr>
      </w:pPr>
    </w:p>
    <w:p w:rsidR="00340FD6" w:rsidRPr="00041A11" w:rsidP="00340FD6" w14:paraId="6A93253C" w14:textId="581977C6">
      <w:pPr>
        <w:ind w:left="5760" w:hanging="720"/>
        <w:rPr>
          <w:b/>
          <w:bCs/>
          <w:sz w:val="22"/>
          <w:szCs w:val="22"/>
          <w:lang w:val="es-ES"/>
        </w:rPr>
      </w:pPr>
      <w:bookmarkStart w:id="0" w:name="_Hlk11270368"/>
      <w:r w:rsidRPr="00041A11">
        <w:rPr>
          <w:sz w:val="22"/>
          <w:szCs w:val="22"/>
          <w:lang w:val="es-ES"/>
        </w:rPr>
        <w:t>In re:</w:t>
      </w:r>
      <w:r w:rsidRPr="00041A11">
        <w:rPr>
          <w:sz w:val="22"/>
          <w:szCs w:val="22"/>
          <w:lang w:val="es-ES"/>
        </w:rPr>
        <w:tab/>
      </w:r>
      <w:r w:rsidRPr="00041A11" w:rsidR="00041A11">
        <w:rPr>
          <w:b/>
          <w:bCs/>
          <w:sz w:val="22"/>
          <w:szCs w:val="22"/>
          <w:lang w:val="es-ES"/>
        </w:rPr>
        <w:t>Centro Familiar de</w:t>
      </w:r>
      <w:r w:rsidR="00041A11">
        <w:rPr>
          <w:b/>
          <w:bCs/>
          <w:sz w:val="22"/>
          <w:szCs w:val="22"/>
          <w:lang w:val="es-ES"/>
        </w:rPr>
        <w:t xml:space="preserve"> Restauracion y Vida</w:t>
      </w:r>
    </w:p>
    <w:p w:rsidR="007A13DE" w:rsidRPr="000A4B36" w:rsidP="00573966" w14:paraId="0F37C33D" w14:textId="6CB5F9F3">
      <w:pPr>
        <w:ind w:left="5760"/>
        <w:rPr>
          <w:sz w:val="22"/>
          <w:szCs w:val="22"/>
        </w:rPr>
      </w:pPr>
      <w:r>
        <w:rPr>
          <w:sz w:val="22"/>
          <w:szCs w:val="22"/>
        </w:rPr>
        <w:t xml:space="preserve">New NCE, </w:t>
      </w:r>
      <w:r w:rsidR="00B25E05">
        <w:rPr>
          <w:sz w:val="22"/>
          <w:szCs w:val="22"/>
        </w:rPr>
        <w:t>Chaparral, NM</w:t>
      </w:r>
    </w:p>
    <w:p w:rsidR="007A13DE" w:rsidRPr="000A4B36" w:rsidP="007A13DE" w14:paraId="6949BD8B" w14:textId="3A6C40D0">
      <w:pPr>
        <w:rPr>
          <w:sz w:val="22"/>
          <w:szCs w:val="22"/>
        </w:rPr>
      </w:pP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t xml:space="preserve">Facility ID No. </w:t>
      </w:r>
      <w:r w:rsidR="003E4DA1">
        <w:rPr>
          <w:sz w:val="22"/>
          <w:szCs w:val="22"/>
        </w:rPr>
        <w:t>76</w:t>
      </w:r>
      <w:r w:rsidR="00B25E05">
        <w:rPr>
          <w:sz w:val="22"/>
          <w:szCs w:val="22"/>
        </w:rPr>
        <w:t>6219</w:t>
      </w:r>
    </w:p>
    <w:p w:rsidR="007A13DE" w:rsidP="007A13DE" w14:paraId="4CF97B26" w14:textId="732E8060">
      <w:pPr>
        <w:rPr>
          <w:sz w:val="22"/>
          <w:szCs w:val="22"/>
        </w:rPr>
      </w:pP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t xml:space="preserve">File No. </w:t>
      </w:r>
      <w:r>
        <w:rPr>
          <w:sz w:val="22"/>
          <w:szCs w:val="22"/>
        </w:rPr>
        <w:t>000016</w:t>
      </w:r>
      <w:r w:rsidR="00B25E05">
        <w:rPr>
          <w:sz w:val="22"/>
          <w:szCs w:val="22"/>
        </w:rPr>
        <w:t>7079</w:t>
      </w:r>
    </w:p>
    <w:p w:rsidR="00FF43E8" w:rsidP="00340FD6" w14:paraId="3F67A98A" w14:textId="1CFCB633">
      <w:pPr>
        <w:rPr>
          <w:sz w:val="22"/>
          <w:szCs w:val="22"/>
        </w:rPr>
      </w:pPr>
    </w:p>
    <w:p w:rsidR="00340FD6" w:rsidRPr="00573966" w:rsidP="00340FD6" w14:paraId="10EC6AA5" w14:textId="7B37D3D8">
      <w:pPr>
        <w:rPr>
          <w:b/>
          <w:bCs/>
          <w:sz w:val="22"/>
          <w:szCs w:val="22"/>
        </w:rPr>
      </w:pP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573966" w:rsidR="00573966">
        <w:rPr>
          <w:b/>
          <w:bCs/>
          <w:sz w:val="22"/>
          <w:szCs w:val="22"/>
        </w:rPr>
        <w:t>Waiver Request</w:t>
      </w:r>
    </w:p>
    <w:bookmarkEnd w:id="0"/>
    <w:p w:rsidR="00340FD6" w:rsidRPr="00A62ED5" w:rsidP="00340FD6" w14:paraId="6ECA98CB" w14:textId="0CF7BA3D">
      <w:pPr>
        <w:rPr>
          <w:sz w:val="22"/>
          <w:szCs w:val="22"/>
        </w:rPr>
      </w:pPr>
      <w:r w:rsidRPr="00A62ED5">
        <w:rPr>
          <w:sz w:val="22"/>
          <w:szCs w:val="22"/>
        </w:rPr>
        <w:t xml:space="preserve">Dear </w:t>
      </w:r>
      <w:r w:rsidR="008D00E1">
        <w:rPr>
          <w:sz w:val="22"/>
          <w:szCs w:val="22"/>
        </w:rPr>
        <w:t>Applicant</w:t>
      </w:r>
      <w:r w:rsidR="00DE4AC3">
        <w:rPr>
          <w:sz w:val="22"/>
          <w:szCs w:val="22"/>
        </w:rPr>
        <w:t>,</w:t>
      </w:r>
    </w:p>
    <w:p w:rsidR="00340FD6" w:rsidRPr="00A62ED5" w14:paraId="2ACE0749" w14:textId="636B4629">
      <w:pPr>
        <w:rPr>
          <w:sz w:val="22"/>
          <w:szCs w:val="22"/>
        </w:rPr>
      </w:pPr>
    </w:p>
    <w:p w:rsidR="00A62ED5" w:rsidP="00E805B2" w14:paraId="1C1BE78A" w14:textId="593D2286">
      <w:pPr>
        <w:pStyle w:val="ParaNum"/>
        <w:widowControl/>
        <w:numPr>
          <w:ilvl w:val="0"/>
          <w:numId w:val="0"/>
        </w:numPr>
        <w:ind w:firstLine="720"/>
      </w:pPr>
      <w:r w:rsidRPr="00A62ED5">
        <w:t xml:space="preserve">We have before us </w:t>
      </w:r>
      <w:r w:rsidR="00F019C8">
        <w:t xml:space="preserve">the application filed by Centro Familiar de Restauracion y Vida (Centro) for a construction permit for a new </w:t>
      </w:r>
      <w:r w:rsidR="000E3C2E">
        <w:t>non</w:t>
      </w:r>
      <w:r w:rsidR="00F019C8">
        <w:t xml:space="preserve">commercial educational (NCE) FM station at </w:t>
      </w:r>
      <w:r w:rsidR="00B25E05">
        <w:t>Chaparral, New Mexico (</w:t>
      </w:r>
      <w:r w:rsidR="00E805B2">
        <w:t>Centro Application),</w:t>
      </w:r>
      <w:r>
        <w:rPr>
          <w:rStyle w:val="FootnoteReference"/>
        </w:rPr>
        <w:footnoteReference w:id="2"/>
      </w:r>
      <w:r w:rsidR="00E805B2">
        <w:t xml:space="preserve"> </w:t>
      </w:r>
      <w:r w:rsidR="00B61959">
        <w:t>and the request for waiver (Waiver Request) filed by Centro.</w:t>
      </w:r>
      <w:r>
        <w:rPr>
          <w:rStyle w:val="FootnoteReference"/>
        </w:rPr>
        <w:footnoteReference w:id="3"/>
      </w:r>
      <w:r w:rsidR="001C1E15">
        <w:t xml:space="preserve">  </w:t>
      </w:r>
      <w:r w:rsidRPr="00A62ED5" w:rsidR="006528D9">
        <w:t xml:space="preserve">For the reasons set forth below, we </w:t>
      </w:r>
      <w:r w:rsidR="00E805B2">
        <w:t>deny the Waiver</w:t>
      </w:r>
      <w:r w:rsidR="009C10B3">
        <w:t xml:space="preserve"> Request</w:t>
      </w:r>
      <w:r w:rsidR="00E805B2">
        <w:t xml:space="preserve"> and dismiss the Centro Application.</w:t>
      </w:r>
    </w:p>
    <w:p w:rsidR="00A62ED5" w:rsidRPr="00F92C01" w:rsidP="00F92C01" w14:paraId="60C3725A" w14:textId="5F5D9099">
      <w:pPr>
        <w:pStyle w:val="ParaNum"/>
        <w:widowControl/>
        <w:numPr>
          <w:ilvl w:val="0"/>
          <w:numId w:val="0"/>
        </w:numPr>
        <w:ind w:firstLine="720"/>
      </w:pPr>
      <w:r w:rsidRPr="00031811">
        <w:rPr>
          <w:b/>
          <w:bCs/>
        </w:rPr>
        <w:t>Background.</w:t>
      </w:r>
      <w:r w:rsidRPr="00A62ED5" w:rsidR="00340FD6">
        <w:t xml:space="preserve">  </w:t>
      </w:r>
      <w:r w:rsidR="00F41A72">
        <w:t xml:space="preserve">The </w:t>
      </w:r>
      <w:r w:rsidR="001C1E15">
        <w:t>Centro</w:t>
      </w:r>
      <w:r w:rsidR="00B61959">
        <w:t xml:space="preserve"> Application was</w:t>
      </w:r>
      <w:r w:rsidR="00F41A72">
        <w:t xml:space="preserve"> fil</w:t>
      </w:r>
      <w:r w:rsidR="00DE4AC3">
        <w:t>e</w:t>
      </w:r>
      <w:r w:rsidR="00F41A72">
        <w:t xml:space="preserve">d during the 2021 NCE </w:t>
      </w:r>
      <w:r w:rsidR="005512FE">
        <w:t>f</w:t>
      </w:r>
      <w:r w:rsidR="00F41A72">
        <w:t xml:space="preserve">iling </w:t>
      </w:r>
      <w:r w:rsidR="005512FE">
        <w:t>w</w:t>
      </w:r>
      <w:r w:rsidR="00F41A72">
        <w:t>indow</w:t>
      </w:r>
      <w:r w:rsidR="007D1990">
        <w:t>, which was open from November 2, 2021, until November 9, 2021</w:t>
      </w:r>
      <w:r w:rsidR="00F41A72">
        <w:t>.</w:t>
      </w:r>
      <w:r>
        <w:rPr>
          <w:rStyle w:val="FootnoteReference"/>
        </w:rPr>
        <w:footnoteReference w:id="4"/>
      </w:r>
      <w:r w:rsidR="00F41A72">
        <w:t xml:space="preserve">  </w:t>
      </w:r>
      <w:r w:rsidR="001C1E15">
        <w:t>The Media Bureau (Bureau) identified the Centro Application as part of NCE MX Group 157.</w:t>
      </w:r>
      <w:r>
        <w:rPr>
          <w:rStyle w:val="FootnoteReference"/>
        </w:rPr>
        <w:footnoteReference w:id="5"/>
      </w:r>
      <w:r w:rsidR="001C1E15">
        <w:t xml:space="preserve">  </w:t>
      </w:r>
      <w:r w:rsidR="00F41A72">
        <w:t xml:space="preserve">In the </w:t>
      </w:r>
      <w:r w:rsidR="00802CD1">
        <w:rPr>
          <w:i/>
          <w:iCs/>
        </w:rPr>
        <w:t>Fourth</w:t>
      </w:r>
      <w:r w:rsidR="00F41A72">
        <w:rPr>
          <w:i/>
          <w:iCs/>
        </w:rPr>
        <w:t xml:space="preserve"> Fair Distribution Order</w:t>
      </w:r>
      <w:r w:rsidR="00F41A72">
        <w:t xml:space="preserve">, the </w:t>
      </w:r>
      <w:r w:rsidR="00E17980">
        <w:t xml:space="preserve">Bureau </w:t>
      </w:r>
      <w:r w:rsidR="00DB6A89">
        <w:t>conducted a</w:t>
      </w:r>
      <w:r w:rsidR="001E46BD">
        <w:t xml:space="preserve"> fair distribution</w:t>
      </w:r>
      <w:r w:rsidR="00DB6A89">
        <w:t xml:space="preserve"> analysis pursuant to section 307(b) of the Communications Act of 1934, as amended</w:t>
      </w:r>
      <w:r w:rsidR="001E46BD">
        <w:t xml:space="preserve"> (Act)</w:t>
      </w:r>
      <w:r w:rsidR="00DB6A89">
        <w:t xml:space="preserve">, </w:t>
      </w:r>
      <w:r w:rsidR="00F92C01">
        <w:t xml:space="preserve">and identified the </w:t>
      </w:r>
      <w:r w:rsidR="008F43B0">
        <w:t>RBI Application</w:t>
      </w:r>
      <w:r w:rsidR="006D26DA">
        <w:t>—the only application that was eligible for a fair distribution preference—</w:t>
      </w:r>
      <w:r w:rsidR="00F92C01">
        <w:t>as the tentative selectee</w:t>
      </w:r>
      <w:r w:rsidR="00653618">
        <w:t xml:space="preserve"> of NCE MX Group 157</w:t>
      </w:r>
      <w:r w:rsidR="00F92C01">
        <w:t>.</w:t>
      </w:r>
      <w:r>
        <w:rPr>
          <w:rStyle w:val="FootnoteReference"/>
        </w:rPr>
        <w:footnoteReference w:id="6"/>
      </w:r>
      <w:r w:rsidR="00F92C01">
        <w:t xml:space="preserve">  The </w:t>
      </w:r>
      <w:r w:rsidR="00F92C01">
        <w:rPr>
          <w:i/>
          <w:iCs/>
        </w:rPr>
        <w:t xml:space="preserve">Fourth Fair Distribution </w:t>
      </w:r>
      <w:r w:rsidR="00F92C01">
        <w:rPr>
          <w:i/>
          <w:iCs/>
        </w:rPr>
        <w:t>Order</w:t>
      </w:r>
      <w:r w:rsidR="00F92C01">
        <w:t xml:space="preserve"> further noted that it would dismiss the remaining </w:t>
      </w:r>
      <w:r w:rsidR="00E2154F">
        <w:t xml:space="preserve">six </w:t>
      </w:r>
      <w:r w:rsidR="00F92C01">
        <w:t>applications</w:t>
      </w:r>
      <w:r w:rsidR="003E4F67">
        <w:t xml:space="preserve"> after a 30-day petition to deny period</w:t>
      </w:r>
      <w:r w:rsidR="00653618">
        <w:t>, including the Centro Application</w:t>
      </w:r>
      <w:r w:rsidR="003F68B8">
        <w:t>, the CMV Application, and the Gandara Application</w:t>
      </w:r>
      <w:r w:rsidR="00653618">
        <w:t>.</w:t>
      </w:r>
      <w:r>
        <w:rPr>
          <w:rStyle w:val="FootnoteReference"/>
        </w:rPr>
        <w:footnoteReference w:id="7"/>
      </w:r>
    </w:p>
    <w:p w:rsidR="00CB38E7" w:rsidRPr="009F33BB" w:rsidP="00976E8E" w14:paraId="0EB014D4" w14:textId="1756639D">
      <w:pPr>
        <w:pStyle w:val="ParaNum"/>
        <w:numPr>
          <w:ilvl w:val="0"/>
          <w:numId w:val="0"/>
        </w:numPr>
        <w:ind w:firstLine="720"/>
      </w:pPr>
      <w:r>
        <w:t>On June 3, 2021</w:t>
      </w:r>
      <w:r w:rsidR="003E4F67">
        <w:t xml:space="preserve">—the deadline established in the </w:t>
      </w:r>
      <w:r w:rsidR="003E4F67">
        <w:rPr>
          <w:i/>
          <w:iCs/>
        </w:rPr>
        <w:t>Fourth Fair Distribution Order</w:t>
      </w:r>
      <w:r w:rsidR="003E4F67">
        <w:t xml:space="preserve"> for filing petitions to deny—</w:t>
      </w:r>
      <w:r>
        <w:t xml:space="preserve">Centro filed an amendment to its application in which it included </w:t>
      </w:r>
      <w:r>
        <w:t xml:space="preserve">the </w:t>
      </w:r>
      <w:r w:rsidR="001A3F39">
        <w:t>Waiver</w:t>
      </w:r>
      <w:r>
        <w:t xml:space="preserve"> Request, which</w:t>
      </w:r>
      <w:r w:rsidR="00C54746">
        <w:t xml:space="preserve"> states that </w:t>
      </w:r>
      <w:r>
        <w:t>the Centro A</w:t>
      </w:r>
      <w:r w:rsidR="00C54746">
        <w:t xml:space="preserve">pplication is </w:t>
      </w:r>
      <w:r w:rsidR="003E4F67">
        <w:t xml:space="preserve">only </w:t>
      </w:r>
      <w:r w:rsidR="00C54746">
        <w:t>mutually exclusive with two applications</w:t>
      </w:r>
      <w:r>
        <w:t xml:space="preserve"> in NCE MX Group 157</w:t>
      </w:r>
      <w:r w:rsidR="00C54746">
        <w:t>—the CMV Application and the Gandara Application.</w:t>
      </w:r>
      <w:r>
        <w:rPr>
          <w:rStyle w:val="FootnoteReference"/>
        </w:rPr>
        <w:footnoteReference w:id="8"/>
      </w:r>
      <w:r w:rsidR="00C54746">
        <w:t xml:space="preserve">  Centro argues that these applications are both </w:t>
      </w:r>
      <w:r w:rsidR="009F33BB">
        <w:t xml:space="preserve">defective, </w:t>
      </w:r>
      <w:r w:rsidR="00C4054E">
        <w:t>that the Bureau staff has stated that defective application</w:t>
      </w:r>
      <w:r w:rsidR="00E2154F">
        <w:t>s</w:t>
      </w:r>
      <w:r w:rsidR="00C4054E">
        <w:t xml:space="preserve"> are not</w:t>
      </w:r>
      <w:r w:rsidR="009F33BB">
        <w:t xml:space="preserve"> subject to protection,</w:t>
      </w:r>
      <w:r w:rsidR="00C54746">
        <w:t xml:space="preserve"> and</w:t>
      </w:r>
      <w:r w:rsidR="00C4054E">
        <w:t xml:space="preserve"> that the </w:t>
      </w:r>
      <w:r w:rsidR="009F72A2">
        <w:t>applications</w:t>
      </w:r>
      <w:r w:rsidR="00C54746">
        <w:t xml:space="preserve"> should be dismissed</w:t>
      </w:r>
      <w:r w:rsidR="009F33BB">
        <w:t xml:space="preserve">, thus rendering </w:t>
      </w:r>
      <w:r w:rsidR="00C4054E">
        <w:t xml:space="preserve">the </w:t>
      </w:r>
      <w:r w:rsidR="00E2154F">
        <w:t xml:space="preserve">amended </w:t>
      </w:r>
      <w:r w:rsidR="00C4054E">
        <w:t xml:space="preserve">Centro </w:t>
      </w:r>
      <w:r w:rsidR="009F72A2">
        <w:t>Application</w:t>
      </w:r>
      <w:r w:rsidR="009F33BB">
        <w:t xml:space="preserve"> a singleton</w:t>
      </w:r>
      <w:r w:rsidR="00C54746">
        <w:t>.</w:t>
      </w:r>
      <w:r>
        <w:rPr>
          <w:rStyle w:val="FootnoteReference"/>
        </w:rPr>
        <w:footnoteReference w:id="9"/>
      </w:r>
      <w:r w:rsidR="009F33BB">
        <w:t xml:space="preserve">  </w:t>
      </w:r>
      <w:r>
        <w:t>Centro</w:t>
      </w:r>
      <w:r w:rsidR="009F33BB">
        <w:t xml:space="preserve"> requests a waiver of the </w:t>
      </w:r>
      <w:r w:rsidR="009F33BB">
        <w:rPr>
          <w:i/>
          <w:iCs/>
        </w:rPr>
        <w:t xml:space="preserve">Fourth Fair </w:t>
      </w:r>
      <w:r w:rsidR="00976E8E">
        <w:rPr>
          <w:i/>
          <w:iCs/>
        </w:rPr>
        <w:t>Distribution</w:t>
      </w:r>
      <w:r w:rsidR="009F33BB">
        <w:rPr>
          <w:i/>
          <w:iCs/>
        </w:rPr>
        <w:t xml:space="preserve"> Order</w:t>
      </w:r>
      <w:r w:rsidR="009F33BB">
        <w:t xml:space="preserve"> “to the extent that it states that the Commission will dismiss</w:t>
      </w:r>
      <w:r w:rsidR="00976E8E">
        <w:t xml:space="preserve"> </w:t>
      </w:r>
      <w:r w:rsidR="009F33BB">
        <w:t>this application once the tentative selectee’s application has not received any “substantial</w:t>
      </w:r>
      <w:r w:rsidR="00976E8E">
        <w:t xml:space="preserve"> </w:t>
      </w:r>
      <w:r w:rsidR="009F33BB">
        <w:t>and material question” concerning its grantability</w:t>
      </w:r>
      <w:r w:rsidR="00976E8E">
        <w:t>.</w:t>
      </w:r>
      <w:r w:rsidR="00A977A4">
        <w:t>”</w:t>
      </w:r>
      <w:r>
        <w:rPr>
          <w:rStyle w:val="FootnoteReference"/>
        </w:rPr>
        <w:footnoteReference w:id="10"/>
      </w:r>
      <w:r w:rsidR="003E4F67">
        <w:t xml:space="preserve">  Centro concurrently filed petitions to deny </w:t>
      </w:r>
      <w:r w:rsidR="009F72A2">
        <w:t>the CMV Application and the Gandara Application</w:t>
      </w:r>
      <w:r w:rsidR="003E4F67">
        <w:t>.</w:t>
      </w:r>
      <w:r>
        <w:rPr>
          <w:rStyle w:val="FootnoteReference"/>
        </w:rPr>
        <w:footnoteReference w:id="11"/>
      </w:r>
      <w:r w:rsidR="003E4F67">
        <w:t xml:space="preserve">  </w:t>
      </w:r>
    </w:p>
    <w:p w:rsidR="0099195E" w:rsidP="0006146C" w14:paraId="7D2B6770" w14:textId="72966D2C">
      <w:pPr>
        <w:pStyle w:val="ParaNum"/>
        <w:numPr>
          <w:ilvl w:val="0"/>
          <w:numId w:val="0"/>
        </w:numPr>
        <w:ind w:firstLine="720"/>
      </w:pPr>
      <w:r w:rsidRPr="00A234C0">
        <w:rPr>
          <w:b/>
          <w:bCs/>
        </w:rPr>
        <w:t>Discussion</w:t>
      </w:r>
      <w:r w:rsidRPr="00A62ED5">
        <w:t>.</w:t>
      </w:r>
      <w:r w:rsidRPr="00A62ED5">
        <w:rPr>
          <w:i/>
          <w:iCs/>
        </w:rPr>
        <w:t xml:space="preserve">  </w:t>
      </w:r>
      <w:r w:rsidRPr="00164809">
        <w:t xml:space="preserve">The Commission considered </w:t>
      </w:r>
      <w:r w:rsidR="0006146C">
        <w:t xml:space="preserve">and rejected </w:t>
      </w:r>
      <w:r w:rsidRPr="00164809">
        <w:t>authorizing secondary grants</w:t>
      </w:r>
      <w:r>
        <w:t xml:space="preserve"> when it established the current NCE comparative procedures</w:t>
      </w:r>
      <w:r w:rsidRPr="00164809">
        <w:t>, noting that although it might be beneficial to select more than one applicant, doing so could potentially result in an inferior applicant as a secondary selectee and would be administratively cumbersome.</w:t>
      </w:r>
      <w:r>
        <w:rPr>
          <w:rStyle w:val="FootnoteReference"/>
        </w:rPr>
        <w:footnoteReference w:id="12"/>
      </w:r>
      <w:r>
        <w:t xml:space="preserve">  </w:t>
      </w:r>
      <w:r w:rsidR="0006146C">
        <w:t>The Commission repeatedly affirmed the Bureau’s application of this policy of only granting one application per MX group (One Grant Policy)</w:t>
      </w:r>
      <w:r>
        <w:rPr>
          <w:rStyle w:val="FootnoteReference"/>
        </w:rPr>
        <w:footnoteReference w:id="13"/>
      </w:r>
      <w:r w:rsidR="0006146C">
        <w:t xml:space="preserve"> and, in the recent rulemaking updating our NCE procedures, rejected a request to permit “secondary grants.”</w:t>
      </w:r>
      <w:r>
        <w:rPr>
          <w:rStyle w:val="FootnoteReference"/>
        </w:rPr>
        <w:footnoteReference w:id="14"/>
      </w:r>
      <w:r w:rsidR="0006146C">
        <w:t xml:space="preserve">  </w:t>
      </w:r>
      <w:r>
        <w:t xml:space="preserve">Centro seeks to circumvent this </w:t>
      </w:r>
      <w:r w:rsidR="003711B1">
        <w:t xml:space="preserve">longstanding </w:t>
      </w:r>
      <w:r>
        <w:t>policy through two routes—</w:t>
      </w:r>
      <w:r w:rsidR="00E92CE4">
        <w:t>its Petitions</w:t>
      </w:r>
      <w:r>
        <w:t xml:space="preserve"> and </w:t>
      </w:r>
      <w:r w:rsidR="00E92CE4">
        <w:t>its</w:t>
      </w:r>
      <w:r>
        <w:t xml:space="preserve"> Waiver Request.  As discussed below, we reject both of these approaches.</w:t>
      </w:r>
    </w:p>
    <w:p w:rsidR="003A7EF8" w:rsidP="00AB6920" w14:paraId="43A45146" w14:textId="6E3B1CF0">
      <w:pPr>
        <w:pStyle w:val="ParaNum"/>
        <w:numPr>
          <w:ilvl w:val="0"/>
          <w:numId w:val="0"/>
        </w:numPr>
        <w:ind w:firstLine="720"/>
      </w:pPr>
      <w:r>
        <w:t>Although the Bureau dismissed the Petitions, we reiterate that petitions to deny may not be filed against non-tentative selectees.  Section 73.3584(a) of the Commission’s rules (</w:t>
      </w:r>
      <w:r w:rsidR="00E65ED6">
        <w:t>R</w:t>
      </w:r>
      <w:r>
        <w:t xml:space="preserve">ules) states that “[f]or mutually exclusive applications subject to selection by . . . fair distribution/point system (reserved channels), petitions to deny </w:t>
      </w:r>
      <w:r>
        <w:rPr>
          <w:i/>
          <w:iCs/>
        </w:rPr>
        <w:t>may only be filed against . . . tentative selectee(s)</w:t>
      </w:r>
      <w:r>
        <w:t>.”</w:t>
      </w:r>
      <w:r>
        <w:rPr>
          <w:rStyle w:val="FootnoteReference"/>
        </w:rPr>
        <w:footnoteReference w:id="15"/>
      </w:r>
      <w:r>
        <w:t xml:space="preserve">  Accordingly, the Petitions were procedurally </w:t>
      </w:r>
      <w:r w:rsidR="00C31EBB">
        <w:t>inappropriate</w:t>
      </w:r>
      <w:r>
        <w:t xml:space="preserve"> and subject to dismissal.  Moreover, although an informal objection may be filed </w:t>
      </w:r>
      <w:r w:rsidR="00E65ED6">
        <w:t>“[b]</w:t>
      </w:r>
      <w:r w:rsidR="00E65ED6">
        <w:t>efore</w:t>
      </w:r>
      <w:r w:rsidR="00E65ED6">
        <w:t xml:space="preserve"> FCC action on any application for an instrument of authorization”</w:t>
      </w:r>
      <w:r>
        <w:rPr>
          <w:rStyle w:val="FootnoteReference"/>
        </w:rPr>
        <w:footnoteReference w:id="16"/>
      </w:r>
      <w:r>
        <w:t xml:space="preserve"> the Bureau does not generally consider informal objections or petitions to deny filed prior to an application being announced as the tentative selectee and declared acceptable for filing unless </w:t>
      </w:r>
      <w:r w:rsidR="00DA0E6B">
        <w:t xml:space="preserve">the </w:t>
      </w:r>
      <w:r>
        <w:t>objection address</w:t>
      </w:r>
      <w:r w:rsidR="00DA0E6B">
        <w:t>es</w:t>
      </w:r>
      <w:r>
        <w:t xml:space="preserve"> the accuracy of the section 307(b) fair distribution analysis.</w:t>
      </w:r>
      <w:r>
        <w:rPr>
          <w:rStyle w:val="FootnoteReference"/>
        </w:rPr>
        <w:footnoteReference w:id="17"/>
      </w:r>
      <w:r>
        <w:t xml:space="preserve">  </w:t>
      </w:r>
      <w:r w:rsidR="00AB6920">
        <w:t xml:space="preserve">Additionally, as discussed in the </w:t>
      </w:r>
      <w:r w:rsidR="00AB6920">
        <w:rPr>
          <w:i/>
          <w:iCs/>
        </w:rPr>
        <w:t>Settlement Public Notice</w:t>
      </w:r>
      <w:r w:rsidR="00AB6920">
        <w:t xml:space="preserve">, the Bureau does </w:t>
      </w:r>
      <w:r w:rsidR="00AB6920">
        <w:rPr>
          <w:snapToGrid/>
          <w:color w:val="2E2E2E"/>
          <w:kern w:val="0"/>
          <w:szCs w:val="22"/>
        </w:rPr>
        <w:t>not generally review MX applications for acceptability defects</w:t>
      </w:r>
      <w:r w:rsidR="00AB6920">
        <w:rPr>
          <w:color w:val="2E2E2E"/>
          <w:szCs w:val="22"/>
        </w:rPr>
        <w:t xml:space="preserve"> prior to being identified as tentative selectees.</w:t>
      </w:r>
      <w:r>
        <w:rPr>
          <w:rStyle w:val="FootnoteReference"/>
          <w:szCs w:val="22"/>
        </w:rPr>
        <w:footnoteReference w:id="18"/>
      </w:r>
      <w:r w:rsidR="00AB6920">
        <w:rPr>
          <w:color w:val="2E2E2E"/>
          <w:szCs w:val="22"/>
        </w:rPr>
        <w:t xml:space="preserve">  Were we to entertain objections concerning technical defects, as Centro sought with regard to </w:t>
      </w:r>
      <w:r>
        <w:t>the CMV Application and Gandara Application</w:t>
      </w:r>
      <w:r w:rsidR="00DA0E6B">
        <w:t>,</w:t>
      </w:r>
      <w:r>
        <w:t xml:space="preserve"> </w:t>
      </w:r>
      <w:r w:rsidR="00DA0E6B">
        <w:t>and determine that the</w:t>
      </w:r>
      <w:r w:rsidR="00355F6E">
        <w:t xml:space="preserve"> applications</w:t>
      </w:r>
      <w:r w:rsidR="00DA0E6B">
        <w:t xml:space="preserve"> should be dismissed, either</w:t>
      </w:r>
      <w:r w:rsidR="00AB6920">
        <w:t xml:space="preserve"> applica</w:t>
      </w:r>
      <w:r w:rsidR="00355F6E">
        <w:t>nt</w:t>
      </w:r>
      <w:r>
        <w:t xml:space="preserve"> would </w:t>
      </w:r>
      <w:r w:rsidR="00AB6920">
        <w:t>be</w:t>
      </w:r>
      <w:r>
        <w:t xml:space="preserve"> entitled to seek </w:t>
      </w:r>
      <w:r>
        <w:rPr>
          <w:i/>
          <w:iCs/>
        </w:rPr>
        <w:t>nunc</w:t>
      </w:r>
      <w:r>
        <w:rPr>
          <w:i/>
          <w:iCs/>
        </w:rPr>
        <w:t xml:space="preserve"> pro </w:t>
      </w:r>
      <w:r>
        <w:rPr>
          <w:i/>
          <w:iCs/>
        </w:rPr>
        <w:t>tunc</w:t>
      </w:r>
      <w:r>
        <w:t xml:space="preserve"> reinstatement,</w:t>
      </w:r>
      <w:r>
        <w:rPr>
          <w:rStyle w:val="FootnoteReference"/>
        </w:rPr>
        <w:footnoteReference w:id="19"/>
      </w:r>
      <w:r>
        <w:t xml:space="preserve"> resulting in precisely the additional administrative burdens that the Commission sought to avoid when it established the </w:t>
      </w:r>
      <w:r w:rsidR="00094DE4">
        <w:t>O</w:t>
      </w:r>
      <w:r>
        <w:t xml:space="preserve">ne </w:t>
      </w:r>
      <w:r w:rsidR="00094DE4">
        <w:t>G</w:t>
      </w:r>
      <w:r>
        <w:t>rant policy.</w:t>
      </w:r>
      <w:r>
        <w:rPr>
          <w:rStyle w:val="FootnoteReference"/>
        </w:rPr>
        <w:footnoteReference w:id="20"/>
      </w:r>
      <w:r>
        <w:t xml:space="preserve">  </w:t>
      </w:r>
      <w:r w:rsidRPr="00B046CC">
        <w:t xml:space="preserve">Thus, Centro’s </w:t>
      </w:r>
      <w:r w:rsidRPr="00B046CC" w:rsidR="00355F6E">
        <w:t>P</w:t>
      </w:r>
      <w:r w:rsidRPr="00B046CC">
        <w:t>etitions were procedurally improper and should have been dismissed without consideration had</w:t>
      </w:r>
      <w:r w:rsidRPr="00B046CC" w:rsidR="0007764B">
        <w:t xml:space="preserve"> they</w:t>
      </w:r>
      <w:r w:rsidRPr="00B046CC">
        <w:t xml:space="preserve"> not been dismissed</w:t>
      </w:r>
      <w:r w:rsidRPr="00B046CC" w:rsidR="00B046CC">
        <w:t xml:space="preserve"> when the staff dismissed the CMB application and Gandara Application</w:t>
      </w:r>
      <w:r w:rsidRPr="00B046CC">
        <w:t>.</w:t>
      </w:r>
      <w:r>
        <w:rPr>
          <w:rStyle w:val="FootnoteReference"/>
        </w:rPr>
        <w:footnoteReference w:id="21"/>
      </w:r>
    </w:p>
    <w:p w:rsidR="00164809" w:rsidP="00E805B2" w14:paraId="42664894" w14:textId="7E939A9D">
      <w:pPr>
        <w:pStyle w:val="ParaNum"/>
        <w:numPr>
          <w:ilvl w:val="0"/>
          <w:numId w:val="0"/>
        </w:numPr>
        <w:ind w:firstLine="720"/>
      </w:pPr>
      <w:r>
        <w:t xml:space="preserve">We also reject Centro’s Waiver Request.  </w:t>
      </w:r>
      <w:r w:rsidRPr="000A4B36">
        <w:t xml:space="preserve">The Commission's rules may be </w:t>
      </w:r>
      <w:bookmarkStart w:id="2" w:name="SR;4774"/>
      <w:bookmarkEnd w:id="2"/>
      <w:r w:rsidRPr="000A4B36">
        <w:t>waived only for good cause shown.</w:t>
      </w:r>
      <w:r>
        <w:rPr>
          <w:rStyle w:val="FootnoteReference"/>
        </w:rPr>
        <w:footnoteReference w:id="22"/>
      </w:r>
      <w:r w:rsidRPr="000A4B36">
        <w:t xml:space="preserve"> </w:t>
      </w:r>
      <w:r w:rsidR="00986D86">
        <w:t xml:space="preserve"> </w:t>
      </w:r>
      <w:r w:rsidRPr="000A4B36">
        <w:rPr>
          <w:bCs/>
          <w:color w:val="000000"/>
          <w:spacing w:val="-5"/>
        </w:rPr>
        <w:t xml:space="preserve">An applicant seeking a rule </w:t>
      </w:r>
      <w:bookmarkStart w:id="3" w:name="SR;716"/>
      <w:bookmarkEnd w:id="3"/>
      <w:r w:rsidRPr="000A4B36">
        <w:rPr>
          <w:color w:val="000000"/>
        </w:rPr>
        <w:t>waiver has the burden to plead with particularity the facts and circumstances that warrant such action.</w:t>
      </w:r>
      <w:bookmarkStart w:id="4" w:name="FN[FN7]"/>
      <w:bookmarkEnd w:id="4"/>
      <w:r>
        <w:rPr>
          <w:rStyle w:val="FootnoteReference"/>
        </w:rPr>
        <w:footnoteReference w:id="23"/>
      </w:r>
      <w:r w:rsidRPr="000A4B36">
        <w:rPr>
          <w:color w:val="000000"/>
        </w:rPr>
        <w:t xml:space="preserve">  The Commission must </w:t>
      </w:r>
      <w:r w:rsidRPr="000A4B36">
        <w:t xml:space="preserve">give waiver requests “a hard look,” </w:t>
      </w:r>
      <w:r w:rsidRPr="000A4B36">
        <w:rPr>
          <w:color w:val="000000"/>
        </w:rPr>
        <w:t xml:space="preserve">but </w:t>
      </w:r>
      <w:r w:rsidRPr="000A4B36">
        <w:rPr>
          <w:color w:val="000000"/>
        </w:rPr>
        <w:t xml:space="preserve">an applicant for </w:t>
      </w:r>
      <w:bookmarkStart w:id="5" w:name="SR;741"/>
      <w:bookmarkEnd w:id="5"/>
      <w:r w:rsidRPr="000A4B36">
        <w:rPr>
          <w:color w:val="000000"/>
        </w:rPr>
        <w:t xml:space="preserve">waiver “faces a </w:t>
      </w:r>
      <w:bookmarkStart w:id="6" w:name="SR;744"/>
      <w:bookmarkEnd w:id="6"/>
      <w:r w:rsidRPr="000A4B36">
        <w:rPr>
          <w:color w:val="000000"/>
        </w:rPr>
        <w:t xml:space="preserve">high hurdle </w:t>
      </w:r>
      <w:bookmarkStart w:id="7" w:name="SR;745"/>
      <w:bookmarkEnd w:id="7"/>
      <w:r w:rsidRPr="000A4B36">
        <w:rPr>
          <w:color w:val="000000"/>
        </w:rPr>
        <w:t>even at the starting gate”</w:t>
      </w:r>
      <w:bookmarkStart w:id="8" w:name="FN[FN8]"/>
      <w:bookmarkEnd w:id="8"/>
      <w:r>
        <w:rPr>
          <w:rStyle w:val="FootnoteReference"/>
        </w:rPr>
        <w:footnoteReference w:id="24"/>
      </w:r>
      <w:r w:rsidRPr="000A4B36">
        <w:rPr>
          <w:color w:val="000000"/>
        </w:rPr>
        <w:t xml:space="preserve"> and must support its waiver request with a compelling showing.</w:t>
      </w:r>
      <w:r>
        <w:rPr>
          <w:rStyle w:val="FootnoteReference"/>
        </w:rPr>
        <w:footnoteReference w:id="25"/>
      </w:r>
      <w:r w:rsidRPr="000A4B36">
        <w:rPr>
          <w:color w:val="000000"/>
        </w:rPr>
        <w:t xml:space="preserve">  </w:t>
      </w:r>
      <w:r w:rsidRPr="000A4B36">
        <w:t xml:space="preserve">The Commission may exercise its discretion to </w:t>
      </w:r>
      <w:bookmarkStart w:id="9" w:name="SR;4792"/>
      <w:bookmarkEnd w:id="9"/>
      <w:r w:rsidRPr="000A4B36">
        <w:t>waive a rule where the particular facts make strict compliance inconsistent with the public interest.</w:t>
      </w:r>
      <w:r>
        <w:rPr>
          <w:rStyle w:val="FootnoteReference"/>
        </w:rPr>
        <w:footnoteReference w:id="26"/>
      </w:r>
      <w:r w:rsidRPr="000A4B36">
        <w:t xml:space="preserve">  In addition, the Commission may take into account considerations of hardship, equity, or more effective implementation of overall policy on an individual basis.</w:t>
      </w:r>
      <w:r>
        <w:rPr>
          <w:rStyle w:val="FootnoteReference"/>
        </w:rPr>
        <w:footnoteReference w:id="27"/>
      </w:r>
      <w:r w:rsidRPr="000A4B36">
        <w:t xml:space="preserve"> </w:t>
      </w:r>
      <w:bookmarkStart w:id="10" w:name="SR;4869"/>
      <w:bookmarkEnd w:id="10"/>
      <w:r w:rsidRPr="000A4B36">
        <w:t xml:space="preserve"> However, waiver of the Commission's rules is appropriate only if both (</w:t>
      </w:r>
      <w:r w:rsidRPr="000A4B36">
        <w:t>i</w:t>
      </w:r>
      <w:r w:rsidRPr="000A4B36">
        <w:t>) special circumstances warrant a deviation from the general rule, and (ii) such deviation will serve the public interest.</w:t>
      </w:r>
      <w:r>
        <w:rPr>
          <w:rStyle w:val="FootnoteReference"/>
        </w:rPr>
        <w:footnoteReference w:id="28"/>
      </w:r>
      <w:bookmarkStart w:id="12" w:name="SR;4899"/>
      <w:bookmarkStart w:id="13" w:name="SearchTerm"/>
      <w:bookmarkEnd w:id="12"/>
      <w:bookmarkEnd w:id="13"/>
      <w:r>
        <w:t xml:space="preserve">  </w:t>
      </w:r>
    </w:p>
    <w:p w:rsidR="008C4B98" w:rsidRPr="005D6501" w:rsidP="00E805B2" w14:paraId="15A356B4" w14:textId="7ABB1E67">
      <w:pPr>
        <w:pStyle w:val="ParaNum"/>
        <w:numPr>
          <w:ilvl w:val="0"/>
          <w:numId w:val="0"/>
        </w:numPr>
        <w:ind w:firstLine="720"/>
      </w:pPr>
      <w:r>
        <w:t>The Waiver Request</w:t>
      </w:r>
      <w:r>
        <w:t xml:space="preserve"> fails to identify any special circumstances that would warrant a waiver</w:t>
      </w:r>
      <w:r w:rsidR="00066644">
        <w:t xml:space="preserve"> of the </w:t>
      </w:r>
      <w:r w:rsidR="0007764B">
        <w:t>One Grant Policy</w:t>
      </w:r>
      <w:r>
        <w:t xml:space="preserve">. </w:t>
      </w:r>
      <w:r w:rsidR="00804828">
        <w:t xml:space="preserve"> The only </w:t>
      </w:r>
      <w:r w:rsidR="00C623CD">
        <w:t>justification</w:t>
      </w:r>
      <w:r w:rsidR="00804828">
        <w:t xml:space="preserve"> Centro identifies</w:t>
      </w:r>
      <w:r w:rsidR="00C623CD">
        <w:t xml:space="preserve"> for a waiver</w:t>
      </w:r>
      <w:r w:rsidR="00804828">
        <w:t>—that the Centro Application is only mutually exclusive</w:t>
      </w:r>
      <w:r>
        <w:t xml:space="preserve"> </w:t>
      </w:r>
      <w:r w:rsidR="00066644">
        <w:t xml:space="preserve">with </w:t>
      </w:r>
      <w:r w:rsidR="00C31EBB">
        <w:t xml:space="preserve">two </w:t>
      </w:r>
      <w:r w:rsidR="00066644">
        <w:t>technically defective applications</w:t>
      </w:r>
      <w:r w:rsidR="001B4253">
        <w:t>, neither of which is the tentative selectee</w:t>
      </w:r>
      <w:r w:rsidR="00804828">
        <w:t>—</w:t>
      </w:r>
      <w:r w:rsidR="00066644">
        <w:t xml:space="preserve">is not a </w:t>
      </w:r>
      <w:r w:rsidR="00130E81">
        <w:t>s</w:t>
      </w:r>
      <w:r w:rsidR="00066644">
        <w:t>pecial circumstance</w:t>
      </w:r>
      <w:r w:rsidR="00130E81">
        <w:t xml:space="preserve"> </w:t>
      </w:r>
      <w:r w:rsidR="00E92CE4">
        <w:t>because such a situation</w:t>
      </w:r>
      <w:r w:rsidR="00C623CD">
        <w:t>,</w:t>
      </w:r>
      <w:r w:rsidR="00E92CE4">
        <w:t xml:space="preserve"> </w:t>
      </w:r>
      <w:r w:rsidR="00804828">
        <w:t xml:space="preserve">where dismissing technically defective applications would result in </w:t>
      </w:r>
      <w:r w:rsidR="001B4253">
        <w:t xml:space="preserve">a </w:t>
      </w:r>
      <w:r w:rsidR="00804828">
        <w:t>singleton</w:t>
      </w:r>
      <w:r w:rsidR="00C623CD">
        <w:t>,</w:t>
      </w:r>
      <w:r w:rsidR="00804828">
        <w:t xml:space="preserve"> </w:t>
      </w:r>
      <w:r w:rsidR="00E92CE4">
        <w:t>is likely to occur</w:t>
      </w:r>
      <w:r>
        <w:t xml:space="preserve"> repeatedly, particularly </w:t>
      </w:r>
      <w:r w:rsidR="00E92CE4">
        <w:t xml:space="preserve">in large mutually exclusive </w:t>
      </w:r>
      <w:r w:rsidR="001B4253">
        <w:t xml:space="preserve">application </w:t>
      </w:r>
      <w:r w:rsidR="00E92CE4">
        <w:t>groups.</w:t>
      </w:r>
      <w:r w:rsidR="00DE3E11">
        <w:t xml:space="preserve">  </w:t>
      </w:r>
      <w:r>
        <w:t xml:space="preserve">Additionally, Centro fails to </w:t>
      </w:r>
      <w:r w:rsidR="00C623CD">
        <w:t>explain</w:t>
      </w:r>
      <w:r w:rsidR="00A541FE">
        <w:t xml:space="preserve"> </w:t>
      </w:r>
      <w:r>
        <w:t>how the public interest would be served by granting the Waiver</w:t>
      </w:r>
      <w:r w:rsidR="00DE3E11">
        <w:t xml:space="preserve"> Request</w:t>
      </w:r>
      <w:r w:rsidR="0007764B">
        <w:t xml:space="preserve">.  The </w:t>
      </w:r>
      <w:r w:rsidR="00DE3E11">
        <w:t xml:space="preserve">Commission has </w:t>
      </w:r>
      <w:r w:rsidR="001B4253">
        <w:t xml:space="preserve">consistently </w:t>
      </w:r>
      <w:r w:rsidR="00DE3E11">
        <w:t xml:space="preserve">held that </w:t>
      </w:r>
      <w:r w:rsidR="00395843">
        <w:t xml:space="preserve">conducting a secondary analysis and then </w:t>
      </w:r>
      <w:r w:rsidR="00DE3E11">
        <w:t xml:space="preserve">granting </w:t>
      </w:r>
      <w:r w:rsidR="0007764B">
        <w:t xml:space="preserve">additional potentially </w:t>
      </w:r>
      <w:r w:rsidR="00DE3E11">
        <w:t>inferior applications–such as the Centro Application—</w:t>
      </w:r>
      <w:r w:rsidR="004C3D22">
        <w:t>would not serve the public interest</w:t>
      </w:r>
      <w:r>
        <w:t>.</w:t>
      </w:r>
      <w:r>
        <w:rPr>
          <w:rStyle w:val="FootnoteReference"/>
        </w:rPr>
        <w:footnoteReference w:id="29"/>
      </w:r>
      <w:r>
        <w:t xml:space="preserve">  </w:t>
      </w:r>
      <w:r w:rsidR="00130E81">
        <w:t>Because Centro has failed to meet any of the requirements for a waiver, we deny the Waiver Request.</w:t>
      </w:r>
    </w:p>
    <w:p w:rsidR="00825180" w:rsidRPr="009F33BB" w:rsidP="00825180" w14:paraId="57AA6E1E" w14:textId="5683C701">
      <w:pPr>
        <w:tabs>
          <w:tab w:val="left" w:pos="0"/>
        </w:tabs>
        <w:suppressAutoHyphens/>
        <w:outlineLvl w:val="0"/>
        <w:rPr>
          <w:sz w:val="22"/>
          <w:szCs w:val="22"/>
        </w:rPr>
      </w:pPr>
      <w:r w:rsidRPr="00732A29">
        <w:rPr>
          <w:b/>
          <w:sz w:val="22"/>
          <w:szCs w:val="22"/>
        </w:rPr>
        <w:tab/>
      </w:r>
      <w:r w:rsidRPr="009F33BB">
        <w:rPr>
          <w:b/>
          <w:sz w:val="22"/>
          <w:szCs w:val="22"/>
        </w:rPr>
        <w:t xml:space="preserve">Conclusion/Action.  </w:t>
      </w:r>
      <w:r w:rsidRPr="009F33BB">
        <w:rPr>
          <w:sz w:val="22"/>
          <w:szCs w:val="22"/>
        </w:rPr>
        <w:t xml:space="preserve">Accordingly, </w:t>
      </w:r>
      <w:r w:rsidRPr="009F33BB">
        <w:rPr>
          <w:b/>
          <w:bCs/>
          <w:sz w:val="22"/>
          <w:szCs w:val="22"/>
        </w:rPr>
        <w:t>IT IS ORDERED</w:t>
      </w:r>
      <w:r w:rsidRPr="009F33BB">
        <w:rPr>
          <w:sz w:val="22"/>
          <w:szCs w:val="22"/>
        </w:rPr>
        <w:t xml:space="preserve"> that the </w:t>
      </w:r>
      <w:r w:rsidRPr="009F33BB" w:rsidR="00066644">
        <w:rPr>
          <w:sz w:val="22"/>
          <w:szCs w:val="22"/>
        </w:rPr>
        <w:t>waiver request</w:t>
      </w:r>
      <w:r w:rsidRPr="009F33BB">
        <w:rPr>
          <w:sz w:val="22"/>
          <w:szCs w:val="22"/>
        </w:rPr>
        <w:t xml:space="preserve"> filed on </w:t>
      </w:r>
      <w:r w:rsidR="00130E81">
        <w:rPr>
          <w:sz w:val="22"/>
          <w:szCs w:val="22"/>
        </w:rPr>
        <w:t>June 3</w:t>
      </w:r>
      <w:r w:rsidRPr="009F33BB" w:rsidR="00305AEE">
        <w:rPr>
          <w:sz w:val="22"/>
          <w:szCs w:val="22"/>
        </w:rPr>
        <w:t>, 2022</w:t>
      </w:r>
      <w:r w:rsidRPr="009F33BB">
        <w:rPr>
          <w:sz w:val="22"/>
          <w:szCs w:val="22"/>
        </w:rPr>
        <w:t xml:space="preserve">, by </w:t>
      </w:r>
      <w:r w:rsidRPr="009F33BB" w:rsidR="009F33BB">
        <w:rPr>
          <w:sz w:val="22"/>
          <w:szCs w:val="22"/>
        </w:rPr>
        <w:t xml:space="preserve">Centro Familiar de Restauracion y Vida </w:t>
      </w:r>
      <w:r w:rsidRPr="009F33BB">
        <w:rPr>
          <w:b/>
          <w:bCs/>
          <w:sz w:val="22"/>
          <w:szCs w:val="22"/>
        </w:rPr>
        <w:t xml:space="preserve">IS </w:t>
      </w:r>
      <w:r w:rsidRPr="009F33BB" w:rsidR="00066644">
        <w:rPr>
          <w:b/>
          <w:bCs/>
          <w:sz w:val="22"/>
          <w:szCs w:val="22"/>
        </w:rPr>
        <w:t>DENIED</w:t>
      </w:r>
      <w:r w:rsidRPr="009F33BB" w:rsidR="00305AEE">
        <w:rPr>
          <w:sz w:val="22"/>
          <w:szCs w:val="22"/>
        </w:rPr>
        <w:t>.</w:t>
      </w:r>
    </w:p>
    <w:p w:rsidR="003A433C" w:rsidRPr="009F33BB" w:rsidP="00825180" w14:paraId="3E77D25B" w14:textId="15CDD583">
      <w:pPr>
        <w:tabs>
          <w:tab w:val="left" w:pos="0"/>
        </w:tabs>
        <w:suppressAutoHyphens/>
        <w:outlineLvl w:val="0"/>
        <w:rPr>
          <w:sz w:val="22"/>
          <w:szCs w:val="22"/>
        </w:rPr>
      </w:pPr>
    </w:p>
    <w:p w:rsidR="006A173A" w:rsidRPr="00066644" w:rsidP="005D6501" w14:paraId="1CF45C4A" w14:textId="31BFFF35">
      <w:pPr>
        <w:tabs>
          <w:tab w:val="left" w:pos="0"/>
        </w:tabs>
        <w:suppressAutoHyphens/>
        <w:outlineLvl w:val="0"/>
        <w:rPr>
          <w:sz w:val="22"/>
          <w:szCs w:val="22"/>
        </w:rPr>
      </w:pPr>
      <w:r w:rsidRPr="009F33BB">
        <w:rPr>
          <w:sz w:val="22"/>
          <w:szCs w:val="22"/>
        </w:rPr>
        <w:tab/>
      </w:r>
      <w:r w:rsidRPr="009F33BB">
        <w:rPr>
          <w:b/>
          <w:bCs/>
          <w:sz w:val="22"/>
          <w:szCs w:val="22"/>
        </w:rPr>
        <w:t>IT IS FURTHER ORDERED</w:t>
      </w:r>
      <w:r w:rsidRPr="009F33BB">
        <w:rPr>
          <w:sz w:val="22"/>
          <w:szCs w:val="22"/>
        </w:rPr>
        <w:t xml:space="preserve">, that the application of </w:t>
      </w:r>
      <w:r w:rsidRPr="009F33BB" w:rsidR="00066644">
        <w:rPr>
          <w:sz w:val="22"/>
          <w:szCs w:val="22"/>
        </w:rPr>
        <w:t xml:space="preserve">Centro Familiar de Restauracion y Vida </w:t>
      </w:r>
      <w:r w:rsidRPr="009F33BB">
        <w:rPr>
          <w:sz w:val="22"/>
          <w:szCs w:val="22"/>
        </w:rPr>
        <w:t>(</w:t>
      </w:r>
      <w:r w:rsidRPr="009F33BB" w:rsidR="00124A1E">
        <w:rPr>
          <w:sz w:val="22"/>
          <w:szCs w:val="22"/>
        </w:rPr>
        <w:t xml:space="preserve">Application </w:t>
      </w:r>
      <w:r w:rsidRPr="009F33BB">
        <w:rPr>
          <w:sz w:val="22"/>
          <w:szCs w:val="22"/>
        </w:rPr>
        <w:t>File No. 0000167</w:t>
      </w:r>
      <w:r w:rsidR="004C3D22">
        <w:rPr>
          <w:sz w:val="22"/>
          <w:szCs w:val="22"/>
        </w:rPr>
        <w:t>079</w:t>
      </w:r>
      <w:r w:rsidRPr="00066644">
        <w:rPr>
          <w:sz w:val="22"/>
          <w:szCs w:val="22"/>
        </w:rPr>
        <w:t xml:space="preserve">) for a construction permit for a </w:t>
      </w:r>
      <w:r w:rsidR="00237F9E">
        <w:rPr>
          <w:sz w:val="22"/>
          <w:szCs w:val="22"/>
        </w:rPr>
        <w:t xml:space="preserve">new </w:t>
      </w:r>
      <w:r w:rsidRPr="00066644">
        <w:rPr>
          <w:sz w:val="22"/>
          <w:szCs w:val="22"/>
        </w:rPr>
        <w:t xml:space="preserve">NCE FM station in </w:t>
      </w:r>
      <w:r w:rsidR="004C3D22">
        <w:rPr>
          <w:sz w:val="22"/>
          <w:szCs w:val="22"/>
        </w:rPr>
        <w:t>Chaparral, New Mexico</w:t>
      </w:r>
      <w:r w:rsidRPr="00066644" w:rsidR="00B44A28">
        <w:rPr>
          <w:sz w:val="22"/>
          <w:szCs w:val="22"/>
        </w:rPr>
        <w:t>,</w:t>
      </w:r>
      <w:r w:rsidRPr="00066644">
        <w:rPr>
          <w:sz w:val="22"/>
          <w:szCs w:val="22"/>
        </w:rPr>
        <w:t xml:space="preserve"> </w:t>
      </w:r>
      <w:r w:rsidRPr="00066644">
        <w:rPr>
          <w:b/>
          <w:bCs/>
          <w:sz w:val="22"/>
          <w:szCs w:val="22"/>
        </w:rPr>
        <w:t xml:space="preserve">IS </w:t>
      </w:r>
      <w:r w:rsidRPr="00066644" w:rsidR="005D6501">
        <w:rPr>
          <w:b/>
          <w:bCs/>
          <w:sz w:val="22"/>
          <w:szCs w:val="22"/>
        </w:rPr>
        <w:t>DISMISSED.</w:t>
      </w:r>
      <w:bookmarkStart w:id="14" w:name="_Hlk77597583"/>
    </w:p>
    <w:p w:rsidR="00825180" w:rsidRPr="006248EE" w:rsidP="00472119" w14:paraId="1A5C01A1" w14:textId="5E9950FC">
      <w:pPr>
        <w:keepNext/>
        <w:keepLines/>
        <w:tabs>
          <w:tab w:val="left" w:pos="-1440"/>
          <w:tab w:val="left" w:pos="-720"/>
          <w:tab w:val="left" w:pos="5040"/>
          <w:tab w:val="left" w:pos="5760"/>
          <w:tab w:val="right" w:pos="9360"/>
        </w:tabs>
        <w:suppressAutoHyphens/>
        <w:rPr>
          <w:sz w:val="22"/>
          <w:szCs w:val="22"/>
        </w:rPr>
      </w:pPr>
      <w:r>
        <w:rPr>
          <w:sz w:val="22"/>
          <w:szCs w:val="22"/>
        </w:rPr>
        <w:tab/>
      </w:r>
      <w:r w:rsidRPr="006248EE">
        <w:rPr>
          <w:sz w:val="22"/>
          <w:szCs w:val="22"/>
        </w:rPr>
        <w:t>Sincerely,</w:t>
      </w:r>
    </w:p>
    <w:p w:rsidR="00825180" w:rsidRPr="006248EE" w:rsidP="00472119" w14:paraId="56B72B1E" w14:textId="77777777">
      <w:pPr>
        <w:keepNext/>
        <w:keepLines/>
        <w:tabs>
          <w:tab w:val="left" w:pos="-1440"/>
          <w:tab w:val="left" w:pos="-720"/>
          <w:tab w:val="left" w:pos="5040"/>
          <w:tab w:val="left" w:pos="5760"/>
          <w:tab w:val="right" w:pos="9360"/>
        </w:tabs>
        <w:suppressAutoHyphens/>
        <w:rPr>
          <w:sz w:val="22"/>
          <w:szCs w:val="22"/>
        </w:rPr>
      </w:pPr>
    </w:p>
    <w:p w:rsidR="00825180" w:rsidRPr="006248EE" w:rsidP="00472119" w14:paraId="6CA51655" w14:textId="77777777">
      <w:pPr>
        <w:keepNext/>
        <w:keepLines/>
        <w:tabs>
          <w:tab w:val="left" w:pos="-1440"/>
          <w:tab w:val="left" w:pos="-720"/>
          <w:tab w:val="left" w:pos="5040"/>
          <w:tab w:val="left" w:pos="5760"/>
          <w:tab w:val="right" w:pos="9360"/>
        </w:tabs>
        <w:suppressAutoHyphens/>
        <w:rPr>
          <w:sz w:val="22"/>
          <w:szCs w:val="22"/>
        </w:rPr>
      </w:pPr>
    </w:p>
    <w:p w:rsidR="00825180" w:rsidRPr="006248EE" w:rsidP="00472119" w14:paraId="1456B89D" w14:textId="77777777">
      <w:pPr>
        <w:keepNext/>
        <w:keepLines/>
        <w:tabs>
          <w:tab w:val="left" w:pos="-1440"/>
          <w:tab w:val="left" w:pos="-720"/>
          <w:tab w:val="left" w:pos="5040"/>
          <w:tab w:val="left" w:pos="5760"/>
          <w:tab w:val="right" w:pos="9360"/>
        </w:tabs>
        <w:suppressAutoHyphens/>
        <w:rPr>
          <w:sz w:val="22"/>
          <w:szCs w:val="22"/>
        </w:rPr>
      </w:pPr>
      <w:r w:rsidRPr="006248EE">
        <w:rPr>
          <w:sz w:val="22"/>
          <w:szCs w:val="22"/>
        </w:rPr>
        <w:tab/>
        <w:t xml:space="preserve">Albert Shuldiner  </w:t>
      </w:r>
    </w:p>
    <w:p w:rsidR="00825180" w:rsidRPr="006248EE" w:rsidP="00472119" w14:paraId="5DF50AB8" w14:textId="77777777">
      <w:pPr>
        <w:keepNext/>
        <w:keepLines/>
        <w:tabs>
          <w:tab w:val="left" w:pos="-1440"/>
          <w:tab w:val="left" w:pos="-720"/>
          <w:tab w:val="left" w:pos="5040"/>
          <w:tab w:val="left" w:pos="5760"/>
          <w:tab w:val="right" w:pos="9360"/>
        </w:tabs>
        <w:suppressAutoHyphens/>
        <w:rPr>
          <w:sz w:val="22"/>
          <w:szCs w:val="22"/>
        </w:rPr>
      </w:pPr>
      <w:r w:rsidRPr="006248EE">
        <w:rPr>
          <w:sz w:val="22"/>
          <w:szCs w:val="22"/>
        </w:rPr>
        <w:tab/>
        <w:t>Chief, Audio Division</w:t>
      </w:r>
    </w:p>
    <w:p w:rsidR="00FD0C24" w:rsidP="00B046CC" w14:paraId="20A2F3AC" w14:textId="2DE252C5">
      <w:pPr>
        <w:keepNext/>
        <w:keepLines/>
        <w:tabs>
          <w:tab w:val="left" w:pos="-1440"/>
          <w:tab w:val="left" w:pos="-720"/>
          <w:tab w:val="left" w:pos="5040"/>
          <w:tab w:val="left" w:pos="5760"/>
          <w:tab w:val="right" w:pos="9360"/>
        </w:tabs>
        <w:suppressAutoHyphens/>
        <w:spacing w:after="240"/>
        <w:rPr>
          <w:sz w:val="22"/>
          <w:szCs w:val="22"/>
        </w:rPr>
      </w:pPr>
      <w:r w:rsidRPr="006248EE">
        <w:rPr>
          <w:sz w:val="22"/>
          <w:szCs w:val="22"/>
        </w:rPr>
        <w:tab/>
        <w:t>Media Bureau</w:t>
      </w:r>
      <w:bookmarkEnd w:id="14"/>
    </w:p>
    <w:p w:rsidR="00BE62EA" w:rsidRPr="00001EA9" w:rsidP="00BE62EA" w14:paraId="0E9E533F" w14:textId="73F53298">
      <w:pPr>
        <w:widowControl w:val="0"/>
        <w:tabs>
          <w:tab w:val="left" w:pos="4320"/>
          <w:tab w:val="left" w:pos="4680"/>
          <w:tab w:val="left" w:pos="5400"/>
        </w:tabs>
        <w:rPr>
          <w:sz w:val="22"/>
          <w:szCs w:val="22"/>
        </w:rPr>
      </w:pPr>
      <w:r w:rsidRPr="00001EA9">
        <w:rPr>
          <w:sz w:val="22"/>
          <w:szCs w:val="22"/>
        </w:rPr>
        <w:t>cc (via electronic mail):</w:t>
      </w:r>
    </w:p>
    <w:p w:rsidR="00292BE4" w:rsidRPr="00AF3EF5" w:rsidP="00292BE4" w14:paraId="47E31F76" w14:textId="4C7D8535">
      <w:pPr>
        <w:rPr>
          <w:sz w:val="22"/>
          <w:szCs w:val="22"/>
        </w:rPr>
      </w:pPr>
      <w:r>
        <w:rPr>
          <w:sz w:val="22"/>
          <w:szCs w:val="22"/>
        </w:rPr>
        <w:t xml:space="preserve">Dan J. Alpert, Esq. </w:t>
      </w:r>
      <w:r w:rsidRPr="00AF3EF5">
        <w:rPr>
          <w:sz w:val="22"/>
          <w:szCs w:val="22"/>
        </w:rPr>
        <w:t>(</w:t>
      </w:r>
      <w:r>
        <w:rPr>
          <w:sz w:val="22"/>
          <w:szCs w:val="22"/>
        </w:rPr>
        <w:t xml:space="preserve">sent by electronic mail to: </w:t>
      </w:r>
      <w:hyperlink r:id="rId6" w:history="1">
        <w:r w:rsidRPr="005C6CAE" w:rsidR="0039098F">
          <w:rPr>
            <w:rStyle w:val="Hyperlink"/>
            <w:sz w:val="22"/>
            <w:szCs w:val="22"/>
          </w:rPr>
          <w:t>dja@commlaw.tv</w:t>
        </w:r>
      </w:hyperlink>
      <w:r>
        <w:rPr>
          <w:sz w:val="22"/>
          <w:szCs w:val="22"/>
        </w:rPr>
        <w:t>)</w:t>
      </w:r>
    </w:p>
    <w:p w:rsidR="00292BE4" w:rsidP="00292BE4" w14:paraId="6F3ACD6D" w14:textId="3158B77A">
      <w:pPr>
        <w:rPr>
          <w:sz w:val="22"/>
          <w:szCs w:val="22"/>
          <w:lang w:val="es-ES"/>
        </w:rPr>
      </w:pPr>
      <w:r w:rsidRPr="00501B74">
        <w:rPr>
          <w:sz w:val="22"/>
          <w:szCs w:val="22"/>
          <w:lang w:val="es-ES"/>
        </w:rPr>
        <w:t>(</w:t>
      </w:r>
      <w:r w:rsidRPr="00501B74">
        <w:rPr>
          <w:sz w:val="22"/>
          <w:szCs w:val="22"/>
          <w:lang w:val="es-ES"/>
        </w:rPr>
        <w:t>Contact</w:t>
      </w:r>
      <w:r w:rsidRPr="00501B74">
        <w:rPr>
          <w:sz w:val="22"/>
          <w:szCs w:val="22"/>
          <w:lang w:val="es-ES"/>
        </w:rPr>
        <w:t xml:space="preserve"> Representative </w:t>
      </w:r>
      <w:r w:rsidRPr="00501B74">
        <w:rPr>
          <w:sz w:val="22"/>
          <w:szCs w:val="22"/>
          <w:lang w:val="es-ES"/>
        </w:rPr>
        <w:t>for</w:t>
      </w:r>
      <w:r w:rsidRPr="00501B74">
        <w:rPr>
          <w:sz w:val="22"/>
          <w:szCs w:val="22"/>
          <w:lang w:val="es-ES"/>
        </w:rPr>
        <w:t xml:space="preserve"> </w:t>
      </w:r>
      <w:r w:rsidRPr="00501B74" w:rsidR="00501B74">
        <w:rPr>
          <w:sz w:val="22"/>
          <w:szCs w:val="22"/>
          <w:lang w:val="es-ES"/>
        </w:rPr>
        <w:t>Centro Familiar de Restauracion y Vida</w:t>
      </w:r>
      <w:r w:rsidRPr="00501B74">
        <w:rPr>
          <w:sz w:val="22"/>
          <w:szCs w:val="22"/>
          <w:lang w:val="es-ES"/>
        </w:rPr>
        <w:t>)</w:t>
      </w:r>
    </w:p>
    <w:p w:rsidR="00501B74" w:rsidP="00292BE4" w14:paraId="66DE0B34" w14:textId="6F60C85E">
      <w:pPr>
        <w:rPr>
          <w:sz w:val="22"/>
          <w:szCs w:val="22"/>
          <w:lang w:val="es-ES"/>
        </w:rPr>
      </w:pPr>
    </w:p>
    <w:p w:rsidR="00501B74" w:rsidP="00292BE4" w14:paraId="58AA1B68" w14:textId="77777777">
      <w:pPr>
        <w:rPr>
          <w:sz w:val="22"/>
          <w:szCs w:val="22"/>
        </w:rPr>
      </w:pPr>
      <w:r w:rsidRPr="00501B74">
        <w:rPr>
          <w:sz w:val="22"/>
          <w:szCs w:val="22"/>
        </w:rPr>
        <w:t xml:space="preserve">Darryl K </w:t>
      </w:r>
      <w:r w:rsidRPr="00501B74">
        <w:rPr>
          <w:sz w:val="22"/>
          <w:szCs w:val="22"/>
        </w:rPr>
        <w:t>DeLawder</w:t>
      </w:r>
      <w:r w:rsidRPr="00501B74">
        <w:rPr>
          <w:sz w:val="22"/>
          <w:szCs w:val="22"/>
        </w:rPr>
        <w:t xml:space="preserve"> (sent b</w:t>
      </w:r>
      <w:r>
        <w:rPr>
          <w:sz w:val="22"/>
          <w:szCs w:val="22"/>
        </w:rPr>
        <w:t xml:space="preserve">y electronic mail to </w:t>
      </w:r>
      <w:hyperlink r:id="rId7" w:history="1">
        <w:r w:rsidRPr="00FF40DD">
          <w:rPr>
            <w:rStyle w:val="Hyperlink"/>
            <w:sz w:val="22"/>
            <w:szCs w:val="22"/>
          </w:rPr>
          <w:t>delawder@aol.com</w:t>
        </w:r>
      </w:hyperlink>
      <w:r>
        <w:rPr>
          <w:sz w:val="22"/>
          <w:szCs w:val="22"/>
        </w:rPr>
        <w:t>)</w:t>
      </w:r>
    </w:p>
    <w:p w:rsidR="00ED4C0E" w:rsidRPr="00501B74" w14:paraId="0291EF67" w14:textId="081F2FDA">
      <w:pPr>
        <w:rPr>
          <w:sz w:val="22"/>
          <w:szCs w:val="22"/>
          <w:lang w:val="es-ES"/>
        </w:rPr>
      </w:pPr>
      <w:r w:rsidRPr="00501B74">
        <w:rPr>
          <w:sz w:val="22"/>
          <w:szCs w:val="22"/>
          <w:lang w:val="es-ES"/>
        </w:rPr>
        <w:t>(</w:t>
      </w:r>
      <w:r w:rsidRPr="00501B74">
        <w:rPr>
          <w:sz w:val="22"/>
          <w:szCs w:val="22"/>
          <w:lang w:val="es-ES"/>
        </w:rPr>
        <w:t>Technica</w:t>
      </w:r>
      <w:r w:rsidR="00B046CC">
        <w:rPr>
          <w:sz w:val="22"/>
          <w:szCs w:val="22"/>
          <w:lang w:val="es-ES"/>
        </w:rPr>
        <w:t>l</w:t>
      </w:r>
      <w:r w:rsidRPr="00501B74">
        <w:rPr>
          <w:sz w:val="22"/>
          <w:szCs w:val="22"/>
          <w:lang w:val="es-ES"/>
        </w:rPr>
        <w:t xml:space="preserve"> </w:t>
      </w:r>
      <w:r w:rsidRPr="00501B74">
        <w:rPr>
          <w:sz w:val="22"/>
          <w:szCs w:val="22"/>
          <w:lang w:val="es-ES"/>
        </w:rPr>
        <w:t>Representatve</w:t>
      </w:r>
      <w:r w:rsidRPr="00501B74">
        <w:rPr>
          <w:sz w:val="22"/>
          <w:szCs w:val="22"/>
          <w:lang w:val="es-ES"/>
        </w:rPr>
        <w:t xml:space="preserve"> </w:t>
      </w:r>
      <w:r w:rsidRPr="00501B74">
        <w:rPr>
          <w:sz w:val="22"/>
          <w:szCs w:val="22"/>
          <w:lang w:val="es-ES"/>
        </w:rPr>
        <w:t>for</w:t>
      </w:r>
      <w:r w:rsidRPr="00501B74">
        <w:rPr>
          <w:sz w:val="22"/>
          <w:szCs w:val="22"/>
          <w:lang w:val="es-ES"/>
        </w:rPr>
        <w:t xml:space="preserve"> Centro Familiar de Restauracion y Vida)</w:t>
      </w:r>
    </w:p>
    <w:sectPr>
      <w:headerReference w:type="first" r:id="rId8"/>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C45CF" w14:paraId="6A13CE3C" w14:textId="77777777">
      <w:r>
        <w:separator/>
      </w:r>
    </w:p>
  </w:footnote>
  <w:footnote w:type="continuationSeparator" w:id="1">
    <w:p w:rsidR="00FC45CF" w14:paraId="4F0DA4EF" w14:textId="77777777">
      <w:r>
        <w:continuationSeparator/>
      </w:r>
    </w:p>
  </w:footnote>
  <w:footnote w:id="2">
    <w:p w:rsidR="00B61959" w14:paraId="611C65C9" w14:textId="1D5E2D9F">
      <w:pPr>
        <w:pStyle w:val="FootnoteText"/>
      </w:pPr>
      <w:r>
        <w:rPr>
          <w:rStyle w:val="FootnoteReference"/>
        </w:rPr>
        <w:footnoteRef/>
      </w:r>
      <w:r>
        <w:t xml:space="preserve"> Application File No. 0000167079.</w:t>
      </w:r>
    </w:p>
  </w:footnote>
  <w:footnote w:id="3">
    <w:p w:rsidR="00B61959" w14:paraId="31DFA9C0" w14:textId="0CF25802">
      <w:pPr>
        <w:pStyle w:val="FootnoteText"/>
      </w:pPr>
      <w:r>
        <w:rPr>
          <w:rStyle w:val="FootnoteReference"/>
        </w:rPr>
        <w:footnoteRef/>
      </w:r>
      <w:r>
        <w:t xml:space="preserve"> Centro Application at “ChaparalNM212A Waiver Request v1(1).pdf”.</w:t>
      </w:r>
    </w:p>
  </w:footnote>
  <w:footnote w:id="4">
    <w:p w:rsidR="007D1990" w:rsidRPr="007D1990" w14:paraId="4FFBD068" w14:textId="6FED0DE1">
      <w:pPr>
        <w:pStyle w:val="FootnoteText"/>
      </w:pPr>
      <w:r>
        <w:rPr>
          <w:rStyle w:val="FootnoteReference"/>
        </w:rPr>
        <w:footnoteRef/>
      </w:r>
      <w:r>
        <w:t xml:space="preserve"> </w:t>
      </w:r>
      <w:r>
        <w:rPr>
          <w:i/>
          <w:iCs/>
        </w:rPr>
        <w:t>Media Bureau Announces NCE FM New Station Application Filing Window; Window Open from November 2, 2021, to November 9, 2021</w:t>
      </w:r>
      <w:r>
        <w:t xml:space="preserve">, </w:t>
      </w:r>
      <w:r w:rsidR="001E46BD">
        <w:t xml:space="preserve">MB Docket No. 20-343, </w:t>
      </w:r>
      <w:r>
        <w:t>Public Notice</w:t>
      </w:r>
      <w:r w:rsidR="001E46BD">
        <w:t>,</w:t>
      </w:r>
      <w:r>
        <w:t xml:space="preserve"> </w:t>
      </w:r>
      <w:r w:rsidR="001E46BD">
        <w:t xml:space="preserve">36 FCC </w:t>
      </w:r>
      <w:r w:rsidR="001E46BD">
        <w:t>Rcd</w:t>
      </w:r>
      <w:r w:rsidR="001E46BD">
        <w:t xml:space="preserve"> 7449</w:t>
      </w:r>
      <w:r>
        <w:t xml:space="preserve"> (MB 2021).</w:t>
      </w:r>
    </w:p>
  </w:footnote>
  <w:footnote w:id="5">
    <w:p w:rsidR="001C1E15" w:rsidRPr="000B57E2" w:rsidP="001C1E15" w14:paraId="68E759C0" w14:textId="0AE8C076">
      <w:pPr>
        <w:pStyle w:val="FootnoteText"/>
      </w:pPr>
      <w:r>
        <w:rPr>
          <w:rStyle w:val="FootnoteReference"/>
        </w:rPr>
        <w:footnoteRef/>
      </w:r>
      <w:r>
        <w:t xml:space="preserve"> </w:t>
      </w:r>
      <w:r>
        <w:rPr>
          <w:i/>
          <w:iCs/>
        </w:rPr>
        <w:t xml:space="preserve">Media Bureau </w:t>
      </w:r>
      <w:r w:rsidRPr="00472119">
        <w:rPr>
          <w:i/>
          <w:iCs/>
        </w:rPr>
        <w:t>Identifies Groups of Mutually Exclusive Applications Submitted in the November 2021, Filing Window for New Noncommercial Education Stations; Opens Window to Accept Settlements and Technical Amendments</w:t>
      </w:r>
      <w:r w:rsidRPr="00472119">
        <w:t>, MB Docket No. 20-343, Public Notice, DA 21-1476 (MB Nov. 29, 2021)</w:t>
      </w:r>
      <w:r w:rsidR="00AB6920">
        <w:t xml:space="preserve"> (</w:t>
      </w:r>
      <w:r w:rsidR="00AB6920">
        <w:rPr>
          <w:i/>
          <w:iCs/>
        </w:rPr>
        <w:t>Settlement Public Notice</w:t>
      </w:r>
      <w:r w:rsidR="00AB6920">
        <w:t>)</w:t>
      </w:r>
      <w:r>
        <w:t xml:space="preserve">.  The other applicants in </w:t>
      </w:r>
      <w:r w:rsidR="0045293E">
        <w:t xml:space="preserve">the seven-way </w:t>
      </w:r>
      <w:r>
        <w:t>NCE MX Group 15</w:t>
      </w:r>
      <w:r w:rsidR="007A4C81">
        <w:t>7</w:t>
      </w:r>
      <w:r>
        <w:t xml:space="preserve"> were: </w:t>
      </w:r>
      <w:bookmarkStart w:id="1" w:name="_Hlk97193219"/>
      <w:r>
        <w:t xml:space="preserve">Radio Bilingue, Inc. (Application File No. </w:t>
      </w:r>
      <w:r w:rsidR="00C4054E">
        <w:t>0000</w:t>
      </w:r>
      <w:r>
        <w:t>166379)</w:t>
      </w:r>
      <w:bookmarkEnd w:id="1"/>
      <w:r>
        <w:t xml:space="preserve"> (RBI Application); Christian Ministries of the Valley, Inc. (Application File No. </w:t>
      </w:r>
      <w:r w:rsidR="0037367B">
        <w:t>0000</w:t>
      </w:r>
      <w:r>
        <w:t xml:space="preserve">166725) (CMV Application), New Hope Baptist Church - Silver City (Application File No. 167508), International Scripture Ministries, Inc. (Application File No. </w:t>
      </w:r>
      <w:r w:rsidR="0037367B">
        <w:t>0000</w:t>
      </w:r>
      <w:r>
        <w:t xml:space="preserve">167286), </w:t>
      </w:r>
      <w:r>
        <w:t>Aok</w:t>
      </w:r>
      <w:r>
        <w:t xml:space="preserve"> Media Corporation El Paso Texas 79936 (</w:t>
      </w:r>
      <w:r w:rsidR="0037367B">
        <w:t>A</w:t>
      </w:r>
      <w:r>
        <w:t xml:space="preserve">pplication File No. </w:t>
      </w:r>
      <w:r w:rsidR="0037367B">
        <w:t>0000</w:t>
      </w:r>
      <w:r>
        <w:t xml:space="preserve">167576), and Gandara for Latinos, Inc. (File No. </w:t>
      </w:r>
      <w:r w:rsidR="0037367B">
        <w:t>0000</w:t>
      </w:r>
      <w:r>
        <w:t>166757) (Gandara Application).</w:t>
      </w:r>
    </w:p>
  </w:footnote>
  <w:footnote w:id="6">
    <w:p w:rsidR="00C623CD" w14:paraId="3ECD6D8B" w14:textId="3B1A11B3">
      <w:pPr>
        <w:pStyle w:val="FootnoteText"/>
      </w:pPr>
      <w:r>
        <w:rPr>
          <w:rStyle w:val="FootnoteReference"/>
        </w:rPr>
        <w:footnoteRef/>
      </w:r>
      <w:r>
        <w:t xml:space="preserve"> </w:t>
      </w:r>
      <w:r>
        <w:rPr>
          <w:i/>
          <w:iCs/>
        </w:rPr>
        <w:t>Threshold Fair Distribution Analysis of 13 Groups of Mutually Exclusive Applications for Permits to Construct New Noncommercial Educational FM Stations</w:t>
      </w:r>
      <w:r>
        <w:t>, Memorandum Opinion and Order, DA 22-477 at 7-8, para. 19 (MB May 2, 2022) (</w:t>
      </w:r>
      <w:r>
        <w:rPr>
          <w:i/>
          <w:iCs/>
        </w:rPr>
        <w:t>Fourth Fair Distribution</w:t>
      </w:r>
      <w:r>
        <w:t xml:space="preserve"> </w:t>
      </w:r>
      <w:r>
        <w:rPr>
          <w:i/>
          <w:iCs/>
        </w:rPr>
        <w:t>Order</w:t>
      </w:r>
      <w:r>
        <w:t>).</w:t>
      </w:r>
      <w:r w:rsidR="004A0B55">
        <w:t xml:space="preserve">  </w:t>
      </w:r>
      <w:r w:rsidRPr="004A0B55" w:rsidR="004A0B55">
        <w:rPr>
          <w:i/>
          <w:iCs/>
        </w:rPr>
        <w:t>See</w:t>
      </w:r>
      <w:r w:rsidR="004A0B55">
        <w:t xml:space="preserve"> </w:t>
      </w:r>
      <w:r w:rsidRPr="004A0B55" w:rsidR="004A0B55">
        <w:rPr>
          <w:i/>
          <w:iCs/>
        </w:rPr>
        <w:t>also</w:t>
      </w:r>
      <w:r w:rsidR="004A0B55">
        <w:t xml:space="preserve"> 47 U.S.C. </w:t>
      </w:r>
      <w:r w:rsidRPr="00E65ED6" w:rsidR="004A0B55">
        <w:t>§</w:t>
      </w:r>
      <w:r w:rsidR="004A0B55">
        <w:t xml:space="preserve"> 307(b), 47 CFR </w:t>
      </w:r>
      <w:r w:rsidRPr="00E65ED6" w:rsidR="004A0B55">
        <w:t>§</w:t>
      </w:r>
      <w:r w:rsidR="004A0B55">
        <w:t xml:space="preserve"> 73.7002(a).</w:t>
      </w:r>
    </w:p>
  </w:footnote>
  <w:footnote w:id="7">
    <w:p w:rsidR="00653618" w:rsidRPr="00653618" w14:paraId="432EFEF6" w14:textId="6F76BCD4">
      <w:pPr>
        <w:pStyle w:val="FootnoteText"/>
      </w:pPr>
      <w:r>
        <w:rPr>
          <w:rStyle w:val="FootnoteReference"/>
        </w:rPr>
        <w:footnoteRef/>
      </w:r>
      <w:r>
        <w:t xml:space="preserve"> </w:t>
      </w:r>
      <w:r>
        <w:rPr>
          <w:i/>
          <w:iCs/>
        </w:rPr>
        <w:t>Id</w:t>
      </w:r>
      <w:r>
        <w:t>. at 11-12, para. 36.</w:t>
      </w:r>
    </w:p>
  </w:footnote>
  <w:footnote w:id="8">
    <w:p w:rsidR="00C54746" w14:paraId="73BD7642" w14:textId="5BE107B3">
      <w:pPr>
        <w:pStyle w:val="FootnoteText"/>
      </w:pPr>
      <w:r>
        <w:rPr>
          <w:rStyle w:val="FootnoteReference"/>
        </w:rPr>
        <w:footnoteRef/>
      </w:r>
      <w:r>
        <w:t xml:space="preserve"> Waiver at 1.</w:t>
      </w:r>
    </w:p>
  </w:footnote>
  <w:footnote w:id="9">
    <w:p w:rsidR="00C54746" w:rsidRPr="00FC7F48" w14:paraId="36DAAF59" w14:textId="5CD6A7F0">
      <w:pPr>
        <w:pStyle w:val="FootnoteText"/>
      </w:pPr>
      <w:r>
        <w:rPr>
          <w:rStyle w:val="FootnoteReference"/>
        </w:rPr>
        <w:footnoteRef/>
      </w:r>
      <w:r>
        <w:t xml:space="preserve"> </w:t>
      </w:r>
      <w:r>
        <w:rPr>
          <w:i/>
          <w:iCs/>
        </w:rPr>
        <w:t>Id</w:t>
      </w:r>
      <w:r>
        <w:t xml:space="preserve">. </w:t>
      </w:r>
    </w:p>
  </w:footnote>
  <w:footnote w:id="10">
    <w:p w:rsidR="00976E8E" w14:paraId="763D6C95" w14:textId="79CCA400">
      <w:pPr>
        <w:pStyle w:val="FootnoteText"/>
      </w:pPr>
      <w:r>
        <w:rPr>
          <w:rStyle w:val="FootnoteReference"/>
        </w:rPr>
        <w:footnoteRef/>
      </w:r>
      <w:r>
        <w:t xml:space="preserve"> Waiver at 1.</w:t>
      </w:r>
    </w:p>
  </w:footnote>
  <w:footnote w:id="11">
    <w:p w:rsidR="003E4F67" w14:paraId="25FBCB9D" w14:textId="669B14CE">
      <w:pPr>
        <w:pStyle w:val="FootnoteText"/>
      </w:pPr>
      <w:r>
        <w:rPr>
          <w:rStyle w:val="FootnoteReference"/>
        </w:rPr>
        <w:footnoteRef/>
      </w:r>
      <w:r>
        <w:t xml:space="preserve"> </w:t>
      </w:r>
      <w:r>
        <w:rPr>
          <w:i/>
          <w:iCs/>
        </w:rPr>
        <w:t>See</w:t>
      </w:r>
      <w:r>
        <w:t xml:space="preserve"> </w:t>
      </w:r>
      <w:r w:rsidRPr="0037367B">
        <w:t>Pleading File Nos</w:t>
      </w:r>
      <w:r w:rsidRPr="0037367B" w:rsidR="0037367B">
        <w:t>.</w:t>
      </w:r>
      <w:r w:rsidR="0037367B">
        <w:t xml:space="preserve"> 0000192820 </w:t>
      </w:r>
      <w:r w:rsidR="0007764B">
        <w:t xml:space="preserve">(petition to deny CMV Application) </w:t>
      </w:r>
      <w:r w:rsidR="0037367B">
        <w:t>and 0000192806 (petition to deny Gandara Application)</w:t>
      </w:r>
      <w:r w:rsidR="0007764B">
        <w:t xml:space="preserve"> (collectively, Petitions)</w:t>
      </w:r>
      <w:r>
        <w:t xml:space="preserve">.  The Bureau dismissed those petitions when it dismissed the CMV Application and the Gandara Application pursuant to the </w:t>
      </w:r>
      <w:r>
        <w:rPr>
          <w:i/>
          <w:iCs/>
        </w:rPr>
        <w:t>Fourth Fair Distribution Order</w:t>
      </w:r>
      <w:r>
        <w:t xml:space="preserve">.  </w:t>
      </w:r>
      <w:r w:rsidR="006D325A">
        <w:rPr>
          <w:i/>
          <w:iCs/>
        </w:rPr>
        <w:t xml:space="preserve">See </w:t>
      </w:r>
      <w:r>
        <w:rPr>
          <w:i/>
          <w:iCs/>
        </w:rPr>
        <w:t xml:space="preserve">Fourth </w:t>
      </w:r>
      <w:r w:rsidR="003711B1">
        <w:rPr>
          <w:i/>
          <w:iCs/>
        </w:rPr>
        <w:t xml:space="preserve">Fair </w:t>
      </w:r>
      <w:r>
        <w:rPr>
          <w:i/>
          <w:iCs/>
        </w:rPr>
        <w:t>Distribution Order</w:t>
      </w:r>
      <w:r>
        <w:t xml:space="preserve"> at 11-12, para. 36.  </w:t>
      </w:r>
      <w:r>
        <w:rPr>
          <w:i/>
          <w:iCs/>
        </w:rPr>
        <w:t xml:space="preserve">See also </w:t>
      </w:r>
      <w:r w:rsidR="00501B74">
        <w:t>Acti</w:t>
      </w:r>
      <w:r w:rsidRPr="00501B74" w:rsidR="00501B74">
        <w:t xml:space="preserve">ons </w:t>
      </w:r>
      <w:r w:rsidRPr="00501B74">
        <w:t>Public Notice</w:t>
      </w:r>
      <w:r w:rsidRPr="00501B74" w:rsidR="00501B74">
        <w:t>, Report</w:t>
      </w:r>
      <w:r w:rsidR="00501B74">
        <w:t xml:space="preserve"> No. PN-2-220607-01 (MB June 7, 2022) and Pleadings Public Notice, Report No. PN-3-220607-01 (MB June 7, 2022).</w:t>
      </w:r>
    </w:p>
  </w:footnote>
  <w:footnote w:id="12">
    <w:p w:rsidR="0099195E" w:rsidP="0099195E" w14:paraId="0C39DEB8" w14:textId="5DE26639">
      <w:pPr>
        <w:pStyle w:val="FootnoteText"/>
      </w:pPr>
      <w:r>
        <w:rPr>
          <w:rStyle w:val="FootnoteReference"/>
        </w:rPr>
        <w:footnoteRef/>
      </w:r>
      <w:r>
        <w:t xml:space="preserve"> </w:t>
      </w:r>
      <w:r w:rsidRPr="00164809">
        <w:t xml:space="preserve">See </w:t>
      </w:r>
      <w:r w:rsidR="0006146C">
        <w:rPr>
          <w:i/>
          <w:iCs/>
        </w:rPr>
        <w:t xml:space="preserve">Reexamination of the Comparative Standards for Noncommercial </w:t>
      </w:r>
      <w:r w:rsidRPr="0006146C" w:rsidR="0006146C">
        <w:rPr>
          <w:i/>
          <w:iCs/>
        </w:rPr>
        <w:t>Educational Applicants</w:t>
      </w:r>
      <w:r w:rsidR="0006146C">
        <w:t xml:space="preserve">, Memorandum Opinion and Order, 16 FCC </w:t>
      </w:r>
      <w:r w:rsidR="0006146C">
        <w:t>Rcd</w:t>
      </w:r>
      <w:r w:rsidR="0006146C">
        <w:t xml:space="preserve"> 5074, </w:t>
      </w:r>
      <w:r w:rsidRPr="00164809">
        <w:t>5104-05, para. 90</w:t>
      </w:r>
      <w:r w:rsidR="0006146C">
        <w:t xml:space="preserve"> (2001)</w:t>
      </w:r>
      <w:r w:rsidRPr="00164809">
        <w:t xml:space="preserve"> (“Specifically, after the best qualified applicant is selected, it is possible that remaining applicants that are not mutually exclusive with this primary selectee and thus potentially secondary selectees, may also be significantly inferior to other applicants that are eliminated because they are mutually exclusive with the primary selectee. Rather than issue authorizations to applicants whose potential for selection stems primarily from their position in the mutually exclusive chain, we believe it is appropriate to dismiss all of the remaining applicants and permit them to file again in the next filing window.”).</w:t>
      </w:r>
    </w:p>
  </w:footnote>
  <w:footnote w:id="13">
    <w:p w:rsidR="0006146C" w:rsidRPr="006543FE" w:rsidP="0006146C" w14:paraId="10DCC469" w14:textId="77777777">
      <w:pPr>
        <w:pStyle w:val="FootnoteText"/>
      </w:pPr>
      <w:r>
        <w:rPr>
          <w:rStyle w:val="FootnoteReference"/>
        </w:rPr>
        <w:footnoteRef/>
      </w:r>
      <w:r>
        <w:t xml:space="preserve"> </w:t>
      </w:r>
      <w:r>
        <w:rPr>
          <w:i/>
          <w:iCs/>
        </w:rPr>
        <w:t>See generally Green/Sumter Enterprise Community</w:t>
      </w:r>
      <w:r>
        <w:t xml:space="preserve">, Memorandum Opinion and Order, 30 FCC </w:t>
      </w:r>
      <w:r>
        <w:t>Rcd</w:t>
      </w:r>
      <w:r>
        <w:t xml:space="preserve"> 7694 (2015) (</w:t>
      </w:r>
      <w:r>
        <w:rPr>
          <w:i/>
          <w:iCs/>
        </w:rPr>
        <w:t>Green/Sumter</w:t>
      </w:r>
      <w:r>
        <w:t xml:space="preserve">); </w:t>
      </w:r>
      <w:r w:rsidRPr="006543FE">
        <w:rPr>
          <w:i/>
          <w:iCs/>
        </w:rPr>
        <w:t>see also</w:t>
      </w:r>
      <w:r>
        <w:t xml:space="preserve"> </w:t>
      </w:r>
      <w:r>
        <w:rPr>
          <w:i/>
          <w:iCs/>
        </w:rPr>
        <w:t>Hampton Roads Educational Telecommunications Association</w:t>
      </w:r>
      <w:r>
        <w:t xml:space="preserve">, Memorandum Opinion and Order, 30 FCC </w:t>
      </w:r>
      <w:r>
        <w:t>Rcd</w:t>
      </w:r>
      <w:r>
        <w:t xml:space="preserve"> 14906, 14909, para. 8 (2015), </w:t>
      </w:r>
      <w:r>
        <w:rPr>
          <w:i/>
          <w:iCs/>
        </w:rPr>
        <w:t>Hawaii Public Radio, Inc.</w:t>
      </w:r>
      <w:r>
        <w:t xml:space="preserve">, Memorandum Opinion and Order, 30 FCC </w:t>
      </w:r>
      <w:r>
        <w:t>Rcd</w:t>
      </w:r>
      <w:r>
        <w:t xml:space="preserve"> 13775, 13776, para. 4 (2015).</w:t>
      </w:r>
    </w:p>
  </w:footnote>
  <w:footnote w:id="14">
    <w:p w:rsidR="0099195E" w:rsidRPr="008C4B98" w:rsidP="0099195E" w14:paraId="2321ECD9" w14:textId="13E60784">
      <w:pPr>
        <w:pStyle w:val="FootnoteText"/>
      </w:pPr>
      <w:r>
        <w:rPr>
          <w:rStyle w:val="FootnoteReference"/>
        </w:rPr>
        <w:footnoteRef/>
      </w:r>
      <w:r>
        <w:t xml:space="preserve"> </w:t>
      </w:r>
      <w:r>
        <w:rPr>
          <w:i/>
          <w:iCs/>
        </w:rPr>
        <w:t>Reexamination of the Comparative Standards and Procedures for Licensing Noncommercial Education Broadcast Stations and Low Power FM Stations</w:t>
      </w:r>
      <w:r>
        <w:t xml:space="preserve">, MB Docket No. 19-3, Report and Order, 34 FCC </w:t>
      </w:r>
      <w:r>
        <w:t>Rcd</w:t>
      </w:r>
      <w:r>
        <w:t xml:space="preserve"> 12519, 12528, n.68 (2019)</w:t>
      </w:r>
      <w:r w:rsidR="00E92CE4">
        <w:t xml:space="preserve"> (“</w:t>
      </w:r>
      <w:r w:rsidRPr="00E92CE4" w:rsidR="00E92CE4">
        <w:t>We continue to believe that the current policy of granting only one application (or tied applications) per MX group is the most administratively efficient approach and leads to the selection of the best qualified applicants and the expeditious introduction of new NCE service. We note, however, that we will continue to permit additional grants from an MX group if an applicant—by technical amendment, the voluntary dismissal of competing applications, and/or a valid settlement agreement—eliminates all conflicts to other applications in the group.</w:t>
      </w:r>
      <w:r w:rsidR="00E92CE4">
        <w:t>”)</w:t>
      </w:r>
      <w:r>
        <w:t xml:space="preserve">, </w:t>
      </w:r>
      <w:r w:rsidRPr="00853A08">
        <w:rPr>
          <w:i/>
          <w:iCs/>
        </w:rPr>
        <w:t>recon. denied</w:t>
      </w:r>
      <w:r>
        <w:t xml:space="preserve">, Order on Reconsideration, 35 FCC </w:t>
      </w:r>
      <w:r>
        <w:t>Rcd</w:t>
      </w:r>
      <w:r>
        <w:t xml:space="preserve"> 10180 (2020) (denying petition for reconsideration that sought to authorize “secondary grants” in </w:t>
      </w:r>
      <w:r w:rsidR="003F2084">
        <w:t xml:space="preserve">NCE </w:t>
      </w:r>
      <w:r>
        <w:t>mutually exclusive groups).</w:t>
      </w:r>
    </w:p>
  </w:footnote>
  <w:footnote w:id="15">
    <w:p w:rsidR="0099195E" w:rsidP="0099195E" w14:paraId="31AF52A6" w14:textId="0C7C5E2B">
      <w:pPr>
        <w:pStyle w:val="FootnoteText"/>
      </w:pPr>
      <w:r>
        <w:rPr>
          <w:rStyle w:val="FootnoteReference"/>
        </w:rPr>
        <w:footnoteRef/>
      </w:r>
      <w:r>
        <w:t xml:space="preserve"> 47 CFR</w:t>
      </w:r>
      <w:r w:rsidR="00E65ED6">
        <w:t xml:space="preserve"> </w:t>
      </w:r>
      <w:r w:rsidRPr="00E65ED6" w:rsidR="00E65ED6">
        <w:t>§</w:t>
      </w:r>
      <w:r>
        <w:t xml:space="preserve"> 73.3584(a) (emphasis added).</w:t>
      </w:r>
    </w:p>
  </w:footnote>
  <w:footnote w:id="16">
    <w:p w:rsidR="00E65ED6" w14:paraId="627D4729" w14:textId="4F2172C9">
      <w:pPr>
        <w:pStyle w:val="FootnoteText"/>
      </w:pPr>
      <w:r>
        <w:rPr>
          <w:rStyle w:val="FootnoteReference"/>
        </w:rPr>
        <w:footnoteRef/>
      </w:r>
      <w:r>
        <w:t xml:space="preserve"> 47 CFR </w:t>
      </w:r>
      <w:r w:rsidRPr="00E65ED6">
        <w:t>§</w:t>
      </w:r>
      <w:r>
        <w:t xml:space="preserve"> 73.3587.</w:t>
      </w:r>
    </w:p>
  </w:footnote>
  <w:footnote w:id="17">
    <w:p w:rsidR="0099195E" w:rsidRPr="00F468E9" w:rsidP="0099195E" w14:paraId="2E027070" w14:textId="77777777">
      <w:pPr>
        <w:pStyle w:val="FootnoteText"/>
      </w:pPr>
      <w:r>
        <w:rPr>
          <w:rStyle w:val="FootnoteReference"/>
        </w:rPr>
        <w:footnoteRef/>
      </w:r>
      <w:r>
        <w:t xml:space="preserve"> </w:t>
      </w:r>
      <w:r>
        <w:rPr>
          <w:i/>
          <w:iCs/>
        </w:rPr>
        <w:t>See Fourth Fair Distribution Order</w:t>
      </w:r>
      <w:r>
        <w:t xml:space="preserve"> at n.35; s</w:t>
      </w:r>
      <w:r>
        <w:rPr>
          <w:i/>
          <w:iCs/>
        </w:rPr>
        <w:t>ee also Cultural Energy</w:t>
      </w:r>
      <w:r>
        <w:t xml:space="preserve">, Letter Order, 26 FCC </w:t>
      </w:r>
      <w:r>
        <w:t>Rcd</w:t>
      </w:r>
      <w:r>
        <w:t xml:space="preserve"> 12766, 12768 (MB 2011) (considering objections against non-tentative selectees is wasteful and inefficient).</w:t>
      </w:r>
    </w:p>
  </w:footnote>
  <w:footnote w:id="18">
    <w:p w:rsidR="00AB6920" w:rsidRPr="00AB6920" w14:paraId="618615FC" w14:textId="75918D6C">
      <w:pPr>
        <w:pStyle w:val="FootnoteText"/>
      </w:pPr>
      <w:r>
        <w:rPr>
          <w:rStyle w:val="FootnoteReference"/>
        </w:rPr>
        <w:footnoteRef/>
      </w:r>
      <w:r>
        <w:t xml:space="preserve"> </w:t>
      </w:r>
      <w:r>
        <w:rPr>
          <w:i/>
          <w:iCs/>
        </w:rPr>
        <w:t>Settlement Public Notice</w:t>
      </w:r>
      <w:r>
        <w:t xml:space="preserve"> at 2.</w:t>
      </w:r>
    </w:p>
  </w:footnote>
  <w:footnote w:id="19">
    <w:p w:rsidR="003A7EF8" w:rsidP="003A7EF8" w14:paraId="438045EC" w14:textId="4C7C8334">
      <w:pPr>
        <w:pStyle w:val="FootnoteText"/>
      </w:pPr>
      <w:r>
        <w:rPr>
          <w:rStyle w:val="FootnoteReference"/>
        </w:rPr>
        <w:footnoteRef/>
      </w:r>
      <w:r>
        <w:t xml:space="preserve"> </w:t>
      </w:r>
      <w:r w:rsidRPr="009A051B">
        <w:rPr>
          <w:i/>
          <w:iCs/>
        </w:rPr>
        <w:t>Statement of Future Policy on Incomplete and Patently Defective AM and FM Construction Permit Applications</w:t>
      </w:r>
      <w:r w:rsidRPr="009A051B">
        <w:t>, 49 Fed. Reg. 47331 (Dec. 3, 1984)</w:t>
      </w:r>
      <w:r w:rsidR="00AB6920">
        <w:t>.</w:t>
      </w:r>
    </w:p>
  </w:footnote>
  <w:footnote w:id="20">
    <w:p w:rsidR="003A7EF8" w:rsidRPr="00AB6920" w:rsidP="003A7EF8" w14:paraId="2B0739D0" w14:textId="2C8E85F4">
      <w:pPr>
        <w:pStyle w:val="FootnoteText"/>
      </w:pPr>
      <w:r>
        <w:rPr>
          <w:rStyle w:val="FootnoteReference"/>
        </w:rPr>
        <w:footnoteRef/>
      </w:r>
      <w:r>
        <w:t xml:space="preserve"> </w:t>
      </w:r>
      <w:r w:rsidRPr="00086CF8">
        <w:rPr>
          <w:i/>
          <w:iCs/>
        </w:rPr>
        <w:t>See, e.g.,</w:t>
      </w:r>
      <w:r w:rsidRPr="00086CF8">
        <w:t xml:space="preserve"> </w:t>
      </w:r>
      <w:r w:rsidRPr="00D37B50">
        <w:rPr>
          <w:i/>
          <w:iCs/>
        </w:rPr>
        <w:t>Greene/Sumter</w:t>
      </w:r>
      <w:r w:rsidRPr="00086CF8">
        <w:t xml:space="preserve">, Memorandum Opinion and Order, 30 FCC </w:t>
      </w:r>
      <w:r w:rsidRPr="00086CF8">
        <w:t>Rcd</w:t>
      </w:r>
      <w:r w:rsidRPr="00086CF8">
        <w:t xml:space="preserve"> </w:t>
      </w:r>
      <w:r>
        <w:t>at</w:t>
      </w:r>
      <w:r w:rsidRPr="00086CF8">
        <w:t xml:space="preserve"> 7699 </w:t>
      </w:r>
      <w:r w:rsidRPr="00D37B50">
        <w:t>(noting that such an approach would “vastly expand staff burdens”</w:t>
      </w:r>
      <w:r>
        <w:t>)</w:t>
      </w:r>
      <w:r w:rsidR="00AB6920">
        <w:t xml:space="preserve">.  </w:t>
      </w:r>
    </w:p>
  </w:footnote>
  <w:footnote w:id="21">
    <w:p w:rsidR="009F72A2" w:rsidRPr="00CC0F8B" w:rsidP="00CC0F8B" w14:paraId="0546D849" w14:textId="23BE7A5D">
      <w:pPr>
        <w:pStyle w:val="FootnoteText"/>
        <w:rPr>
          <w:i/>
          <w:iCs/>
        </w:rPr>
      </w:pPr>
      <w:r>
        <w:rPr>
          <w:rStyle w:val="FootnoteReference"/>
        </w:rPr>
        <w:footnoteRef/>
      </w:r>
      <w:r>
        <w:t xml:space="preserve"> The Waiver Request states that the Bureau staff informed Centro that technical</w:t>
      </w:r>
      <w:r w:rsidR="00C31EBB">
        <w:t>ly</w:t>
      </w:r>
      <w:r>
        <w:t xml:space="preserve"> defective applications are not subject to protection.  Waiver at 1.  We remind Centro that any party relying on informal staff advice does so at their own risk.  </w:t>
      </w:r>
      <w:r w:rsidRPr="00CC0F8B">
        <w:rPr>
          <w:i/>
          <w:iCs/>
        </w:rPr>
        <w:t>WPHR(FM), Ashtabula, Ohio</w:t>
      </w:r>
      <w:r w:rsidRPr="009F72A2">
        <w:t xml:space="preserve">, Memorandum Opinion and Order, 11 FCC </w:t>
      </w:r>
      <w:r w:rsidRPr="009F72A2">
        <w:t>Rcd</w:t>
      </w:r>
      <w:r w:rsidRPr="009F72A2">
        <w:t xml:space="preserve"> 8513, 8515, para. 10 (1996) (citing </w:t>
      </w:r>
      <w:r w:rsidRPr="00CC0F8B">
        <w:rPr>
          <w:i/>
          <w:iCs/>
        </w:rPr>
        <w:t xml:space="preserve">Mary Ann </w:t>
      </w:r>
      <w:r w:rsidRPr="00CC0F8B">
        <w:rPr>
          <w:i/>
          <w:iCs/>
        </w:rPr>
        <w:t>Salvatoriello</w:t>
      </w:r>
      <w:r w:rsidRPr="009F72A2">
        <w:t xml:space="preserve">, Memorandum Opinion and Order, 6 FCC </w:t>
      </w:r>
      <w:r w:rsidRPr="009F72A2">
        <w:t>Rcd</w:t>
      </w:r>
      <w:r w:rsidRPr="009F72A2">
        <w:t xml:space="preserve"> 4705, 4708, para. 22 (1991) (“A person relying on informal advice given by Commission staff does so at their own risk”)).</w:t>
      </w:r>
      <w:r w:rsidR="00CC0F8B">
        <w:t xml:space="preserve">  </w:t>
      </w:r>
      <w:r w:rsidR="00CC0F8B">
        <w:rPr>
          <w:i/>
          <w:iCs/>
        </w:rPr>
        <w:t>See also</w:t>
      </w:r>
      <w:r w:rsidRPr="00CC0F8B" w:rsidR="00CC0F8B">
        <w:rPr>
          <w:i/>
          <w:iCs/>
        </w:rPr>
        <w:t xml:space="preserve"> Comcast Corp. v. FCC</w:t>
      </w:r>
      <w:r w:rsidRPr="00CC0F8B" w:rsidR="00CC0F8B">
        <w:t>, 526 F.3d 763, 769 (D.C. Cir. 2008)</w:t>
      </w:r>
      <w:r w:rsidR="00CC0F8B">
        <w:t xml:space="preserve"> (Commission is not bound by the actions of its staff if the Commission has not endorsed those actions).</w:t>
      </w:r>
    </w:p>
  </w:footnote>
  <w:footnote w:id="22">
    <w:p w:rsidR="00164809" w:rsidP="00164809" w14:paraId="280C37FB" w14:textId="77777777">
      <w:pPr>
        <w:pStyle w:val="FootnoteText"/>
      </w:pPr>
      <w:r>
        <w:rPr>
          <w:rStyle w:val="FootnoteReference"/>
        </w:rPr>
        <w:footnoteRef/>
      </w:r>
      <w:r>
        <w:t xml:space="preserve"> </w:t>
      </w:r>
      <w:hyperlink r:id="rId1" w:history="1">
        <w:r>
          <w:t>47 CFR § 1.3</w:t>
        </w:r>
      </w:hyperlink>
      <w:r>
        <w:t>.</w:t>
      </w:r>
    </w:p>
  </w:footnote>
  <w:footnote w:id="23">
    <w:p w:rsidR="00164809" w:rsidP="00164809" w14:paraId="77CC643C" w14:textId="3D97FD9A">
      <w:pPr>
        <w:pStyle w:val="FootnoteText"/>
      </w:pPr>
      <w:r>
        <w:rPr>
          <w:rStyle w:val="FootnoteReference"/>
        </w:rPr>
        <w:footnoteRef/>
      </w:r>
      <w:r>
        <w:t xml:space="preserve"> </w:t>
      </w:r>
      <w:r>
        <w:rPr>
          <w:i/>
        </w:rPr>
        <w:t xml:space="preserve">See Columbia Communications Corp. v. FCC, </w:t>
      </w:r>
      <w:r>
        <w:t>832.F.2d 189, 192 (D.C. Cir</w:t>
      </w:r>
      <w:r w:rsidR="00C31EBB">
        <w:t>.</w:t>
      </w:r>
      <w:r>
        <w:t xml:space="preserve"> 1987) (citing </w:t>
      </w:r>
      <w:r>
        <w:rPr>
          <w:i/>
          <w:iCs/>
        </w:rPr>
        <w:t>Rio Grande Family Radio Fellowship, Inc. v. FCC</w:t>
      </w:r>
      <w:r>
        <w:t>, 406 F.2d 644, 666 (D.C. Cir. 1968)).</w:t>
      </w:r>
    </w:p>
  </w:footnote>
  <w:footnote w:id="24">
    <w:p w:rsidR="00164809" w:rsidP="00164809" w14:paraId="772E4525" w14:textId="2AB16442">
      <w:pPr>
        <w:pStyle w:val="FootnoteText"/>
      </w:pPr>
      <w:r>
        <w:rPr>
          <w:rStyle w:val="FootnoteReference"/>
        </w:rPr>
        <w:footnoteRef/>
      </w:r>
      <w:r>
        <w:t xml:space="preserve"> </w:t>
      </w:r>
      <w:r>
        <w:rPr>
          <w:i/>
          <w:iCs/>
        </w:rPr>
        <w:t xml:space="preserve">See WAIT Radio v. FCC, </w:t>
      </w:r>
      <w:r>
        <w:rPr>
          <w:iCs/>
        </w:rPr>
        <w:t xml:space="preserve">418 F.2d 1153, 1157 (D.C. Cir. 1969), </w:t>
      </w:r>
      <w:r>
        <w:rPr>
          <w:i/>
          <w:iCs/>
        </w:rPr>
        <w:t>aff'd</w:t>
      </w:r>
      <w:r>
        <w:t xml:space="preserve">, 459 F.2d 1203 (1972), </w:t>
      </w:r>
      <w:r>
        <w:rPr>
          <w:i/>
          <w:iCs/>
        </w:rPr>
        <w:t>cert. denied</w:t>
      </w:r>
      <w:r>
        <w:t xml:space="preserve">, 93 </w:t>
      </w:r>
      <w:r>
        <w:t>S.Ct</w:t>
      </w:r>
      <w:r>
        <w:t xml:space="preserve">. 461 (1972).  </w:t>
      </w:r>
      <w:r>
        <w:rPr>
          <w:i/>
          <w:iCs/>
        </w:rPr>
        <w:t>See also Thomas Radio v. FCC,</w:t>
      </w:r>
      <w:r>
        <w:rPr>
          <w:iCs/>
        </w:rPr>
        <w:t xml:space="preserve"> 716 F.2d 921, 924 (D.C. Cir. 1983).</w:t>
      </w:r>
    </w:p>
  </w:footnote>
  <w:footnote w:id="25">
    <w:p w:rsidR="00164809" w:rsidP="00164809" w14:paraId="451FA1E4" w14:textId="77777777">
      <w:pPr>
        <w:pStyle w:val="FootnoteText"/>
      </w:pPr>
      <w:r>
        <w:rPr>
          <w:rStyle w:val="FootnoteReference"/>
        </w:rPr>
        <w:footnoteRef/>
      </w:r>
      <w:r>
        <w:t xml:space="preserve"> </w:t>
      </w:r>
      <w:r>
        <w:rPr>
          <w:i/>
          <w:iCs/>
        </w:rPr>
        <w:t>Greater Media Radio Co., Inc.</w:t>
      </w:r>
      <w:r>
        <w:t xml:space="preserve">, Memorandum Opinion and Order, 15 FCC </w:t>
      </w:r>
      <w:r>
        <w:t>Rcd</w:t>
      </w:r>
      <w:r>
        <w:t xml:space="preserve"> 7090 (1999) (citing </w:t>
      </w:r>
      <w:r>
        <w:rPr>
          <w:i/>
        </w:rPr>
        <w:t>Stoner Broadcasting System, Inc.</w:t>
      </w:r>
      <w:r>
        <w:t>, Memorandum Opinion and Order, 49 FCC 2d 1011, 1012 (1974)).</w:t>
      </w:r>
    </w:p>
  </w:footnote>
  <w:footnote w:id="26">
    <w:p w:rsidR="00164809" w:rsidP="00164809" w14:paraId="69926EA2" w14:textId="77777777">
      <w:pPr>
        <w:pStyle w:val="FootnoteText"/>
      </w:pPr>
      <w:r>
        <w:rPr>
          <w:rStyle w:val="FootnoteReference"/>
        </w:rPr>
        <w:footnoteRef/>
      </w:r>
      <w:r>
        <w:t xml:space="preserve"> </w:t>
      </w:r>
      <w:r>
        <w:rPr>
          <w:i/>
          <w:iCs/>
        </w:rPr>
        <w:t>Northeast Cellular Telephone Co. v. FCC</w:t>
      </w:r>
      <w:r>
        <w:t>, 897 F.2d 1164, 1166 (D.C. Cir. 1990) (</w:t>
      </w:r>
      <w:r>
        <w:rPr>
          <w:i/>
          <w:iCs/>
        </w:rPr>
        <w:t>Northeast Cellular</w:t>
      </w:r>
      <w:r>
        <w:t>).</w:t>
      </w:r>
    </w:p>
  </w:footnote>
  <w:footnote w:id="27">
    <w:p w:rsidR="00164809" w:rsidP="00164809" w14:paraId="31AB2FA5" w14:textId="77777777">
      <w:pPr>
        <w:pStyle w:val="FootnoteText"/>
      </w:pPr>
      <w:r>
        <w:rPr>
          <w:rStyle w:val="FootnoteReference"/>
        </w:rPr>
        <w:footnoteRef/>
      </w:r>
      <w:r>
        <w:t xml:space="preserve"> </w:t>
      </w:r>
      <w:r>
        <w:rPr>
          <w:i/>
          <w:iCs/>
        </w:rPr>
        <w:t>WAIT Radio</w:t>
      </w:r>
      <w:r>
        <w:t xml:space="preserve">, 418 F.2d at 1159; </w:t>
      </w:r>
      <w:r>
        <w:rPr>
          <w:i/>
          <w:iCs/>
        </w:rPr>
        <w:t>Northeast Cellular</w:t>
      </w:r>
      <w:r>
        <w:t>, 897 F.2d at 1166.</w:t>
      </w:r>
    </w:p>
  </w:footnote>
  <w:footnote w:id="28">
    <w:p w:rsidR="00164809" w:rsidP="00164809" w14:paraId="0F4F8AE9" w14:textId="6A887F4C">
      <w:pPr>
        <w:pStyle w:val="FootnoteText"/>
      </w:pPr>
      <w:r>
        <w:rPr>
          <w:rStyle w:val="FootnoteReference"/>
        </w:rPr>
        <w:footnoteRef/>
      </w:r>
      <w:r>
        <w:t xml:space="preserve"> </w:t>
      </w:r>
      <w:bookmarkStart w:id="11" w:name="_Hlk71306982"/>
      <w:hyperlink r:id="rId2" w:history="1">
        <w:r>
          <w:rPr>
            <w:i/>
            <w:iCs/>
          </w:rPr>
          <w:t>NetworkIP</w:t>
        </w:r>
        <w:r>
          <w:rPr>
            <w:i/>
            <w:iCs/>
          </w:rPr>
          <w:t>, LLC v. FCC</w:t>
        </w:r>
        <w:r>
          <w:t>, 548 F.3d 116, 125-128 (D.C. Cir. 2008)</w:t>
        </w:r>
      </w:hyperlink>
      <w:r>
        <w:t xml:space="preserve"> </w:t>
      </w:r>
      <w:bookmarkEnd w:id="11"/>
      <w:r>
        <w:t xml:space="preserve">(waiver of filing deadline after counsel failed to timely remit the correct filing fee was arbitrary and capricious); </w:t>
      </w:r>
      <w:hyperlink r:id="rId3" w:history="1">
        <w:r>
          <w:rPr>
            <w:i/>
            <w:iCs/>
          </w:rPr>
          <w:t>Northeast Cellular</w:t>
        </w:r>
        <w:r>
          <w:t>, 897 F.2d at 1166</w:t>
        </w:r>
      </w:hyperlink>
      <w:r>
        <w:t xml:space="preserve">.  </w:t>
      </w:r>
    </w:p>
  </w:footnote>
  <w:footnote w:id="29">
    <w:p w:rsidR="00E92CE4" w:rsidRPr="00E92CE4" w14:paraId="51A55D02" w14:textId="2C6FDED8">
      <w:pPr>
        <w:pStyle w:val="FootnoteText"/>
      </w:pPr>
      <w:r>
        <w:rPr>
          <w:rStyle w:val="FootnoteReference"/>
        </w:rPr>
        <w:footnoteRef/>
      </w:r>
      <w:r>
        <w:t xml:space="preserve"> </w:t>
      </w:r>
      <w:r>
        <w:rPr>
          <w:i/>
          <w:iCs/>
        </w:rPr>
        <w:t xml:space="preserve">See </w:t>
      </w:r>
      <w:r>
        <w:t xml:space="preserve">note 11 </w:t>
      </w:r>
      <w:r>
        <w:rPr>
          <w:i/>
          <w:iCs/>
        </w:rPr>
        <w:t>supra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61AF4D9A" w14:textId="5EE2A839">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1D40E7D6"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5E0ABCE1" w14:textId="77777777">
    <w:pPr>
      <w:pStyle w:val="Header"/>
      <w:tabs>
        <w:tab w:val="clear" w:pos="4320"/>
      </w:tabs>
      <w:jc w:val="center"/>
      <w:rPr>
        <w:sz w:val="22"/>
      </w:rPr>
    </w:pPr>
  </w:p>
  <w:p w:rsidR="002B54DB" w14:paraId="5CFCF028" w14:textId="77777777">
    <w:pPr>
      <w:pStyle w:val="Header"/>
      <w:tabs>
        <w:tab w:val="clear" w:pos="4320"/>
      </w:tabs>
      <w:jc w:val="center"/>
      <w:rPr>
        <w:sz w:val="22"/>
      </w:rPr>
    </w:pPr>
  </w:p>
  <w:p w:rsidR="002B54DB" w14:paraId="6E96285D" w14:textId="4131648A">
    <w:pPr>
      <w:pStyle w:val="Header"/>
      <w:tabs>
        <w:tab w:val="clear" w:pos="4320"/>
      </w:tabs>
      <w:jc w:val="center"/>
      <w:rPr>
        <w:sz w:val="24"/>
      </w:rPr>
    </w:pPr>
    <w:r>
      <w:rPr>
        <w:sz w:val="24"/>
      </w:rPr>
      <w:t>July 18,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 w:numId="2">
    <w:abstractNumId w:val="0"/>
    <w:lvlOverride w:ilvl="0">
      <w:startOverride w:val="8"/>
    </w:lvlOverride>
  </w:num>
  <w:num w:numId="3">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linkStyles/>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E3"/>
    <w:rsid w:val="00001EA9"/>
    <w:rsid w:val="00003A52"/>
    <w:rsid w:val="00031811"/>
    <w:rsid w:val="00035EA3"/>
    <w:rsid w:val="00041A11"/>
    <w:rsid w:val="00047C83"/>
    <w:rsid w:val="0005058A"/>
    <w:rsid w:val="00060035"/>
    <w:rsid w:val="000601CB"/>
    <w:rsid w:val="0006146C"/>
    <w:rsid w:val="00066644"/>
    <w:rsid w:val="000674C2"/>
    <w:rsid w:val="0007764B"/>
    <w:rsid w:val="00086CF8"/>
    <w:rsid w:val="00090154"/>
    <w:rsid w:val="00090BF5"/>
    <w:rsid w:val="00094DE4"/>
    <w:rsid w:val="000A4B36"/>
    <w:rsid w:val="000B16B0"/>
    <w:rsid w:val="000B405E"/>
    <w:rsid w:val="000B57E2"/>
    <w:rsid w:val="000D581E"/>
    <w:rsid w:val="000E1192"/>
    <w:rsid w:val="000E3C2E"/>
    <w:rsid w:val="000E600C"/>
    <w:rsid w:val="000E623A"/>
    <w:rsid w:val="000E79CF"/>
    <w:rsid w:val="000F06CE"/>
    <w:rsid w:val="000F1312"/>
    <w:rsid w:val="00102848"/>
    <w:rsid w:val="00103C3E"/>
    <w:rsid w:val="001051D6"/>
    <w:rsid w:val="0011460E"/>
    <w:rsid w:val="0011666E"/>
    <w:rsid w:val="00124A1E"/>
    <w:rsid w:val="00130E81"/>
    <w:rsid w:val="001333F1"/>
    <w:rsid w:val="00145103"/>
    <w:rsid w:val="00151B1F"/>
    <w:rsid w:val="00152F8B"/>
    <w:rsid w:val="00164809"/>
    <w:rsid w:val="00177975"/>
    <w:rsid w:val="001958F0"/>
    <w:rsid w:val="001A0901"/>
    <w:rsid w:val="001A3F39"/>
    <w:rsid w:val="001B36ED"/>
    <w:rsid w:val="001B4253"/>
    <w:rsid w:val="001C1E15"/>
    <w:rsid w:val="001D69DC"/>
    <w:rsid w:val="001E46BD"/>
    <w:rsid w:val="00204CE3"/>
    <w:rsid w:val="00224447"/>
    <w:rsid w:val="00237F9E"/>
    <w:rsid w:val="00241D85"/>
    <w:rsid w:val="00243F0C"/>
    <w:rsid w:val="002441A8"/>
    <w:rsid w:val="00251938"/>
    <w:rsid w:val="00252798"/>
    <w:rsid w:val="00281DD8"/>
    <w:rsid w:val="002835C0"/>
    <w:rsid w:val="00286EFA"/>
    <w:rsid w:val="00292BE4"/>
    <w:rsid w:val="002B149C"/>
    <w:rsid w:val="002B54DB"/>
    <w:rsid w:val="002D3367"/>
    <w:rsid w:val="002D41FB"/>
    <w:rsid w:val="003056C6"/>
    <w:rsid w:val="00305AEE"/>
    <w:rsid w:val="00340FD6"/>
    <w:rsid w:val="0034258F"/>
    <w:rsid w:val="00355F6E"/>
    <w:rsid w:val="00356251"/>
    <w:rsid w:val="003711B1"/>
    <w:rsid w:val="0037367B"/>
    <w:rsid w:val="0039098F"/>
    <w:rsid w:val="003930CF"/>
    <w:rsid w:val="00395843"/>
    <w:rsid w:val="003A433C"/>
    <w:rsid w:val="003A7EF8"/>
    <w:rsid w:val="003C7866"/>
    <w:rsid w:val="003D0D8B"/>
    <w:rsid w:val="003E4DA1"/>
    <w:rsid w:val="003E4F67"/>
    <w:rsid w:val="003F2084"/>
    <w:rsid w:val="003F68B8"/>
    <w:rsid w:val="00414AC3"/>
    <w:rsid w:val="004424A2"/>
    <w:rsid w:val="0045293E"/>
    <w:rsid w:val="0045642F"/>
    <w:rsid w:val="00472119"/>
    <w:rsid w:val="0047480D"/>
    <w:rsid w:val="00497ECE"/>
    <w:rsid w:val="004A0B55"/>
    <w:rsid w:val="004A2765"/>
    <w:rsid w:val="004A6189"/>
    <w:rsid w:val="004B1633"/>
    <w:rsid w:val="004C3D22"/>
    <w:rsid w:val="004C52C8"/>
    <w:rsid w:val="004D3B53"/>
    <w:rsid w:val="004E064A"/>
    <w:rsid w:val="004E334D"/>
    <w:rsid w:val="00501B74"/>
    <w:rsid w:val="00502939"/>
    <w:rsid w:val="005512FE"/>
    <w:rsid w:val="00573966"/>
    <w:rsid w:val="005926F2"/>
    <w:rsid w:val="005A22F3"/>
    <w:rsid w:val="005C51A3"/>
    <w:rsid w:val="005C6CAE"/>
    <w:rsid w:val="005C780E"/>
    <w:rsid w:val="005D6501"/>
    <w:rsid w:val="005E3548"/>
    <w:rsid w:val="005F0DC9"/>
    <w:rsid w:val="00603929"/>
    <w:rsid w:val="00613283"/>
    <w:rsid w:val="0061778B"/>
    <w:rsid w:val="00620550"/>
    <w:rsid w:val="006248EE"/>
    <w:rsid w:val="00651BE4"/>
    <w:rsid w:val="006528D9"/>
    <w:rsid w:val="00653618"/>
    <w:rsid w:val="00653FED"/>
    <w:rsid w:val="006543FE"/>
    <w:rsid w:val="00672637"/>
    <w:rsid w:val="00682D7D"/>
    <w:rsid w:val="006A173A"/>
    <w:rsid w:val="006D26DA"/>
    <w:rsid w:val="006D278E"/>
    <w:rsid w:val="006D325A"/>
    <w:rsid w:val="006E425C"/>
    <w:rsid w:val="006F5C10"/>
    <w:rsid w:val="00702738"/>
    <w:rsid w:val="007250FF"/>
    <w:rsid w:val="00732A29"/>
    <w:rsid w:val="00741529"/>
    <w:rsid w:val="00776A84"/>
    <w:rsid w:val="00785DCD"/>
    <w:rsid w:val="007A13DE"/>
    <w:rsid w:val="007A294C"/>
    <w:rsid w:val="007A4C81"/>
    <w:rsid w:val="007B6697"/>
    <w:rsid w:val="007D1990"/>
    <w:rsid w:val="008023B4"/>
    <w:rsid w:val="00802CD1"/>
    <w:rsid w:val="00804828"/>
    <w:rsid w:val="00811EF7"/>
    <w:rsid w:val="00820624"/>
    <w:rsid w:val="00825180"/>
    <w:rsid w:val="00825FE6"/>
    <w:rsid w:val="00831549"/>
    <w:rsid w:val="00832480"/>
    <w:rsid w:val="00853A08"/>
    <w:rsid w:val="0087002B"/>
    <w:rsid w:val="00897F19"/>
    <w:rsid w:val="008B27EB"/>
    <w:rsid w:val="008B4D78"/>
    <w:rsid w:val="008C0288"/>
    <w:rsid w:val="008C1257"/>
    <w:rsid w:val="008C27DC"/>
    <w:rsid w:val="008C4B98"/>
    <w:rsid w:val="008D00E1"/>
    <w:rsid w:val="008D35F2"/>
    <w:rsid w:val="008D3A84"/>
    <w:rsid w:val="008D5227"/>
    <w:rsid w:val="008E6A00"/>
    <w:rsid w:val="008F43B0"/>
    <w:rsid w:val="00903DC2"/>
    <w:rsid w:val="009233F5"/>
    <w:rsid w:val="0096396C"/>
    <w:rsid w:val="00976E8E"/>
    <w:rsid w:val="00986D86"/>
    <w:rsid w:val="0098756E"/>
    <w:rsid w:val="009876AC"/>
    <w:rsid w:val="0099195E"/>
    <w:rsid w:val="00991AFC"/>
    <w:rsid w:val="0099389B"/>
    <w:rsid w:val="009A051B"/>
    <w:rsid w:val="009B6C6D"/>
    <w:rsid w:val="009C10B3"/>
    <w:rsid w:val="009D3713"/>
    <w:rsid w:val="009E6D08"/>
    <w:rsid w:val="009F33BB"/>
    <w:rsid w:val="009F4035"/>
    <w:rsid w:val="009F5D54"/>
    <w:rsid w:val="009F72A2"/>
    <w:rsid w:val="00A0078B"/>
    <w:rsid w:val="00A10FCB"/>
    <w:rsid w:val="00A13DFA"/>
    <w:rsid w:val="00A20383"/>
    <w:rsid w:val="00A220DB"/>
    <w:rsid w:val="00A234C0"/>
    <w:rsid w:val="00A34B5E"/>
    <w:rsid w:val="00A358C8"/>
    <w:rsid w:val="00A541FE"/>
    <w:rsid w:val="00A62ED5"/>
    <w:rsid w:val="00A7224C"/>
    <w:rsid w:val="00A80CFF"/>
    <w:rsid w:val="00A925E2"/>
    <w:rsid w:val="00A977A4"/>
    <w:rsid w:val="00AA350E"/>
    <w:rsid w:val="00AA71B0"/>
    <w:rsid w:val="00AB6920"/>
    <w:rsid w:val="00AE0121"/>
    <w:rsid w:val="00AE0AC6"/>
    <w:rsid w:val="00AE5F4E"/>
    <w:rsid w:val="00AF3A72"/>
    <w:rsid w:val="00AF3EF5"/>
    <w:rsid w:val="00AF7A03"/>
    <w:rsid w:val="00B04621"/>
    <w:rsid w:val="00B046CC"/>
    <w:rsid w:val="00B21E1F"/>
    <w:rsid w:val="00B25E05"/>
    <w:rsid w:val="00B44A28"/>
    <w:rsid w:val="00B61959"/>
    <w:rsid w:val="00B80D06"/>
    <w:rsid w:val="00B87CC2"/>
    <w:rsid w:val="00B95911"/>
    <w:rsid w:val="00BA7CDE"/>
    <w:rsid w:val="00BC02D6"/>
    <w:rsid w:val="00BD02A8"/>
    <w:rsid w:val="00BD7C9F"/>
    <w:rsid w:val="00BE62EA"/>
    <w:rsid w:val="00BF544E"/>
    <w:rsid w:val="00BF5836"/>
    <w:rsid w:val="00C07E07"/>
    <w:rsid w:val="00C1210E"/>
    <w:rsid w:val="00C12B08"/>
    <w:rsid w:val="00C175F1"/>
    <w:rsid w:val="00C25296"/>
    <w:rsid w:val="00C31230"/>
    <w:rsid w:val="00C31EBB"/>
    <w:rsid w:val="00C4054E"/>
    <w:rsid w:val="00C468E0"/>
    <w:rsid w:val="00C54746"/>
    <w:rsid w:val="00C612C5"/>
    <w:rsid w:val="00C623CD"/>
    <w:rsid w:val="00C8227C"/>
    <w:rsid w:val="00C90A83"/>
    <w:rsid w:val="00CB38E7"/>
    <w:rsid w:val="00CB3EEB"/>
    <w:rsid w:val="00CC0F8B"/>
    <w:rsid w:val="00CE4990"/>
    <w:rsid w:val="00CF5E53"/>
    <w:rsid w:val="00CF6621"/>
    <w:rsid w:val="00D248E1"/>
    <w:rsid w:val="00D37B50"/>
    <w:rsid w:val="00D5126C"/>
    <w:rsid w:val="00D55654"/>
    <w:rsid w:val="00D93981"/>
    <w:rsid w:val="00D95CB4"/>
    <w:rsid w:val="00DA0E6B"/>
    <w:rsid w:val="00DA441F"/>
    <w:rsid w:val="00DA6D3F"/>
    <w:rsid w:val="00DA6DFF"/>
    <w:rsid w:val="00DA74B0"/>
    <w:rsid w:val="00DB58E9"/>
    <w:rsid w:val="00DB6A89"/>
    <w:rsid w:val="00DB73A6"/>
    <w:rsid w:val="00DC6500"/>
    <w:rsid w:val="00DD502B"/>
    <w:rsid w:val="00DE3E11"/>
    <w:rsid w:val="00DE4AC3"/>
    <w:rsid w:val="00DE5D4E"/>
    <w:rsid w:val="00E17980"/>
    <w:rsid w:val="00E21464"/>
    <w:rsid w:val="00E2154F"/>
    <w:rsid w:val="00E31DCC"/>
    <w:rsid w:val="00E40460"/>
    <w:rsid w:val="00E52AF1"/>
    <w:rsid w:val="00E65ED6"/>
    <w:rsid w:val="00E805B2"/>
    <w:rsid w:val="00E858DD"/>
    <w:rsid w:val="00E87CAF"/>
    <w:rsid w:val="00E92CE4"/>
    <w:rsid w:val="00E946BF"/>
    <w:rsid w:val="00EB1EA0"/>
    <w:rsid w:val="00ED1886"/>
    <w:rsid w:val="00ED4C0E"/>
    <w:rsid w:val="00EE5EEF"/>
    <w:rsid w:val="00EF0D54"/>
    <w:rsid w:val="00F00894"/>
    <w:rsid w:val="00F00DAB"/>
    <w:rsid w:val="00F019C8"/>
    <w:rsid w:val="00F21B84"/>
    <w:rsid w:val="00F24EF7"/>
    <w:rsid w:val="00F357D2"/>
    <w:rsid w:val="00F41A72"/>
    <w:rsid w:val="00F468E9"/>
    <w:rsid w:val="00F47080"/>
    <w:rsid w:val="00F60327"/>
    <w:rsid w:val="00F72A7A"/>
    <w:rsid w:val="00F74CD1"/>
    <w:rsid w:val="00F80C6C"/>
    <w:rsid w:val="00F925CF"/>
    <w:rsid w:val="00F92C01"/>
    <w:rsid w:val="00F94158"/>
    <w:rsid w:val="00FA5527"/>
    <w:rsid w:val="00FB514A"/>
    <w:rsid w:val="00FC45CF"/>
    <w:rsid w:val="00FC7F48"/>
    <w:rsid w:val="00FD0C24"/>
    <w:rsid w:val="00FE5E0C"/>
    <w:rsid w:val="00FE6830"/>
    <w:rsid w:val="00FF07E1"/>
    <w:rsid w:val="00FF1DBC"/>
    <w:rsid w:val="00FF40DD"/>
    <w:rsid w:val="00FF43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DFDF46"/>
  <w15:chartTrackingRefBased/>
  <w15:docId w15:val="{4C5E6930-3604-4FFF-8E55-94B34E73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13283"/>
  </w:style>
  <w:style w:type="character" w:default="1" w:styleId="DefaultParagraphFont">
    <w:name w:val="Default Paragraph Font"/>
    <w:semiHidden/>
    <w:rsid w:val="006132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3283"/>
  </w:style>
  <w:style w:type="paragraph" w:styleId="Header">
    <w:name w:val="header"/>
    <w:basedOn w:val="Normal"/>
    <w:semiHidden/>
    <w:rsid w:val="00613283"/>
    <w:pPr>
      <w:tabs>
        <w:tab w:val="center" w:pos="4320"/>
        <w:tab w:val="right" w:pos="8640"/>
      </w:tabs>
    </w:pPr>
  </w:style>
  <w:style w:type="paragraph" w:styleId="Footer">
    <w:name w:val="footer"/>
    <w:basedOn w:val="Normal"/>
    <w:semiHidden/>
    <w:rsid w:val="00613283"/>
    <w:pPr>
      <w:tabs>
        <w:tab w:val="center" w:pos="4320"/>
        <w:tab w:val="right" w:pos="8640"/>
      </w:tabs>
    </w:pPr>
  </w:style>
  <w:style w:type="paragraph" w:customStyle="1" w:styleId="ParaNum">
    <w:name w:val="ParaNum"/>
    <w:basedOn w:val="Normal"/>
    <w:rsid w:val="00340FD6"/>
    <w:pPr>
      <w:widowControl w:val="0"/>
      <w:numPr>
        <w:numId w:val="1"/>
      </w:numPr>
      <w:tabs>
        <w:tab w:val="clear" w:pos="1080"/>
        <w:tab w:val="num" w:pos="1440"/>
      </w:tabs>
      <w:spacing w:after="120"/>
    </w:pPr>
    <w:rPr>
      <w:snapToGrid w:val="0"/>
      <w:kern w:val="28"/>
      <w:sz w:val="22"/>
    </w:rPr>
  </w:style>
  <w:style w:type="paragraph" w:styleId="FootnoteText">
    <w:name w:val="footnote text"/>
    <w:aliases w:val="ALTS FOOTNOTE,Footnote Text Char Char Char,Footnote Text Char Char Char Char Char Char,Footnote Text Char1,Footnote Text Char1 Char,Footnote Text Char1 Char1 Char Char Char,Footnote Text Char2,Footnote Text Char2 Char Char Char,f,fn"/>
    <w:link w:val="FootnoteTextChar"/>
    <w:qFormat/>
    <w:rsid w:val="00340FD6"/>
    <w:pPr>
      <w:spacing w:after="120"/>
    </w:pPr>
  </w:style>
  <w:style w:type="character" w:customStyle="1" w:styleId="FootnoteTextChar">
    <w:name w:val="Footnote Text Char"/>
    <w:aliases w:val="Footnote Text Char Char Char Char Char Char Char1,Footnote Text Char Char Char Char1,Footnote Text Char1 Char Char1,Footnote Text Char1 Char1,Footnote Text Char1 Char1 Char Char Char Char1,Footnote Text Char2 Char Char Char Char1"/>
    <w:basedOn w:val="DefaultParagraphFont"/>
    <w:link w:val="FootnoteText"/>
    <w:rsid w:val="00340FD6"/>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340FD6"/>
    <w:rPr>
      <w:rFonts w:ascii="Times New Roman" w:hAnsi="Times New Roman"/>
      <w:dstrike w:val="0"/>
      <w:color w:val="auto"/>
      <w:sz w:val="20"/>
      <w:vertAlign w:val="superscript"/>
    </w:rPr>
  </w:style>
  <w:style w:type="character" w:customStyle="1" w:styleId="FootnoteTextChar3">
    <w:name w:val="Footnote Text Char3"/>
    <w:aliases w:val="Footnote Text Char Char,Footnote Text Char Char Char Char,Footnote Text Char Char Char Char Char Char Char,Footnote Text Char1 Char Char,Footnote Text Char1 Char1 Char Char Char Char,Footnote Text Char2 Char Char Char Char,f Char"/>
    <w:rsid w:val="003C7866"/>
    <w:rPr>
      <w:snapToGrid w:val="0"/>
      <w:lang w:val="en-US" w:eastAsia="en-US" w:bidi="ar-SA"/>
    </w:rPr>
  </w:style>
  <w:style w:type="character" w:customStyle="1" w:styleId="searchterm">
    <w:name w:val="searchterm"/>
    <w:rsid w:val="003C7866"/>
  </w:style>
  <w:style w:type="character" w:styleId="CommentReference">
    <w:name w:val="annotation reference"/>
    <w:basedOn w:val="DefaultParagraphFont"/>
    <w:uiPriority w:val="99"/>
    <w:semiHidden/>
    <w:unhideWhenUsed/>
    <w:rsid w:val="00B80D06"/>
    <w:rPr>
      <w:sz w:val="16"/>
      <w:szCs w:val="16"/>
    </w:rPr>
  </w:style>
  <w:style w:type="paragraph" w:styleId="CommentText">
    <w:name w:val="annotation text"/>
    <w:basedOn w:val="Normal"/>
    <w:link w:val="CommentTextChar"/>
    <w:uiPriority w:val="99"/>
    <w:unhideWhenUsed/>
    <w:rsid w:val="00B80D06"/>
  </w:style>
  <w:style w:type="character" w:customStyle="1" w:styleId="CommentTextChar">
    <w:name w:val="Comment Text Char"/>
    <w:basedOn w:val="DefaultParagraphFont"/>
    <w:link w:val="CommentText"/>
    <w:uiPriority w:val="99"/>
    <w:rsid w:val="00B80D06"/>
  </w:style>
  <w:style w:type="paragraph" w:styleId="CommentSubject">
    <w:name w:val="annotation subject"/>
    <w:basedOn w:val="CommentText"/>
    <w:next w:val="CommentText"/>
    <w:link w:val="CommentSubjectChar"/>
    <w:uiPriority w:val="99"/>
    <w:semiHidden/>
    <w:unhideWhenUsed/>
    <w:rsid w:val="00B80D06"/>
    <w:rPr>
      <w:b/>
      <w:bCs/>
    </w:rPr>
  </w:style>
  <w:style w:type="character" w:customStyle="1" w:styleId="CommentSubjectChar">
    <w:name w:val="Comment Subject Char"/>
    <w:basedOn w:val="CommentTextChar"/>
    <w:link w:val="CommentSubject"/>
    <w:uiPriority w:val="99"/>
    <w:semiHidden/>
    <w:rsid w:val="00B80D06"/>
    <w:rPr>
      <w:b/>
      <w:bCs/>
    </w:rPr>
  </w:style>
  <w:style w:type="paragraph" w:styleId="Revision">
    <w:name w:val="Revision"/>
    <w:hidden/>
    <w:uiPriority w:val="99"/>
    <w:semiHidden/>
    <w:rsid w:val="009F4035"/>
  </w:style>
  <w:style w:type="character" w:styleId="Hyperlink">
    <w:name w:val="Hyperlink"/>
    <w:basedOn w:val="DefaultParagraphFont"/>
    <w:uiPriority w:val="99"/>
    <w:unhideWhenUsed/>
    <w:rsid w:val="00D5126C"/>
    <w:rPr>
      <w:color w:val="0563C1" w:themeColor="hyperlink"/>
      <w:u w:val="single"/>
    </w:rPr>
  </w:style>
  <w:style w:type="character" w:customStyle="1" w:styleId="UnresolvedMention">
    <w:name w:val="Unresolved Mention"/>
    <w:basedOn w:val="DefaultParagraphFont"/>
    <w:uiPriority w:val="99"/>
    <w:semiHidden/>
    <w:unhideWhenUsed/>
    <w:rsid w:val="00D5126C"/>
    <w:rPr>
      <w:color w:val="605E5C"/>
      <w:shd w:val="clear" w:color="auto" w:fill="E1DFDD"/>
    </w:rPr>
  </w:style>
  <w:style w:type="character" w:styleId="FollowedHyperlink">
    <w:name w:val="FollowedHyperlink"/>
    <w:basedOn w:val="DefaultParagraphFont"/>
    <w:uiPriority w:val="99"/>
    <w:semiHidden/>
    <w:unhideWhenUsed/>
    <w:rsid w:val="00BA7C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bjutter@olivet.edu" TargetMode="External" /><Relationship Id="rId6" Type="http://schemas.openxmlformats.org/officeDocument/2006/relationships/hyperlink" Target="mailto:dja@commlaw.tv" TargetMode="External" /><Relationship Id="rId7" Type="http://schemas.openxmlformats.org/officeDocument/2006/relationships/hyperlink" Target="mailto:delawder@aol.com" TargetMode="External" /><Relationship Id="rId8" Type="http://schemas.openxmlformats.org/officeDocument/2006/relationships/header" Target="header1.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web2.westlaw.com/find/default.wl?mt=12&amp;db=1000547&amp;docname=47CFRS1.3&amp;rp=%2ffind%2fdefault.wl&amp;findtype=L&amp;ordoc=2026607900&amp;tc=-1&amp;vr=2.0&amp;fn=_top&amp;sv=Split&amp;tf=-1&amp;pbc=3A7655FB&amp;rs=WLW12.01" TargetMode="External" /><Relationship Id="rId2" Type="http://schemas.openxmlformats.org/officeDocument/2006/relationships/hyperlink" Target="http://web2.westlaw.com/find/default.wl?mt=12&amp;db=506&amp;tc=-1&amp;rp=%2ffind%2fdefault.wl&amp;findtype=Y&amp;ordoc=2026607900&amp;serialnum=2017418525&amp;vr=2.0&amp;fn=_top&amp;sv=Split&amp;tf=-1&amp;referencepositiontype=S&amp;pbc=3A7655FB&amp;referenceposition=125&amp;rs=WLW12.01" TargetMode="External" /><Relationship Id="rId3" Type="http://schemas.openxmlformats.org/officeDocument/2006/relationships/hyperlink" Target="http://web2.westlaw.com/find/default.wl?mt=12&amp;db=350&amp;tc=-1&amp;rp=%2ffind%2fdefault.wl&amp;findtype=Y&amp;ordoc=2026607900&amp;serialnum=1990047144&amp;vr=2.0&amp;fn=_top&amp;sv=Split&amp;tf=-1&amp;referencepositiontype=S&amp;pbc=3A7655FB&amp;referenceposition=1166&amp;rs=WLW12.01"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