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rsidP="00573F5C" w14:paraId="4762FF8B" w14:textId="1A761D72">
      <w:pPr>
        <w:widowControl/>
        <w:jc w:val="center"/>
        <w:rPr>
          <w:b/>
        </w:rPr>
      </w:pPr>
      <w:r w:rsidRPr="0070224F">
        <w:rPr>
          <w:rFonts w:ascii="Times New Roman Bold" w:hAnsi="Times New Roman Bold"/>
          <w:b/>
          <w:kern w:val="0"/>
          <w:szCs w:val="22"/>
        </w:rPr>
        <w:t>Before</w:t>
      </w:r>
      <w:r>
        <w:rPr>
          <w:b/>
        </w:rPr>
        <w:t xml:space="preserve"> the</w:t>
      </w:r>
    </w:p>
    <w:p w:rsidR="00921803" w:rsidP="00573F5C" w14:paraId="3BF264D1" w14:textId="77777777">
      <w:pPr>
        <w:pStyle w:val="StyleBoldCentered"/>
        <w:widowControl/>
      </w:pPr>
      <w:r>
        <w:t>F</w:t>
      </w:r>
      <w:r>
        <w:rPr>
          <w:caps w:val="0"/>
        </w:rPr>
        <w:t>ederal Communications Commission</w:t>
      </w:r>
    </w:p>
    <w:p w:rsidR="004C2EE3" w:rsidP="00573F5C" w14:paraId="5D12804A" w14:textId="77777777">
      <w:pPr>
        <w:pStyle w:val="StyleBoldCentered"/>
        <w:widowControl/>
      </w:pPr>
      <w:r>
        <w:rPr>
          <w:caps w:val="0"/>
        </w:rPr>
        <w:t>Washington, D.C. 20554</w:t>
      </w:r>
    </w:p>
    <w:p w:rsidR="004C2EE3" w:rsidP="00573F5C" w14:paraId="29D072F9" w14:textId="77777777">
      <w:pPr>
        <w:widowControl/>
      </w:pPr>
    </w:p>
    <w:p w:rsidR="004C2EE3" w:rsidP="00573F5C" w14:paraId="3CD77700" w14:textId="77777777">
      <w:pPr>
        <w:widowControl/>
      </w:pPr>
    </w:p>
    <w:tbl>
      <w:tblPr>
        <w:tblW w:w="0" w:type="auto"/>
        <w:tblLayout w:type="fixed"/>
        <w:tblLook w:val="0000"/>
      </w:tblPr>
      <w:tblGrid>
        <w:gridCol w:w="4698"/>
        <w:gridCol w:w="630"/>
        <w:gridCol w:w="4248"/>
      </w:tblGrid>
      <w:tr w14:paraId="76481273" w14:textId="77777777">
        <w:tblPrEx>
          <w:tblW w:w="0" w:type="auto"/>
          <w:tblLayout w:type="fixed"/>
          <w:tblLook w:val="0000"/>
        </w:tblPrEx>
        <w:tc>
          <w:tcPr>
            <w:tcW w:w="4698" w:type="dxa"/>
          </w:tcPr>
          <w:p w:rsidR="004C2EE3" w:rsidP="00573F5C" w14:paraId="30FD0BD9" w14:textId="77777777">
            <w:pPr>
              <w:widowControl/>
              <w:tabs>
                <w:tab w:val="center" w:pos="4680"/>
              </w:tabs>
              <w:suppressAutoHyphens/>
              <w:rPr>
                <w:spacing w:val="-2"/>
              </w:rPr>
            </w:pPr>
            <w:r>
              <w:rPr>
                <w:spacing w:val="-2"/>
              </w:rPr>
              <w:t>In the Matter of</w:t>
            </w:r>
          </w:p>
          <w:p w:rsidR="004C2EE3" w:rsidP="00573F5C" w14:paraId="76BC5D4B" w14:textId="77777777">
            <w:pPr>
              <w:widowControl/>
              <w:tabs>
                <w:tab w:val="center" w:pos="4680"/>
              </w:tabs>
              <w:suppressAutoHyphens/>
              <w:rPr>
                <w:spacing w:val="-2"/>
              </w:rPr>
            </w:pPr>
          </w:p>
          <w:p w:rsidR="004C2EE3" w:rsidRPr="007115F7" w:rsidP="00573F5C" w14:paraId="335401CE" w14:textId="16F922E9">
            <w:pPr>
              <w:widowControl/>
              <w:tabs>
                <w:tab w:val="center" w:pos="4680"/>
              </w:tabs>
              <w:suppressAutoHyphens/>
              <w:rPr>
                <w:spacing w:val="-2"/>
              </w:rPr>
            </w:pPr>
            <w:r>
              <w:rPr>
                <w:spacing w:val="-2"/>
              </w:rPr>
              <w:t>Etelix.com USA, LLC</w:t>
            </w:r>
          </w:p>
        </w:tc>
        <w:tc>
          <w:tcPr>
            <w:tcW w:w="630" w:type="dxa"/>
          </w:tcPr>
          <w:p w:rsidR="004C2EE3" w:rsidP="00573F5C" w14:paraId="38D6038B" w14:textId="77777777">
            <w:pPr>
              <w:widowControl/>
              <w:tabs>
                <w:tab w:val="center" w:pos="4680"/>
              </w:tabs>
              <w:suppressAutoHyphens/>
              <w:rPr>
                <w:b/>
                <w:spacing w:val="-2"/>
              </w:rPr>
            </w:pPr>
            <w:r>
              <w:rPr>
                <w:b/>
                <w:spacing w:val="-2"/>
              </w:rPr>
              <w:t>)</w:t>
            </w:r>
          </w:p>
          <w:p w:rsidR="004C2EE3" w:rsidP="00573F5C" w14:paraId="0552BED2" w14:textId="77777777">
            <w:pPr>
              <w:widowControl/>
              <w:tabs>
                <w:tab w:val="center" w:pos="4680"/>
              </w:tabs>
              <w:suppressAutoHyphens/>
              <w:rPr>
                <w:b/>
                <w:spacing w:val="-2"/>
              </w:rPr>
            </w:pPr>
            <w:r>
              <w:rPr>
                <w:b/>
                <w:spacing w:val="-2"/>
              </w:rPr>
              <w:t>)</w:t>
            </w:r>
          </w:p>
          <w:p w:rsidR="004C2EE3" w:rsidP="00573F5C" w14:paraId="526F312A" w14:textId="77777777">
            <w:pPr>
              <w:widowControl/>
              <w:tabs>
                <w:tab w:val="center" w:pos="4680"/>
              </w:tabs>
              <w:suppressAutoHyphens/>
              <w:rPr>
                <w:b/>
                <w:spacing w:val="-2"/>
              </w:rPr>
            </w:pPr>
            <w:r>
              <w:rPr>
                <w:b/>
                <w:spacing w:val="-2"/>
              </w:rPr>
              <w:t>)</w:t>
            </w:r>
          </w:p>
          <w:p w:rsidR="004C2EE3" w:rsidP="00573F5C" w14:paraId="0EBDFEEA" w14:textId="77777777">
            <w:pPr>
              <w:widowControl/>
              <w:tabs>
                <w:tab w:val="center" w:pos="4680"/>
              </w:tabs>
              <w:suppressAutoHyphens/>
              <w:rPr>
                <w:b/>
                <w:spacing w:val="-2"/>
              </w:rPr>
            </w:pPr>
            <w:r>
              <w:rPr>
                <w:b/>
                <w:spacing w:val="-2"/>
              </w:rPr>
              <w:t>)</w:t>
            </w:r>
          </w:p>
          <w:p w:rsidR="004C2EE3" w:rsidP="00573F5C" w14:paraId="29E904A4" w14:textId="77777777">
            <w:pPr>
              <w:widowControl/>
              <w:tabs>
                <w:tab w:val="center" w:pos="4680"/>
              </w:tabs>
              <w:suppressAutoHyphens/>
              <w:rPr>
                <w:b/>
                <w:spacing w:val="-2"/>
              </w:rPr>
            </w:pPr>
            <w:r>
              <w:rPr>
                <w:b/>
                <w:spacing w:val="-2"/>
              </w:rPr>
              <w:t>)</w:t>
            </w:r>
          </w:p>
          <w:p w:rsidR="004C2EE3" w:rsidP="00573F5C" w14:paraId="6B63D2CE" w14:textId="77777777">
            <w:pPr>
              <w:widowControl/>
              <w:tabs>
                <w:tab w:val="center" w:pos="4680"/>
              </w:tabs>
              <w:suppressAutoHyphens/>
              <w:rPr>
                <w:b/>
                <w:spacing w:val="-2"/>
              </w:rPr>
            </w:pPr>
            <w:r>
              <w:rPr>
                <w:b/>
                <w:spacing w:val="-2"/>
              </w:rPr>
              <w:t>)</w:t>
            </w:r>
          </w:p>
          <w:p w:rsidR="004C2EE3" w:rsidP="00573F5C" w14:paraId="6F9B10C2" w14:textId="77777777">
            <w:pPr>
              <w:widowControl/>
              <w:tabs>
                <w:tab w:val="center" w:pos="4680"/>
              </w:tabs>
              <w:suppressAutoHyphens/>
              <w:rPr>
                <w:b/>
                <w:spacing w:val="-2"/>
              </w:rPr>
            </w:pPr>
            <w:r>
              <w:rPr>
                <w:b/>
                <w:spacing w:val="-2"/>
              </w:rPr>
              <w:t>)</w:t>
            </w:r>
          </w:p>
          <w:p w:rsidR="004C2EE3" w:rsidP="00573F5C" w14:paraId="2ADEE048" w14:textId="77777777">
            <w:pPr>
              <w:widowControl/>
              <w:tabs>
                <w:tab w:val="center" w:pos="4680"/>
              </w:tabs>
              <w:suppressAutoHyphens/>
              <w:rPr>
                <w:b/>
                <w:spacing w:val="-2"/>
              </w:rPr>
            </w:pPr>
            <w:r>
              <w:rPr>
                <w:b/>
                <w:spacing w:val="-2"/>
              </w:rPr>
              <w:t>)</w:t>
            </w:r>
          </w:p>
          <w:p w:rsidR="004C2EE3" w:rsidP="00573F5C" w14:paraId="434F0319" w14:textId="77777777">
            <w:pPr>
              <w:widowControl/>
              <w:tabs>
                <w:tab w:val="center" w:pos="4680"/>
              </w:tabs>
              <w:suppressAutoHyphens/>
              <w:rPr>
                <w:spacing w:val="-2"/>
              </w:rPr>
            </w:pPr>
            <w:r>
              <w:rPr>
                <w:b/>
                <w:spacing w:val="-2"/>
              </w:rPr>
              <w:t>)</w:t>
            </w:r>
          </w:p>
        </w:tc>
        <w:tc>
          <w:tcPr>
            <w:tcW w:w="4248" w:type="dxa"/>
          </w:tcPr>
          <w:p w:rsidR="004C2EE3" w:rsidP="00573F5C" w14:paraId="4936A0DC" w14:textId="77777777">
            <w:pPr>
              <w:widowControl/>
              <w:tabs>
                <w:tab w:val="center" w:pos="4680"/>
              </w:tabs>
              <w:suppressAutoHyphens/>
              <w:rPr>
                <w:spacing w:val="-2"/>
              </w:rPr>
            </w:pPr>
          </w:p>
          <w:p w:rsidR="004C2EE3" w:rsidP="00573F5C" w14:paraId="4FC5FC66" w14:textId="77777777">
            <w:pPr>
              <w:pStyle w:val="TOAHeading"/>
              <w:widowControl/>
              <w:tabs>
                <w:tab w:val="center" w:pos="4680"/>
                <w:tab w:val="clear" w:pos="9360"/>
              </w:tabs>
              <w:rPr>
                <w:spacing w:val="-2"/>
              </w:rPr>
            </w:pPr>
          </w:p>
          <w:p w:rsidR="004C2EE3" w:rsidRPr="00D14AA1" w:rsidP="00573F5C" w14:paraId="413793A9" w14:textId="19747D93">
            <w:pPr>
              <w:widowControl/>
              <w:tabs>
                <w:tab w:val="center" w:pos="4680"/>
              </w:tabs>
              <w:suppressAutoHyphens/>
              <w:rPr>
                <w:rFonts w:ascii="TimesNewRomanPS-BoldMT" w:hAnsi="TimesNewRomanPS-BoldMT" w:cs="TimesNewRomanPS-BoldMT"/>
                <w:snapToGrid/>
                <w:kern w:val="0"/>
                <w:sz w:val="24"/>
                <w:szCs w:val="24"/>
              </w:rPr>
            </w:pPr>
            <w:r w:rsidRPr="00D14AA1">
              <w:rPr>
                <w:rFonts w:ascii="TimesNewRomanPS-BoldMT" w:hAnsi="TimesNewRomanPS-BoldMT" w:cs="TimesNewRomanPS-BoldMT"/>
                <w:snapToGrid/>
                <w:kern w:val="0"/>
                <w:sz w:val="24"/>
                <w:szCs w:val="24"/>
              </w:rPr>
              <w:t>File No.:  EB-IHD-20-00031637</w:t>
            </w:r>
          </w:p>
          <w:p w:rsidR="00D14AA1" w:rsidRPr="00D14AA1" w:rsidP="00573F5C" w14:paraId="141B5E72" w14:textId="483F68FE">
            <w:pPr>
              <w:widowControl/>
              <w:tabs>
                <w:tab w:val="center" w:pos="4680"/>
              </w:tabs>
              <w:suppressAutoHyphens/>
              <w:rPr>
                <w:rFonts w:ascii="TimesNewRomanPS-BoldMT" w:hAnsi="TimesNewRomanPS-BoldMT" w:cs="TimesNewRomanPS-BoldMT"/>
                <w:snapToGrid/>
                <w:kern w:val="0"/>
                <w:sz w:val="24"/>
                <w:szCs w:val="24"/>
              </w:rPr>
            </w:pPr>
            <w:r w:rsidRPr="00D14AA1">
              <w:rPr>
                <w:rFonts w:ascii="TimesNewRomanPS-BoldMT" w:hAnsi="TimesNewRomanPS-BoldMT" w:cs="TimesNewRomanPS-BoldMT"/>
                <w:snapToGrid/>
                <w:kern w:val="0"/>
                <w:sz w:val="24"/>
                <w:szCs w:val="24"/>
              </w:rPr>
              <w:t>NAL/Acct. No.:</w:t>
            </w:r>
            <w:r w:rsidR="00CC1EB2">
              <w:rPr>
                <w:rFonts w:ascii="TimesNewRomanPS-BoldMT" w:hAnsi="TimesNewRomanPS-BoldMT" w:cs="TimesNewRomanPS-BoldMT"/>
                <w:snapToGrid/>
                <w:kern w:val="0"/>
                <w:sz w:val="24"/>
                <w:szCs w:val="24"/>
              </w:rPr>
              <w:t xml:space="preserve"> </w:t>
            </w:r>
            <w:r w:rsidRPr="00600B5E" w:rsidR="00600B5E">
              <w:rPr>
                <w:rFonts w:ascii="TimesNewRomanPS-BoldMT" w:hAnsi="TimesNewRomanPS-BoldMT" w:cs="TimesNewRomanPS-BoldMT"/>
                <w:snapToGrid/>
                <w:kern w:val="0"/>
                <w:sz w:val="24"/>
                <w:szCs w:val="24"/>
              </w:rPr>
              <w:t>202232080088</w:t>
            </w:r>
          </w:p>
          <w:p w:rsidR="00D14AA1" w:rsidRPr="00D14AA1" w:rsidP="00573F5C" w14:paraId="144A8BB7" w14:textId="504EE448">
            <w:pPr>
              <w:widowControl/>
              <w:tabs>
                <w:tab w:val="center" w:pos="4680"/>
              </w:tabs>
              <w:suppressAutoHyphens/>
              <w:rPr>
                <w:rFonts w:ascii="TimesNewRomanPS-BoldMT" w:hAnsi="TimesNewRomanPS-BoldMT" w:cs="TimesNewRomanPS-BoldMT"/>
                <w:snapToGrid/>
                <w:kern w:val="0"/>
                <w:sz w:val="24"/>
                <w:szCs w:val="24"/>
              </w:rPr>
            </w:pPr>
            <w:r w:rsidRPr="00D14AA1">
              <w:rPr>
                <w:rFonts w:ascii="TimesNewRomanPS-BoldMT" w:hAnsi="TimesNewRomanPS-BoldMT" w:cs="TimesNewRomanPS-BoldMT"/>
                <w:snapToGrid/>
                <w:kern w:val="0"/>
                <w:sz w:val="24"/>
                <w:szCs w:val="24"/>
              </w:rPr>
              <w:t xml:space="preserve">FRN:  </w:t>
            </w:r>
            <w:r>
              <w:rPr>
                <w:rFonts w:ascii="TimesNewRomanPS-BoldMT" w:hAnsi="TimesNewRomanPS-BoldMT" w:cs="TimesNewRomanPS-BoldMT"/>
                <w:snapToGrid/>
                <w:kern w:val="0"/>
                <w:sz w:val="24"/>
                <w:szCs w:val="24"/>
              </w:rPr>
              <w:t>0023982077</w:t>
            </w:r>
          </w:p>
          <w:p w:rsidR="00D14AA1" w:rsidRPr="00D14AA1" w:rsidP="00D048AD" w14:paraId="39479765" w14:textId="77777777">
            <w:pPr>
              <w:pStyle w:val="Default"/>
            </w:pPr>
          </w:p>
          <w:tbl>
            <w:tblPr>
              <w:tblW w:w="0" w:type="auto"/>
              <w:tblBorders>
                <w:top w:val="nil"/>
                <w:left w:val="nil"/>
                <w:bottom w:val="nil"/>
                <w:right w:val="nil"/>
              </w:tblBorders>
              <w:tblLayout w:type="fixed"/>
              <w:tblLook w:val="0000"/>
            </w:tblPr>
            <w:tblGrid>
              <w:gridCol w:w="8127"/>
            </w:tblGrid>
            <w:tr w14:paraId="08480969" w14:textId="77777777">
              <w:tblPrEx>
                <w:tblW w:w="0" w:type="auto"/>
                <w:tblBorders>
                  <w:top w:val="nil"/>
                  <w:left w:val="nil"/>
                  <w:bottom w:val="nil"/>
                  <w:right w:val="nil"/>
                </w:tblBorders>
                <w:tblLayout w:type="fixed"/>
                <w:tblLook w:val="0000"/>
              </w:tblPrEx>
              <w:trPr>
                <w:trHeight w:val="274"/>
              </w:trPr>
              <w:tc>
                <w:tcPr>
                  <w:tcW w:w="8127" w:type="dxa"/>
                </w:tcPr>
                <w:p w:rsidR="00D14AA1" w:rsidP="0079738B" w14:paraId="0A87DB21" w14:textId="0EE91DEA">
                  <w:pPr>
                    <w:pStyle w:val="Default"/>
                    <w:rPr>
                      <w:sz w:val="22"/>
                      <w:szCs w:val="22"/>
                    </w:rPr>
                  </w:pPr>
                  <w:r>
                    <w:t xml:space="preserve"> </w:t>
                  </w:r>
                </w:p>
                <w:p w:rsidR="00D14AA1" w14:paraId="18EE47E0" w14:textId="6DE51A27">
                  <w:pPr>
                    <w:pStyle w:val="Default"/>
                    <w:rPr>
                      <w:sz w:val="22"/>
                      <w:szCs w:val="22"/>
                    </w:rPr>
                  </w:pPr>
                </w:p>
              </w:tc>
            </w:tr>
          </w:tbl>
          <w:p w:rsidR="00D14AA1" w:rsidP="00573F5C" w14:paraId="7970C525" w14:textId="0A462CF6">
            <w:pPr>
              <w:widowControl/>
              <w:tabs>
                <w:tab w:val="center" w:pos="4680"/>
              </w:tabs>
              <w:suppressAutoHyphens/>
              <w:rPr>
                <w:spacing w:val="-2"/>
              </w:rPr>
            </w:pPr>
          </w:p>
        </w:tc>
      </w:tr>
    </w:tbl>
    <w:p w:rsidR="004C2EE3" w:rsidP="00573F5C" w14:paraId="45F8C947" w14:textId="77777777">
      <w:pPr>
        <w:widowControl/>
      </w:pPr>
    </w:p>
    <w:p w:rsidR="00841AB1" w:rsidP="00573F5C" w14:paraId="744E7A3D" w14:textId="5A01BFC5">
      <w:pPr>
        <w:pStyle w:val="StyleBoldCentered"/>
        <w:widowControl/>
      </w:pPr>
      <w:r>
        <w:t>notice of apparent liability for forfeiture</w:t>
      </w:r>
    </w:p>
    <w:p w:rsidR="004C2EE3" w:rsidP="00B77FD7" w14:paraId="01B46103" w14:textId="77777777">
      <w:pPr>
        <w:widowControl/>
        <w:tabs>
          <w:tab w:val="left" w:pos="-720"/>
        </w:tabs>
        <w:suppressAutoHyphens/>
        <w:spacing w:line="227" w:lineRule="auto"/>
        <w:jc w:val="center"/>
        <w:rPr>
          <w:spacing w:val="-2"/>
        </w:rPr>
      </w:pPr>
    </w:p>
    <w:p w:rsidR="004C2EE3" w:rsidP="00573F5C" w14:paraId="7FFA6476" w14:textId="13C501EC">
      <w:pPr>
        <w:widowControl/>
        <w:tabs>
          <w:tab w:val="left" w:pos="720"/>
          <w:tab w:val="right" w:pos="9360"/>
        </w:tabs>
        <w:suppressAutoHyphens/>
        <w:spacing w:line="227" w:lineRule="auto"/>
        <w:rPr>
          <w:spacing w:val="-2"/>
        </w:rPr>
      </w:pPr>
      <w:r>
        <w:rPr>
          <w:b/>
          <w:spacing w:val="-2"/>
        </w:rPr>
        <w:t xml:space="preserve">Adopted:  </w:t>
      </w:r>
      <w:r w:rsidR="00BA2B3D">
        <w:rPr>
          <w:b/>
          <w:spacing w:val="-2"/>
        </w:rPr>
        <w:t xml:space="preserve">July </w:t>
      </w:r>
      <w:r w:rsidR="009B2C2E">
        <w:rPr>
          <w:b/>
          <w:spacing w:val="-2"/>
        </w:rPr>
        <w:t>20</w:t>
      </w:r>
      <w:r w:rsidR="00BA2B3D">
        <w:rPr>
          <w:b/>
          <w:spacing w:val="-2"/>
        </w:rPr>
        <w:t>,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BA2B3D">
        <w:rPr>
          <w:b/>
          <w:spacing w:val="-2"/>
        </w:rPr>
        <w:t xml:space="preserve">July </w:t>
      </w:r>
      <w:r w:rsidR="009B2C2E">
        <w:rPr>
          <w:b/>
          <w:spacing w:val="-2"/>
        </w:rPr>
        <w:t>20</w:t>
      </w:r>
      <w:r w:rsidR="00BA2B3D">
        <w:rPr>
          <w:b/>
          <w:spacing w:val="-2"/>
        </w:rPr>
        <w:t>, 2022</w:t>
      </w:r>
    </w:p>
    <w:p w:rsidR="00822CE0" w:rsidP="00573F5C" w14:paraId="43ED01CC" w14:textId="77777777">
      <w:pPr>
        <w:widowControl/>
      </w:pPr>
    </w:p>
    <w:p w:rsidR="004C2EE3" w:rsidP="00573F5C" w14:paraId="766AD47C" w14:textId="51A4F64E">
      <w:pPr>
        <w:widowControl/>
        <w:rPr>
          <w:spacing w:val="-2"/>
        </w:rPr>
      </w:pPr>
      <w:r>
        <w:t xml:space="preserve">By </w:t>
      </w:r>
      <w:r w:rsidR="004E4A22">
        <w:t>the</w:t>
      </w:r>
      <w:r w:rsidR="00D14AA1">
        <w:rPr>
          <w:spacing w:val="-2"/>
        </w:rPr>
        <w:t xml:space="preserve"> </w:t>
      </w:r>
      <w:r w:rsidR="00960723">
        <w:rPr>
          <w:spacing w:val="-2"/>
        </w:rPr>
        <w:t>Deputy</w:t>
      </w:r>
      <w:r w:rsidR="00B77FD7">
        <w:rPr>
          <w:spacing w:val="-2"/>
        </w:rPr>
        <w:t xml:space="preserve"> </w:t>
      </w:r>
      <w:r w:rsidR="00D14AA1">
        <w:rPr>
          <w:spacing w:val="-2"/>
        </w:rPr>
        <w:t>Chief, Enforcement Bureau</w:t>
      </w:r>
      <w:r>
        <w:rPr>
          <w:spacing w:val="-2"/>
        </w:rPr>
        <w:t>:</w:t>
      </w:r>
    </w:p>
    <w:p w:rsidR="00822CE0" w:rsidP="00573F5C" w14:paraId="7B669008" w14:textId="77777777">
      <w:pPr>
        <w:widowControl/>
        <w:rPr>
          <w:spacing w:val="-2"/>
        </w:rPr>
      </w:pPr>
    </w:p>
    <w:p w:rsidR="00412FC5" w:rsidP="00573F5C" w14:paraId="28B06DD5" w14:textId="40909CF0">
      <w:pPr>
        <w:pStyle w:val="Heading1"/>
        <w:widowControl/>
      </w:pPr>
      <w:r>
        <w:t>introduction</w:t>
      </w:r>
    </w:p>
    <w:p w:rsidR="00174C67" w:rsidP="00842E2D" w14:paraId="06E1783C" w14:textId="5B07154D">
      <w:pPr>
        <w:pStyle w:val="ParaNum"/>
        <w:numPr>
          <w:ilvl w:val="0"/>
          <w:numId w:val="2"/>
        </w:numPr>
        <w:tabs>
          <w:tab w:val="clear" w:pos="1080"/>
          <w:tab w:val="num" w:pos="1440"/>
        </w:tabs>
      </w:pPr>
      <w:r>
        <w:t xml:space="preserve">In this </w:t>
      </w:r>
      <w:r w:rsidRPr="00174C67">
        <w:rPr>
          <w:i/>
          <w:iCs/>
        </w:rPr>
        <w:t>Notice of Apparent Liability for Forfeiture</w:t>
      </w:r>
      <w:r>
        <w:t xml:space="preserve"> (</w:t>
      </w:r>
      <w:r w:rsidRPr="000D06DB">
        <w:t>NAL</w:t>
      </w:r>
      <w:r>
        <w:t xml:space="preserve">), we find that Etelix.com USA, LLC (Etelix) apparently violated </w:t>
      </w:r>
      <w:r w:rsidR="007D5D1F">
        <w:t>section</w:t>
      </w:r>
      <w:r>
        <w:t xml:space="preserve"> 214 of the Communications Act of 1934, as amended (Act)</w:t>
      </w:r>
      <w:r>
        <w:rPr>
          <w:rStyle w:val="FootnoteReference"/>
        </w:rPr>
        <w:footnoteReference w:id="3"/>
      </w:r>
      <w:r>
        <w:t xml:space="preserve"> and section</w:t>
      </w:r>
      <w:r w:rsidR="007E40ED">
        <w:t xml:space="preserve">s </w:t>
      </w:r>
      <w:r w:rsidR="000D159E">
        <w:t xml:space="preserve">1.65, </w:t>
      </w:r>
      <w:r w:rsidR="007E40ED">
        <w:t>63.24(</w:t>
      </w:r>
      <w:r w:rsidR="002C0A40">
        <w:t>f</w:t>
      </w:r>
      <w:r w:rsidR="007E40ED">
        <w:t>),</w:t>
      </w:r>
      <w:r>
        <w:t xml:space="preserve"> </w:t>
      </w:r>
      <w:r w:rsidR="000D159E">
        <w:t xml:space="preserve">and </w:t>
      </w:r>
      <w:r>
        <w:t xml:space="preserve">63.25(b) of the Commission’s rules by willfully or repeatedly </w:t>
      </w:r>
      <w:r w:rsidR="00387156">
        <w:t>operating without an authorization</w:t>
      </w:r>
      <w:r w:rsidR="00A86DCC">
        <w:t>,</w:t>
      </w:r>
      <w:r w:rsidR="00387156">
        <w:t xml:space="preserve"> </w:t>
      </w:r>
      <w:r w:rsidR="007E40ED">
        <w:t xml:space="preserve">failing to report </w:t>
      </w:r>
      <w:r w:rsidR="00387156">
        <w:t>several</w:t>
      </w:r>
      <w:r w:rsidR="007E40ED">
        <w:t xml:space="preserve"> </w:t>
      </w:r>
      <w:r w:rsidRPr="00387156" w:rsidR="007E40ED">
        <w:rPr>
          <w:i/>
          <w:iCs/>
        </w:rPr>
        <w:t>pro forma</w:t>
      </w:r>
      <w:r w:rsidR="007E40ED">
        <w:t xml:space="preserve"> changes in </w:t>
      </w:r>
      <w:r w:rsidR="00A86DCC">
        <w:t xml:space="preserve">Etelix’s </w:t>
      </w:r>
      <w:r w:rsidR="007E40ED">
        <w:t>ownership</w:t>
      </w:r>
      <w:r w:rsidR="00387156">
        <w:t xml:space="preserve"> </w:t>
      </w:r>
      <w:r w:rsidR="00A86DCC">
        <w:t>structure, and failing to update its pending application to reflect these ownership changes</w:t>
      </w:r>
      <w:r w:rsidR="007E40ED">
        <w:t>.</w:t>
      </w:r>
      <w:r>
        <w:rPr>
          <w:rStyle w:val="FootnoteReference"/>
        </w:rPr>
        <w:footnoteReference w:id="4"/>
      </w:r>
      <w:r w:rsidR="007E40ED">
        <w:t xml:space="preserve">  </w:t>
      </w:r>
      <w:r w:rsidR="00D557B3">
        <w:t xml:space="preserve">Each of these violations is continuing in nature and thus falls within the </w:t>
      </w:r>
      <w:r w:rsidR="00043FFC">
        <w:t>applicable one-year statute of limitations.</w:t>
      </w:r>
      <w:r>
        <w:rPr>
          <w:rStyle w:val="FootnoteReference"/>
        </w:rPr>
        <w:footnoteReference w:id="5"/>
      </w:r>
      <w:r w:rsidR="00043FFC">
        <w:t xml:space="preserve">  </w:t>
      </w:r>
      <w:r w:rsidR="00B5104A">
        <w:t>Based on our review of the facts and circumstances surrounding this matter, and for the reasons discussed below, we find that Etelix is apparently liable for a total forfeiture of $2</w:t>
      </w:r>
      <w:r w:rsidR="00A86DCC">
        <w:t>0</w:t>
      </w:r>
      <w:r w:rsidR="00B5104A">
        <w:t>,000.</w:t>
      </w:r>
    </w:p>
    <w:p w:rsidR="00B5104A" w:rsidP="00573F5C" w14:paraId="78E7E484" w14:textId="3D0EA9A3">
      <w:pPr>
        <w:pStyle w:val="Heading1"/>
        <w:widowControl/>
      </w:pPr>
      <w:r>
        <w:t>Background</w:t>
      </w:r>
    </w:p>
    <w:p w:rsidR="00B5104A" w:rsidP="00842E2D" w14:paraId="768EB08C" w14:textId="64088DA9">
      <w:pPr>
        <w:pStyle w:val="ParaNum"/>
        <w:numPr>
          <w:ilvl w:val="0"/>
          <w:numId w:val="2"/>
        </w:numPr>
        <w:tabs>
          <w:tab w:val="clear" w:pos="1080"/>
          <w:tab w:val="num" w:pos="1440"/>
        </w:tabs>
      </w:pPr>
      <w:r>
        <w:t xml:space="preserve"> </w:t>
      </w:r>
      <w:r w:rsidR="00D1746B">
        <w:t>Section 214(a) of the Act prohibits any carrier from constructing, extending</w:t>
      </w:r>
      <w:r w:rsidR="00DF232B">
        <w:t xml:space="preserve">, acquiring </w:t>
      </w:r>
      <w:r w:rsidR="00D1746B">
        <w:t>or operating any line, and from engaging in transmission through any such line, “unless and until there shall first have been obtained from the Commission a certificate that the present or future public convenience and necessity” require, or will require, the construction, extension, or operation of the line.</w:t>
      </w:r>
      <w:r>
        <w:rPr>
          <w:rStyle w:val="FootnoteReference"/>
        </w:rPr>
        <w:footnoteReference w:id="6"/>
      </w:r>
      <w:r w:rsidR="00D1746B">
        <w:t xml:space="preserve">  While the Commission has granted “blanket” authority to carriers providing domestic service,</w:t>
      </w:r>
      <w:r>
        <w:rPr>
          <w:rStyle w:val="FootnoteReference"/>
        </w:rPr>
        <w:footnoteReference w:id="7"/>
      </w:r>
      <w:r w:rsidR="00D1746B">
        <w:t xml:space="preserve"> meaning that such carriers need not apply to the Commission for such authority before providing domestic service, the Commission has not done the same for providers of international telecommunications services.</w:t>
      </w:r>
      <w:r>
        <w:rPr>
          <w:rStyle w:val="FootnoteReference"/>
        </w:rPr>
        <w:footnoteReference w:id="8"/>
      </w:r>
      <w:r w:rsidR="00FA2950">
        <w:t xml:space="preserve">  Rather, section 63.18 of the Commission’s rules requires that any carrier that seeks section 214 authority “for </w:t>
      </w:r>
      <w:r w:rsidR="00223001">
        <w:t xml:space="preserve">the </w:t>
      </w:r>
      <w:r w:rsidR="00FA2950">
        <w:t xml:space="preserve">provision of common carrier communication services between the United States, its territories or </w:t>
      </w:r>
      <w:r w:rsidR="00FA2950">
        <w:t>possessions, and a foreign point shall request such authority by</w:t>
      </w:r>
      <w:r w:rsidR="003D74E7">
        <w:t xml:space="preserve"> formal</w:t>
      </w:r>
      <w:r w:rsidR="00FA2950">
        <w:t xml:space="preserve"> application.”</w:t>
      </w:r>
      <w:r>
        <w:rPr>
          <w:rStyle w:val="FootnoteReference"/>
        </w:rPr>
        <w:footnoteReference w:id="9"/>
      </w:r>
      <w:r w:rsidR="00FA2950">
        <w:t xml:space="preserve">  Through this process, the applicant provides the Commission with, among other things, contact information, ownership information, information on any affiliations it may have with foreign carriers, certification that it will comply with Commission rules, and certification that the applicant is not subject to denial of Federal benefits pursuant to the Anti-Drug Abuse Act of 1988.</w:t>
      </w:r>
      <w:r>
        <w:rPr>
          <w:rStyle w:val="FootnoteReference"/>
        </w:rPr>
        <w:footnoteReference w:id="10"/>
      </w:r>
      <w:r w:rsidR="00FA2950">
        <w:t xml:space="preserve">  </w:t>
      </w:r>
      <w:r w:rsidR="000A541D">
        <w:t>A</w:t>
      </w:r>
      <w:r w:rsidR="00357D7A">
        <w:t>n international</w:t>
      </w:r>
      <w:r w:rsidR="000A541D">
        <w:t xml:space="preserve"> carrier may apply for Special Temporary Authority (STA) relating to temporary or emergency services under a section 214 authorization pursuant to section 63.25 of the Commission’s rules.</w:t>
      </w:r>
      <w:r>
        <w:rPr>
          <w:rStyle w:val="FootnoteReference"/>
        </w:rPr>
        <w:footnoteReference w:id="11"/>
      </w:r>
    </w:p>
    <w:p w:rsidR="005717C8" w:rsidP="00842E2D" w14:paraId="69034B5A" w14:textId="177A0C47">
      <w:pPr>
        <w:pStyle w:val="ParaNum"/>
        <w:numPr>
          <w:ilvl w:val="0"/>
          <w:numId w:val="2"/>
        </w:numPr>
        <w:tabs>
          <w:tab w:val="clear" w:pos="1080"/>
          <w:tab w:val="num" w:pos="1440"/>
        </w:tabs>
      </w:pPr>
      <w:r>
        <w:t>Etelix is a Florida Limited Liability Company provid</w:t>
      </w:r>
      <w:r w:rsidR="00023545">
        <w:t>ing</w:t>
      </w:r>
      <w:r>
        <w:t xml:space="preserve"> </w:t>
      </w:r>
      <w:r w:rsidRPr="00040163">
        <w:t xml:space="preserve">international </w:t>
      </w:r>
      <w:r w:rsidRPr="00040163" w:rsidR="00902778">
        <w:t>long distance calling services</w:t>
      </w:r>
      <w:r w:rsidR="00902778">
        <w:t xml:space="preserve"> to end-user consumers within the United States and internationally </w:t>
      </w:r>
      <w:r w:rsidR="00023545">
        <w:t xml:space="preserve">under its </w:t>
      </w:r>
      <w:r w:rsidR="007D5D1F">
        <w:t>section</w:t>
      </w:r>
      <w:r>
        <w:t xml:space="preserve"> 214 </w:t>
      </w:r>
      <w:r w:rsidR="009E3C81">
        <w:t>authorization</w:t>
      </w:r>
      <w:r w:rsidR="00902778">
        <w:t>,</w:t>
      </w:r>
      <w:r>
        <w:t xml:space="preserve"> since 20</w:t>
      </w:r>
      <w:r w:rsidR="00023545">
        <w:t>10</w:t>
      </w:r>
      <w:r>
        <w:t>.</w:t>
      </w:r>
      <w:r>
        <w:rPr>
          <w:rStyle w:val="FootnoteReference"/>
        </w:rPr>
        <w:footnoteReference w:id="12"/>
      </w:r>
      <w:r>
        <w:t xml:space="preserve">  </w:t>
      </w:r>
      <w:r w:rsidR="00B641CE">
        <w:t>A</w:t>
      </w:r>
      <w:r>
        <w:t>ddition</w:t>
      </w:r>
      <w:r w:rsidR="00B641CE">
        <w:t>ally</w:t>
      </w:r>
      <w:r>
        <w:t xml:space="preserve">, Etelix provides the </w:t>
      </w:r>
      <w:r w:rsidRPr="00040163">
        <w:t>following services in the state of Florida</w:t>
      </w:r>
      <w:r>
        <w:t xml:space="preserve">:  Voice over Internet Protocol (VoIP), Voicemail, Private Branch Exchange (PBX), Centrex (Hosted/Managed PBX), Calling Card, </w:t>
      </w:r>
      <w:r w:rsidR="00B03242">
        <w:t xml:space="preserve">Issue DID (Direct Inward Dial) Local Telephone Numbers, Local Toll Service, Interactive Voice Response, Conference Calling, </w:t>
      </w:r>
      <w:r w:rsidR="00B641CE">
        <w:t xml:space="preserve">and </w:t>
      </w:r>
      <w:r w:rsidR="00B03242">
        <w:t>Mobile Top Up/Reload Services.</w:t>
      </w:r>
      <w:r>
        <w:rPr>
          <w:rStyle w:val="FootnoteReference"/>
        </w:rPr>
        <w:footnoteReference w:id="13"/>
      </w:r>
    </w:p>
    <w:p w:rsidR="003B5D2C" w:rsidRPr="004A5837" w:rsidP="00D57DD8" w14:paraId="4B0E8944" w14:textId="0397E0AF">
      <w:pPr>
        <w:pStyle w:val="ParaNum"/>
        <w:numPr>
          <w:ilvl w:val="0"/>
          <w:numId w:val="2"/>
        </w:numPr>
        <w:tabs>
          <w:tab w:val="clear" w:pos="1080"/>
          <w:tab w:val="num" w:pos="1440"/>
        </w:tabs>
        <w:rPr>
          <w:snapToGrid/>
          <w:kern w:val="0"/>
          <w:szCs w:val="22"/>
        </w:rPr>
      </w:pPr>
      <w:r>
        <w:t xml:space="preserve">On June 9, 2016, </w:t>
      </w:r>
      <w:r w:rsidR="00AD7325">
        <w:t xml:space="preserve">Future Voice, LLC d/b/a Voyze (Future Voice) </w:t>
      </w:r>
      <w:r>
        <w:t xml:space="preserve">submitted an assignment application </w:t>
      </w:r>
      <w:r w:rsidR="000B5020">
        <w:t xml:space="preserve">(Future Voice Application) </w:t>
      </w:r>
      <w:r w:rsidR="008C1083">
        <w:t xml:space="preserve">with the International Bureau </w:t>
      </w:r>
      <w:r>
        <w:t xml:space="preserve">to </w:t>
      </w:r>
      <w:r w:rsidR="00AD7325">
        <w:t xml:space="preserve">assign its </w:t>
      </w:r>
      <w:r>
        <w:t xml:space="preserve">customer base </w:t>
      </w:r>
      <w:r w:rsidR="00AD7325">
        <w:t>to Etelix</w:t>
      </w:r>
      <w:r>
        <w:t>.</w:t>
      </w:r>
      <w:r>
        <w:rPr>
          <w:rStyle w:val="FootnoteReference"/>
        </w:rPr>
        <w:footnoteReference w:id="14"/>
      </w:r>
      <w:r>
        <w:t xml:space="preserve">  </w:t>
      </w:r>
      <w:r w:rsidR="00D51ADC">
        <w:t>Because Etelix</w:t>
      </w:r>
      <w:r w:rsidR="001244A4">
        <w:t>’s</w:t>
      </w:r>
      <w:r w:rsidR="00D51ADC">
        <w:t xml:space="preserve"> owne</w:t>
      </w:r>
      <w:r w:rsidR="001244A4">
        <w:t>rship consist</w:t>
      </w:r>
      <w:r w:rsidR="00562499">
        <w:t>s</w:t>
      </w:r>
      <w:r w:rsidR="001244A4">
        <w:t xml:space="preserve"> of </w:t>
      </w:r>
      <w:r w:rsidR="00D51ADC">
        <w:t xml:space="preserve">foreign nationals, the </w:t>
      </w:r>
      <w:r w:rsidR="00562499">
        <w:t>Future Voice</w:t>
      </w:r>
      <w:r w:rsidR="00893CD0">
        <w:t xml:space="preserve"> </w:t>
      </w:r>
      <w:r w:rsidR="00A037A0">
        <w:t>A</w:t>
      </w:r>
      <w:r w:rsidR="00D51ADC">
        <w:t xml:space="preserve">pplication was </w:t>
      </w:r>
      <w:r w:rsidR="008C1083">
        <w:t>r</w:t>
      </w:r>
      <w:r w:rsidR="00D51ADC">
        <w:t xml:space="preserve">eferred to the </w:t>
      </w:r>
      <w:r w:rsidR="00DC65B4">
        <w:t xml:space="preserve">relevant Executive Branch agencies </w:t>
      </w:r>
      <w:r w:rsidR="00D51ADC">
        <w:t>for review for national security, law enforcement, and public safety issues.</w:t>
      </w:r>
      <w:r w:rsidR="00203921">
        <w:t xml:space="preserve">  On July 11, 20</w:t>
      </w:r>
      <w:r w:rsidR="008A4E3F">
        <w:t>1</w:t>
      </w:r>
      <w:r w:rsidR="00203921">
        <w:t xml:space="preserve">6, the U.S. Department of Justice, </w:t>
      </w:r>
      <w:r w:rsidRPr="00203921" w:rsidR="00203921">
        <w:t>with the concurrence of the U.S. Department of Defense and the U.S. Department of Homeland Security</w:t>
      </w:r>
      <w:r w:rsidR="00203921">
        <w:t xml:space="preserve">, requested that the Commission defer action on the application while the agencies </w:t>
      </w:r>
      <w:r w:rsidRPr="007C01C2" w:rsidR="007C01C2">
        <w:t>review</w:t>
      </w:r>
      <w:r w:rsidR="007C01C2">
        <w:t>ed it f</w:t>
      </w:r>
      <w:r w:rsidRPr="007C01C2" w:rsidR="007C01C2">
        <w:t xml:space="preserve">or any national security, law </w:t>
      </w:r>
      <w:r w:rsidRPr="007C01C2" w:rsidR="007C01C2">
        <w:t>enforcement, and public safety issues</w:t>
      </w:r>
      <w:r w:rsidR="007C01C2">
        <w:t>.</w:t>
      </w:r>
      <w:r>
        <w:rPr>
          <w:rStyle w:val="FootnoteReference"/>
        </w:rPr>
        <w:footnoteReference w:id="15"/>
      </w:r>
      <w:r w:rsidR="00A037A0">
        <w:t xml:space="preserve"> </w:t>
      </w:r>
      <w:r w:rsidR="00902778">
        <w:t xml:space="preserve"> </w:t>
      </w:r>
      <w:r w:rsidR="00154D0C">
        <w:t xml:space="preserve">On </w:t>
      </w:r>
      <w:r w:rsidR="00A951BD">
        <w:t xml:space="preserve">August 18, </w:t>
      </w:r>
      <w:r w:rsidR="00154D0C">
        <w:t xml:space="preserve">2016, Etelix </w:t>
      </w:r>
      <w:r w:rsidR="00350663">
        <w:t xml:space="preserve">filed </w:t>
      </w:r>
      <w:r w:rsidR="00154D0C">
        <w:t>a request for Special Temporary Authority</w:t>
      </w:r>
      <w:r w:rsidR="00350663">
        <w:t xml:space="preserve"> </w:t>
      </w:r>
      <w:r w:rsidR="00F948B5">
        <w:t xml:space="preserve">(STA) </w:t>
      </w:r>
      <w:r w:rsidR="00350663">
        <w:t xml:space="preserve">with </w:t>
      </w:r>
      <w:r w:rsidR="008C1083">
        <w:t>the International Bureau</w:t>
      </w:r>
      <w:r w:rsidR="00154D0C">
        <w:t xml:space="preserve"> so that it could </w:t>
      </w:r>
      <w:r w:rsidR="00567837">
        <w:t>provid</w:t>
      </w:r>
      <w:r w:rsidR="00A037A0">
        <w:t>e</w:t>
      </w:r>
      <w:r w:rsidR="00567837">
        <w:t xml:space="preserve"> </w:t>
      </w:r>
      <w:r w:rsidR="00154D0C">
        <w:t xml:space="preserve">service </w:t>
      </w:r>
      <w:r w:rsidR="00567837">
        <w:t>to</w:t>
      </w:r>
      <w:r w:rsidR="00154D0C">
        <w:t xml:space="preserve"> </w:t>
      </w:r>
      <w:r w:rsidR="00562499">
        <w:t xml:space="preserve">Future Voice’s </w:t>
      </w:r>
      <w:r w:rsidR="00154D0C">
        <w:t>customers</w:t>
      </w:r>
      <w:r w:rsidR="00A037A0">
        <w:t xml:space="preserve"> during the pendency of the Future Voice Application</w:t>
      </w:r>
      <w:r w:rsidR="00154D0C">
        <w:t>.</w:t>
      </w:r>
      <w:r>
        <w:rPr>
          <w:rStyle w:val="FootnoteReference"/>
        </w:rPr>
        <w:footnoteReference w:id="16"/>
      </w:r>
      <w:r w:rsidR="00154D0C">
        <w:t xml:space="preserve">  This STA was granted on November 22, 2016</w:t>
      </w:r>
      <w:r w:rsidR="00837D95">
        <w:t>,</w:t>
      </w:r>
      <w:r w:rsidR="00154D0C">
        <w:t xml:space="preserve"> and expired on May 19, 2017.  No further STA requests were filed by Etelix to continue providing service to </w:t>
      </w:r>
      <w:r w:rsidR="00A037A0">
        <w:t xml:space="preserve">Future Voice’s </w:t>
      </w:r>
      <w:r w:rsidR="00154D0C">
        <w:t>customers</w:t>
      </w:r>
      <w:r w:rsidR="00FB27A7">
        <w:t xml:space="preserve"> after the May 19, 2017 expiration</w:t>
      </w:r>
      <w:r w:rsidR="00154D0C">
        <w:t>.</w:t>
      </w:r>
      <w:r w:rsidR="00567837">
        <w:t xml:space="preserve">  </w:t>
      </w:r>
      <w:r w:rsidRPr="001B0BE8" w:rsidR="007742A4">
        <w:rPr>
          <w:snapToGrid/>
          <w:kern w:val="0"/>
          <w:szCs w:val="22"/>
        </w:rPr>
        <w:t xml:space="preserve">In its review of updated information provided by Etelix, the </w:t>
      </w:r>
      <w:r w:rsidRPr="004A5837" w:rsidR="004A5837">
        <w:rPr>
          <w:snapToGrid/>
          <w:kern w:val="0"/>
          <w:szCs w:val="22"/>
        </w:rPr>
        <w:t>Committee for</w:t>
      </w:r>
      <w:r w:rsidR="004A5837">
        <w:rPr>
          <w:snapToGrid/>
          <w:kern w:val="0"/>
          <w:szCs w:val="22"/>
        </w:rPr>
        <w:t xml:space="preserve"> </w:t>
      </w:r>
      <w:r w:rsidRPr="004A5837" w:rsidR="004A5837">
        <w:rPr>
          <w:snapToGrid/>
          <w:kern w:val="0"/>
          <w:szCs w:val="22"/>
        </w:rPr>
        <w:t>the Assessment of Foreign Participation in the United States Telecommunications Services</w:t>
      </w:r>
      <w:r w:rsidR="004A5837">
        <w:rPr>
          <w:snapToGrid/>
          <w:kern w:val="0"/>
          <w:szCs w:val="22"/>
        </w:rPr>
        <w:t xml:space="preserve"> </w:t>
      </w:r>
      <w:r w:rsidRPr="004A5837" w:rsidR="004A5837">
        <w:rPr>
          <w:snapToGrid/>
          <w:kern w:val="0"/>
          <w:szCs w:val="22"/>
        </w:rPr>
        <w:t>Sector (Committee)</w:t>
      </w:r>
      <w:r>
        <w:rPr>
          <w:rStyle w:val="FootnoteReference"/>
          <w:snapToGrid/>
          <w:kern w:val="0"/>
          <w:szCs w:val="22"/>
        </w:rPr>
        <w:footnoteReference w:id="17"/>
      </w:r>
      <w:r w:rsidR="004A5837">
        <w:rPr>
          <w:snapToGrid/>
          <w:kern w:val="0"/>
          <w:szCs w:val="22"/>
        </w:rPr>
        <w:t xml:space="preserve"> </w:t>
      </w:r>
      <w:r w:rsidRPr="004A5837" w:rsidR="007742A4">
        <w:rPr>
          <w:snapToGrid/>
          <w:kern w:val="0"/>
          <w:szCs w:val="22"/>
        </w:rPr>
        <w:t xml:space="preserve">determined that Etelix’s </w:t>
      </w:r>
      <w:r w:rsidRPr="004A5837" w:rsidR="00893CD0">
        <w:rPr>
          <w:snapToGrid/>
          <w:kern w:val="0"/>
          <w:szCs w:val="22"/>
        </w:rPr>
        <w:t xml:space="preserve">current </w:t>
      </w:r>
      <w:r w:rsidRPr="004A5837" w:rsidR="007742A4">
        <w:rPr>
          <w:snapToGrid/>
          <w:kern w:val="0"/>
          <w:szCs w:val="22"/>
        </w:rPr>
        <w:t>ownership information</w:t>
      </w:r>
      <w:r w:rsidRPr="004A5837" w:rsidR="00893CD0">
        <w:rPr>
          <w:snapToGrid/>
          <w:kern w:val="0"/>
          <w:szCs w:val="22"/>
        </w:rPr>
        <w:t xml:space="preserve"> significantly differed from that</w:t>
      </w:r>
      <w:r w:rsidRPr="004A5837" w:rsidR="007742A4">
        <w:rPr>
          <w:snapToGrid/>
          <w:kern w:val="0"/>
          <w:szCs w:val="22"/>
        </w:rPr>
        <w:t xml:space="preserve"> in the 2016</w:t>
      </w:r>
      <w:r w:rsidRPr="004A5837" w:rsidR="00893CD0">
        <w:rPr>
          <w:snapToGrid/>
          <w:kern w:val="0"/>
          <w:szCs w:val="22"/>
        </w:rPr>
        <w:t xml:space="preserve"> </w:t>
      </w:r>
      <w:r w:rsidRPr="004A5837" w:rsidR="00562499">
        <w:rPr>
          <w:snapToGrid/>
          <w:kern w:val="0"/>
          <w:szCs w:val="22"/>
        </w:rPr>
        <w:t>Future Voice A</w:t>
      </w:r>
      <w:r w:rsidRPr="004A5837" w:rsidR="007742A4">
        <w:rPr>
          <w:snapToGrid/>
          <w:kern w:val="0"/>
          <w:szCs w:val="22"/>
        </w:rPr>
        <w:t>pplication</w:t>
      </w:r>
      <w:r>
        <w:rPr>
          <w:rStyle w:val="FootnoteReference"/>
          <w:snapToGrid/>
          <w:kern w:val="0"/>
          <w:szCs w:val="22"/>
        </w:rPr>
        <w:footnoteReference w:id="18"/>
      </w:r>
      <w:r w:rsidRPr="004A5837" w:rsidR="007742A4">
        <w:rPr>
          <w:snapToGrid/>
          <w:kern w:val="0"/>
          <w:szCs w:val="22"/>
        </w:rPr>
        <w:t xml:space="preserve"> and </w:t>
      </w:r>
      <w:r w:rsidRPr="004A5837" w:rsidR="00893CD0">
        <w:rPr>
          <w:snapToGrid/>
          <w:kern w:val="0"/>
          <w:szCs w:val="22"/>
        </w:rPr>
        <w:t xml:space="preserve">Etelix’s original </w:t>
      </w:r>
      <w:r w:rsidRPr="004A5837" w:rsidR="007742A4">
        <w:rPr>
          <w:snapToGrid/>
          <w:kern w:val="0"/>
          <w:szCs w:val="22"/>
        </w:rPr>
        <w:t xml:space="preserve">2009 </w:t>
      </w:r>
      <w:r w:rsidRPr="004A5837" w:rsidR="007D5D1F">
        <w:rPr>
          <w:snapToGrid/>
          <w:kern w:val="0"/>
          <w:szCs w:val="22"/>
        </w:rPr>
        <w:t>s</w:t>
      </w:r>
      <w:r w:rsidRPr="004A5837" w:rsidR="007742A4">
        <w:rPr>
          <w:snapToGrid/>
          <w:kern w:val="0"/>
          <w:szCs w:val="22"/>
        </w:rPr>
        <w:t>ection 214 application.</w:t>
      </w:r>
      <w:r>
        <w:rPr>
          <w:rStyle w:val="FootnoteReference"/>
          <w:snapToGrid/>
          <w:kern w:val="0"/>
          <w:szCs w:val="22"/>
        </w:rPr>
        <w:footnoteReference w:id="19"/>
      </w:r>
      <w:r w:rsidRPr="004A5837" w:rsidR="001244A4">
        <w:rPr>
          <w:snapToGrid/>
          <w:kern w:val="0"/>
          <w:szCs w:val="22"/>
        </w:rPr>
        <w:t xml:space="preserve">  </w:t>
      </w:r>
      <w:r w:rsidRPr="004A5837" w:rsidR="004B5867">
        <w:rPr>
          <w:snapToGrid/>
          <w:kern w:val="0"/>
          <w:szCs w:val="22"/>
        </w:rPr>
        <w:t xml:space="preserve">The </w:t>
      </w:r>
      <w:r w:rsidR="00682C5B">
        <w:rPr>
          <w:snapToGrid/>
          <w:kern w:val="0"/>
          <w:szCs w:val="22"/>
        </w:rPr>
        <w:t>Committee</w:t>
      </w:r>
      <w:r w:rsidR="00837D95">
        <w:rPr>
          <w:snapToGrid/>
          <w:kern w:val="0"/>
          <w:szCs w:val="22"/>
        </w:rPr>
        <w:t>’</w:t>
      </w:r>
      <w:r w:rsidRPr="004A5837" w:rsidR="004B5867">
        <w:rPr>
          <w:snapToGrid/>
          <w:kern w:val="0"/>
          <w:szCs w:val="22"/>
        </w:rPr>
        <w:t>s review indicated that Etelix was no longer wholly owned by Mr. Leandro Iglesi</w:t>
      </w:r>
      <w:r w:rsidR="00A07E21">
        <w:rPr>
          <w:snapToGrid/>
          <w:kern w:val="0"/>
          <w:szCs w:val="22"/>
        </w:rPr>
        <w:t>a</w:t>
      </w:r>
      <w:r w:rsidRPr="004A5837" w:rsidR="004B5867">
        <w:rPr>
          <w:snapToGrid/>
          <w:kern w:val="0"/>
          <w:szCs w:val="22"/>
        </w:rPr>
        <w:t>s, rather</w:t>
      </w:r>
      <w:r w:rsidRPr="004A5837" w:rsidR="00D048AD">
        <w:rPr>
          <w:snapToGrid/>
          <w:kern w:val="0"/>
          <w:szCs w:val="22"/>
        </w:rPr>
        <w:t>,</w:t>
      </w:r>
      <w:r w:rsidRPr="004A5837" w:rsidR="004B5867">
        <w:rPr>
          <w:snapToGrid/>
          <w:kern w:val="0"/>
          <w:szCs w:val="22"/>
        </w:rPr>
        <w:t xml:space="preserve"> the Company was now a wholly owned subsidiary of iQSTEL</w:t>
      </w:r>
      <w:r w:rsidRPr="004A5837" w:rsidR="00AE14CB">
        <w:rPr>
          <w:snapToGrid/>
          <w:kern w:val="0"/>
          <w:szCs w:val="22"/>
        </w:rPr>
        <w:t>, Inc</w:t>
      </w:r>
      <w:r w:rsidRPr="004A5837" w:rsidR="004B5867">
        <w:rPr>
          <w:snapToGrid/>
          <w:kern w:val="0"/>
          <w:szCs w:val="22"/>
        </w:rPr>
        <w:t>.</w:t>
      </w:r>
      <w:r>
        <w:rPr>
          <w:rStyle w:val="FootnoteReference"/>
          <w:snapToGrid/>
          <w:kern w:val="0"/>
          <w:szCs w:val="22"/>
        </w:rPr>
        <w:footnoteReference w:id="20"/>
      </w:r>
      <w:r w:rsidRPr="004A5837" w:rsidR="004B5867">
        <w:rPr>
          <w:snapToGrid/>
          <w:kern w:val="0"/>
          <w:szCs w:val="22"/>
        </w:rPr>
        <w:t xml:space="preserve">  No reports, filings or applications have been made to the Commission to reflect any such changes in the ownership of Etelix.  </w:t>
      </w:r>
      <w:r w:rsidRPr="004A5837" w:rsidR="001244A4">
        <w:rPr>
          <w:snapToGrid/>
          <w:kern w:val="0"/>
          <w:szCs w:val="22"/>
        </w:rPr>
        <w:t xml:space="preserve">Accordingly, </w:t>
      </w:r>
      <w:r w:rsidRPr="004A5837" w:rsidR="00941048">
        <w:rPr>
          <w:snapToGrid/>
          <w:kern w:val="0"/>
          <w:szCs w:val="22"/>
        </w:rPr>
        <w:t xml:space="preserve">on September 30, 2020, </w:t>
      </w:r>
      <w:r w:rsidRPr="004A5837" w:rsidR="001244A4">
        <w:rPr>
          <w:snapToGrid/>
          <w:kern w:val="0"/>
          <w:szCs w:val="22"/>
        </w:rPr>
        <w:t xml:space="preserve">the </w:t>
      </w:r>
      <w:r w:rsidR="00682C5B">
        <w:rPr>
          <w:snapToGrid/>
          <w:kern w:val="0"/>
          <w:szCs w:val="22"/>
        </w:rPr>
        <w:t>Committee</w:t>
      </w:r>
      <w:r w:rsidRPr="004A5837" w:rsidR="004B5867">
        <w:rPr>
          <w:snapToGrid/>
          <w:kern w:val="0"/>
          <w:szCs w:val="22"/>
        </w:rPr>
        <w:t xml:space="preserve"> </w:t>
      </w:r>
      <w:r w:rsidRPr="004A5837" w:rsidR="001244A4">
        <w:rPr>
          <w:snapToGrid/>
          <w:kern w:val="0"/>
          <w:szCs w:val="22"/>
        </w:rPr>
        <w:t xml:space="preserve">returned the </w:t>
      </w:r>
      <w:r w:rsidRPr="004A5837" w:rsidR="00941048">
        <w:rPr>
          <w:snapToGrid/>
          <w:kern w:val="0"/>
          <w:szCs w:val="22"/>
        </w:rPr>
        <w:t xml:space="preserve">Future Voice </w:t>
      </w:r>
      <w:r w:rsidRPr="004A5837" w:rsidR="001244A4">
        <w:rPr>
          <w:snapToGrid/>
          <w:kern w:val="0"/>
          <w:szCs w:val="22"/>
        </w:rPr>
        <w:t>application for further review by the Commission.</w:t>
      </w:r>
      <w:r>
        <w:rPr>
          <w:rStyle w:val="FootnoteReference"/>
          <w:snapToGrid/>
          <w:kern w:val="0"/>
          <w:szCs w:val="22"/>
        </w:rPr>
        <w:footnoteReference w:id="21"/>
      </w:r>
    </w:p>
    <w:p w:rsidR="009B6EDE" w:rsidP="00D57DD8" w14:paraId="7F3C3319" w14:textId="2AB40DFC">
      <w:pPr>
        <w:pStyle w:val="ParaNum"/>
        <w:numPr>
          <w:ilvl w:val="0"/>
          <w:numId w:val="2"/>
        </w:numPr>
        <w:tabs>
          <w:tab w:val="clear" w:pos="1080"/>
          <w:tab w:val="num" w:pos="1440"/>
        </w:tabs>
        <w:rPr>
          <w:snapToGrid/>
          <w:kern w:val="0"/>
          <w:szCs w:val="22"/>
        </w:rPr>
      </w:pPr>
      <w:r>
        <w:rPr>
          <w:snapToGrid/>
          <w:kern w:val="0"/>
          <w:szCs w:val="22"/>
        </w:rPr>
        <w:t xml:space="preserve">On November 30, 2020, the Commission’s Enforcement Bureau (Bureau) issued a letter of inquiry (LOI), initiating an investigation into whether Etelix may have violated </w:t>
      </w:r>
      <w:r w:rsidR="007D5D1F">
        <w:rPr>
          <w:snapToGrid/>
          <w:kern w:val="0"/>
          <w:szCs w:val="22"/>
        </w:rPr>
        <w:t>s</w:t>
      </w:r>
      <w:r>
        <w:rPr>
          <w:snapToGrid/>
          <w:kern w:val="0"/>
          <w:szCs w:val="22"/>
        </w:rPr>
        <w:t>ection 214 of the Act and the Commission’s rules pertaining to the ownership and operation</w:t>
      </w:r>
      <w:r w:rsidR="00A5425B">
        <w:rPr>
          <w:snapToGrid/>
          <w:kern w:val="0"/>
          <w:szCs w:val="22"/>
        </w:rPr>
        <w:t xml:space="preserve"> of international telecommunications service</w:t>
      </w:r>
      <w:r w:rsidR="000B5020">
        <w:rPr>
          <w:snapToGrid/>
          <w:kern w:val="0"/>
          <w:szCs w:val="22"/>
        </w:rPr>
        <w:t xml:space="preserve"> and </w:t>
      </w:r>
      <w:r w:rsidR="001E5359">
        <w:rPr>
          <w:snapToGrid/>
          <w:kern w:val="0"/>
          <w:szCs w:val="22"/>
        </w:rPr>
        <w:t>s</w:t>
      </w:r>
      <w:r w:rsidR="000B5020">
        <w:rPr>
          <w:snapToGrid/>
          <w:kern w:val="0"/>
          <w:szCs w:val="22"/>
        </w:rPr>
        <w:t>ection 214 international authorizations</w:t>
      </w:r>
      <w:r w:rsidR="00A5425B">
        <w:rPr>
          <w:snapToGrid/>
          <w:kern w:val="0"/>
          <w:szCs w:val="22"/>
        </w:rPr>
        <w:t>.</w:t>
      </w:r>
      <w:r>
        <w:rPr>
          <w:rStyle w:val="FootnoteReference"/>
          <w:snapToGrid/>
          <w:kern w:val="0"/>
          <w:szCs w:val="22"/>
        </w:rPr>
        <w:footnoteReference w:id="22"/>
      </w:r>
      <w:r w:rsidR="00A5425B">
        <w:rPr>
          <w:snapToGrid/>
          <w:kern w:val="0"/>
          <w:szCs w:val="22"/>
        </w:rPr>
        <w:t xml:space="preserve">  Etelix responded to the LOI on January 8, 2021.</w:t>
      </w:r>
      <w:r>
        <w:rPr>
          <w:rStyle w:val="FootnoteReference"/>
          <w:snapToGrid/>
          <w:kern w:val="0"/>
          <w:szCs w:val="22"/>
        </w:rPr>
        <w:footnoteReference w:id="23"/>
      </w:r>
    </w:p>
    <w:p w:rsidR="00021BB0" w:rsidP="00573F5C" w14:paraId="1819B63E" w14:textId="77777777">
      <w:pPr>
        <w:pStyle w:val="Heading1"/>
        <w:widowControl/>
        <w:rPr>
          <w:snapToGrid/>
        </w:rPr>
      </w:pPr>
      <w:r>
        <w:rPr>
          <w:snapToGrid/>
        </w:rPr>
        <w:t>discussion</w:t>
      </w:r>
    </w:p>
    <w:p w:rsidR="00021BB0" w:rsidRPr="00021BB0" w:rsidP="00D57DD8" w14:paraId="3C831F72" w14:textId="77777777">
      <w:pPr>
        <w:pStyle w:val="ParaNum"/>
        <w:numPr>
          <w:ilvl w:val="0"/>
          <w:numId w:val="2"/>
        </w:numPr>
        <w:tabs>
          <w:tab w:val="clear" w:pos="1080"/>
          <w:tab w:val="num" w:pos="1440"/>
        </w:tabs>
        <w:rPr>
          <w:snapToGrid/>
        </w:rPr>
      </w:pPr>
      <w:r>
        <w:t>Under section 503(b)(1) of the Act, any person who is determined by the Commission to have willfully or repeatedly failed to comply with any provision of the Act or any rule, regulation, or order issued by the Commission shall be liable to the United States for a forfeiture penalty.</w:t>
      </w:r>
      <w:r>
        <w:rPr>
          <w:rStyle w:val="FootnoteReference"/>
        </w:rPr>
        <w:footnoteReference w:id="24"/>
      </w:r>
      <w:r>
        <w:t xml:space="preserve">  Section 312(f)(1) of the Act defines willful as “the conscious and deliberate commission or omission of [any] act, irrespective of any intent to violate” the law.</w:t>
      </w:r>
      <w:r>
        <w:rPr>
          <w:rStyle w:val="FootnoteReference"/>
        </w:rPr>
        <w:footnoteReference w:id="25"/>
      </w:r>
      <w:r>
        <w:t xml:space="preserve">  The legislative history of section 312(f)(1) of the Act </w:t>
      </w:r>
      <w:r>
        <w:t>clarifies that this definition applies to both sections 312 and 503(b) of the Act</w:t>
      </w:r>
      <w:r>
        <w:rPr>
          <w:rStyle w:val="FootnoteReference"/>
        </w:rPr>
        <w:footnoteReference w:id="26"/>
      </w:r>
      <w:r>
        <w:t xml:space="preserve"> and the Commission has so interpreted the term in the section 503(b) context.</w:t>
      </w:r>
      <w:r>
        <w:rPr>
          <w:rStyle w:val="FootnoteReference"/>
        </w:rPr>
        <w:footnoteReference w:id="27"/>
      </w:r>
      <w:r>
        <w:t xml:space="preserve">  The Commission may also assess a forfeiture for violations that are merely repeated, and not willful.</w:t>
      </w:r>
      <w:r>
        <w:rPr>
          <w:rStyle w:val="FootnoteReference"/>
        </w:rPr>
        <w:footnoteReference w:id="28"/>
      </w:r>
      <w:r>
        <w:t xml:space="preserve"> </w:t>
      </w:r>
      <w:r w:rsidRPr="00021BB0">
        <w:rPr>
          <w:i/>
        </w:rPr>
        <w:t xml:space="preserve"> </w:t>
      </w:r>
      <w:r>
        <w:t>“Repeated” means that the act was committed or omitted more than once, or lasts more than one day.</w:t>
      </w:r>
      <w:r>
        <w:rPr>
          <w:rStyle w:val="FootnoteReference"/>
        </w:rPr>
        <w:footnoteReference w:id="29"/>
      </w:r>
      <w:r>
        <w:t xml:space="preserve">  To impose such a forfeiture penalty, the Commission must issue a notice of apparent liability and the person against whom the notice has been issued must have an opportunity to show, in writing, why no such forfeiture penalty should be imposed.</w:t>
      </w:r>
      <w:r>
        <w:rPr>
          <w:rStyle w:val="FootnoteReference"/>
        </w:rPr>
        <w:footnoteReference w:id="30"/>
      </w:r>
      <w:r>
        <w:t xml:space="preserve">  The Commission will then issue a forfeiture if it finds by a preponderance of the evidence that the person has violated the Act or a Commission rule.</w:t>
      </w:r>
      <w:r>
        <w:rPr>
          <w:rStyle w:val="FootnoteReference"/>
        </w:rPr>
        <w:footnoteReference w:id="31"/>
      </w:r>
      <w:r>
        <w:t xml:space="preserve">  </w:t>
      </w:r>
    </w:p>
    <w:p w:rsidR="00021BB0" w:rsidP="00573F5C" w14:paraId="030CED6B" w14:textId="30063FFE">
      <w:pPr>
        <w:pStyle w:val="Heading2"/>
        <w:widowControl/>
      </w:pPr>
      <w:r>
        <w:t xml:space="preserve">An </w:t>
      </w:r>
      <w:r w:rsidR="00027E45">
        <w:t xml:space="preserve">STA to Operate </w:t>
      </w:r>
      <w:r>
        <w:t xml:space="preserve">Must </w:t>
      </w:r>
      <w:r w:rsidR="007901D6">
        <w:t>b</w:t>
      </w:r>
      <w:r>
        <w:t xml:space="preserve">e Current </w:t>
      </w:r>
      <w:r w:rsidR="00DA5F07">
        <w:t xml:space="preserve">Prior to </w:t>
      </w:r>
      <w:r>
        <w:t xml:space="preserve">a </w:t>
      </w:r>
      <w:r w:rsidR="00DA5F07">
        <w:t xml:space="preserve">Grant of Permanent Authorization </w:t>
      </w:r>
    </w:p>
    <w:p w:rsidR="0086053D" w:rsidP="00D57DD8" w14:paraId="5B515D53" w14:textId="1DED191D">
      <w:pPr>
        <w:pStyle w:val="ParaNum"/>
        <w:numPr>
          <w:ilvl w:val="0"/>
          <w:numId w:val="2"/>
        </w:numPr>
        <w:tabs>
          <w:tab w:val="clear" w:pos="1080"/>
          <w:tab w:val="num" w:pos="1440"/>
        </w:tabs>
      </w:pPr>
      <w:r>
        <w:t xml:space="preserve">According to the </w:t>
      </w:r>
      <w:r w:rsidR="00A07E21">
        <w:t xml:space="preserve">June 9, 2016, </w:t>
      </w:r>
      <w:r w:rsidR="008C14AE">
        <w:t xml:space="preserve">Future Voice </w:t>
      </w:r>
      <w:r w:rsidR="00E716DD">
        <w:t>Application</w:t>
      </w:r>
      <w:r>
        <w:t>, the customer</w:t>
      </w:r>
      <w:r w:rsidR="007865A5">
        <w:t>s</w:t>
      </w:r>
      <w:r>
        <w:t xml:space="preserve"> and assets of Future Voice were being assigned to Etelix pursuant to a Florida </w:t>
      </w:r>
      <w:r w:rsidR="00496C22">
        <w:t>s</w:t>
      </w:r>
      <w:r>
        <w:t xml:space="preserve">tate </w:t>
      </w:r>
      <w:r w:rsidR="00A422C4">
        <w:t>c</w:t>
      </w:r>
      <w:r>
        <w:t xml:space="preserve">ourt </w:t>
      </w:r>
      <w:r w:rsidR="00661066">
        <w:t>o</w:t>
      </w:r>
      <w:r>
        <w:t>rder in an Assignment for Benefit of Creditor action.</w:t>
      </w:r>
      <w:r>
        <w:rPr>
          <w:rStyle w:val="FootnoteReference"/>
        </w:rPr>
        <w:footnoteReference w:id="32"/>
      </w:r>
      <w:r w:rsidR="005E7141">
        <w:t xml:space="preserve">  </w:t>
      </w:r>
      <w:r w:rsidR="00562499">
        <w:t>As</w:t>
      </w:r>
      <w:r w:rsidR="005E7141">
        <w:t xml:space="preserve"> </w:t>
      </w:r>
      <w:r w:rsidR="00562499">
        <w:t xml:space="preserve">the Future Voice Application was </w:t>
      </w:r>
      <w:r w:rsidR="00E716DD">
        <w:t>referred</w:t>
      </w:r>
      <w:r w:rsidR="005E7141">
        <w:t xml:space="preserve"> to the </w:t>
      </w:r>
      <w:r w:rsidR="00E716DD">
        <w:t>Executive Branch agencies</w:t>
      </w:r>
      <w:r w:rsidR="00325A45">
        <w:t xml:space="preserve"> </w:t>
      </w:r>
      <w:r w:rsidR="005E7141">
        <w:t>for review</w:t>
      </w:r>
      <w:r w:rsidR="00562499">
        <w:t>,</w:t>
      </w:r>
      <w:r w:rsidR="005E7141">
        <w:t xml:space="preserve"> Etelix submitted a</w:t>
      </w:r>
      <w:r w:rsidR="00F948B5">
        <w:t>n STA</w:t>
      </w:r>
      <w:r w:rsidR="005E7141">
        <w:t xml:space="preserve"> request so that it could provid</w:t>
      </w:r>
      <w:r w:rsidR="007A5315">
        <w:t>e</w:t>
      </w:r>
      <w:r w:rsidR="005E7141">
        <w:t xml:space="preserve"> service to Future Voice’s customers</w:t>
      </w:r>
      <w:r w:rsidR="007A5315">
        <w:t xml:space="preserve"> during the pendency of the Future Voice A</w:t>
      </w:r>
      <w:r w:rsidR="00701F7B">
        <w:t>pplication</w:t>
      </w:r>
      <w:r w:rsidR="00562499">
        <w:t>.</w:t>
      </w:r>
      <w:r>
        <w:rPr>
          <w:rStyle w:val="FootnoteReference"/>
        </w:rPr>
        <w:footnoteReference w:id="33"/>
      </w:r>
      <w:r w:rsidR="005E7141">
        <w:t xml:space="preserve">  This STA was granted on November 22, 2016</w:t>
      </w:r>
      <w:r w:rsidR="0012007E">
        <w:t>,</w:t>
      </w:r>
      <w:r w:rsidR="005E7141">
        <w:t xml:space="preserve"> but was limited in time and expired on May 19, 2017.  </w:t>
      </w:r>
      <w:r w:rsidR="00F60F6D">
        <w:t>According to Etelix, however,</w:t>
      </w:r>
      <w:r w:rsidR="002C4EA1">
        <w:t xml:space="preserve"> although</w:t>
      </w:r>
      <w:r w:rsidR="00F60F6D">
        <w:t xml:space="preserve"> it </w:t>
      </w:r>
      <w:r w:rsidR="00941BC7">
        <w:t xml:space="preserve">currently </w:t>
      </w:r>
      <w:r w:rsidR="00F60F6D">
        <w:t xml:space="preserve">continues to provide service to </w:t>
      </w:r>
      <w:r w:rsidR="007B3B13">
        <w:t>Future Voice’s</w:t>
      </w:r>
      <w:r w:rsidR="00F60F6D">
        <w:t xml:space="preserve"> </w:t>
      </w:r>
      <w:r w:rsidR="006C37D9">
        <w:t xml:space="preserve">411 </w:t>
      </w:r>
      <w:r w:rsidR="00F60F6D">
        <w:t>customers</w:t>
      </w:r>
      <w:r w:rsidR="007901D6">
        <w:t>,</w:t>
      </w:r>
      <w:r>
        <w:rPr>
          <w:rStyle w:val="FootnoteReference"/>
        </w:rPr>
        <w:footnoteReference w:id="34"/>
      </w:r>
      <w:r w:rsidR="00AA5C8F">
        <w:t xml:space="preserve"> “[n]o other authorizations have been applied for . . . since 2016.”</w:t>
      </w:r>
      <w:r>
        <w:rPr>
          <w:rStyle w:val="FootnoteReference"/>
        </w:rPr>
        <w:footnoteReference w:id="35"/>
      </w:r>
      <w:r w:rsidR="00AA5C8F">
        <w:t xml:space="preserve">  </w:t>
      </w:r>
      <w:r w:rsidR="00F60F6D">
        <w:t xml:space="preserve"> </w:t>
      </w:r>
      <w:r w:rsidR="00A25F83">
        <w:t xml:space="preserve"> </w:t>
      </w:r>
    </w:p>
    <w:p w:rsidR="000969EA" w:rsidP="007578C0" w14:paraId="70729132" w14:textId="6D5FCE12">
      <w:pPr>
        <w:pStyle w:val="ParaNum"/>
        <w:widowControl/>
        <w:numPr>
          <w:ilvl w:val="0"/>
          <w:numId w:val="2"/>
        </w:numPr>
        <w:tabs>
          <w:tab w:val="clear" w:pos="1080"/>
          <w:tab w:val="num" w:pos="1440"/>
        </w:tabs>
      </w:pPr>
      <w:r>
        <w:t>Section 63.25(b) of the Commission’s rules provides that “[a]pplicants seeking immediate authorization to provide temporary service. . . must file their request with the Commission.”</w:t>
      </w:r>
      <w:r>
        <w:rPr>
          <w:rStyle w:val="FootnoteReference"/>
        </w:rPr>
        <w:footnoteReference w:id="36"/>
      </w:r>
      <w:r>
        <w:t xml:space="preserve">  </w:t>
      </w:r>
      <w:r w:rsidR="009F60A9">
        <w:t>Temporary service is defined to mean “service for a period not exceeding 6 months.”</w:t>
      </w:r>
      <w:r>
        <w:rPr>
          <w:rStyle w:val="FootnoteReference"/>
        </w:rPr>
        <w:footnoteReference w:id="37"/>
      </w:r>
      <w:r w:rsidR="00A21EC4">
        <w:t xml:space="preserve">  </w:t>
      </w:r>
      <w:r w:rsidR="00F73769">
        <w:t>Thus, once the six</w:t>
      </w:r>
      <w:r w:rsidR="007901D6">
        <w:t>-</w:t>
      </w:r>
      <w:r w:rsidR="00F73769">
        <w:t xml:space="preserve">month period is over, if the underlying application remains pending, a new STA must be </w:t>
      </w:r>
      <w:r w:rsidR="00FA0A37">
        <w:t xml:space="preserve">applied for and </w:t>
      </w:r>
      <w:r w:rsidR="0012007E">
        <w:t>granted by the Commission</w:t>
      </w:r>
      <w:r w:rsidR="007901D6">
        <w:t>.</w:t>
      </w:r>
      <w:r w:rsidR="0012007E">
        <w:t xml:space="preserve"> </w:t>
      </w:r>
      <w:r w:rsidR="007901D6">
        <w:t xml:space="preserve"> Otherwise</w:t>
      </w:r>
      <w:r w:rsidR="0012007E">
        <w:t>, the applicant is providing service with</w:t>
      </w:r>
      <w:r w:rsidR="00C60295">
        <w:t>out</w:t>
      </w:r>
      <w:r w:rsidR="0012007E">
        <w:t xml:space="preserve"> </w:t>
      </w:r>
      <w:r w:rsidR="00FB27A7">
        <w:t xml:space="preserve">Commission </w:t>
      </w:r>
      <w:r w:rsidR="0012007E">
        <w:t>authorization</w:t>
      </w:r>
      <w:r w:rsidR="00F73769">
        <w:t>.  If no such STA application is filed</w:t>
      </w:r>
      <w:r w:rsidR="00820E7B">
        <w:t>,</w:t>
      </w:r>
      <w:r w:rsidR="00F73769">
        <w:t xml:space="preserve"> then the temporary service must be discontinued upon the expiration of the STA.  </w:t>
      </w:r>
    </w:p>
    <w:p w:rsidR="00AA5C8F" w:rsidP="00D57DD8" w14:paraId="309EE39C" w14:textId="7C99CBAC">
      <w:pPr>
        <w:pStyle w:val="ParaNum"/>
        <w:numPr>
          <w:ilvl w:val="0"/>
          <w:numId w:val="2"/>
        </w:numPr>
        <w:tabs>
          <w:tab w:val="clear" w:pos="1080"/>
          <w:tab w:val="num" w:pos="1440"/>
        </w:tabs>
      </w:pPr>
      <w:r>
        <w:t xml:space="preserve">During the pendency of the Future Voice Application, Etelix </w:t>
      </w:r>
      <w:r w:rsidR="00E15273">
        <w:t xml:space="preserve">was required </w:t>
      </w:r>
      <w:r>
        <w:t xml:space="preserve">to maintain </w:t>
      </w:r>
      <w:r w:rsidR="00701F7B">
        <w:t>special temporary</w:t>
      </w:r>
      <w:r>
        <w:t xml:space="preserve"> authority </w:t>
      </w:r>
      <w:r w:rsidR="00E15273">
        <w:t xml:space="preserve">in order </w:t>
      </w:r>
      <w:r>
        <w:t xml:space="preserve">to continue providing international service to Future Voice’s customers.  </w:t>
      </w:r>
      <w:r w:rsidR="00A21EC4">
        <w:t xml:space="preserve">While Etelix </w:t>
      </w:r>
      <w:r w:rsidR="002D422A">
        <w:t>initially</w:t>
      </w:r>
      <w:r w:rsidR="00A21EC4">
        <w:t xml:space="preserve"> obtained </w:t>
      </w:r>
      <w:r w:rsidR="00D34679">
        <w:t xml:space="preserve">special </w:t>
      </w:r>
      <w:r w:rsidR="00A21EC4">
        <w:t xml:space="preserve">temporary authority </w:t>
      </w:r>
      <w:r w:rsidR="00D34679">
        <w:t xml:space="preserve">to provide international service to Future Voice’s customers </w:t>
      </w:r>
      <w:r w:rsidR="00A21EC4">
        <w:t xml:space="preserve">while the Future Voice Assignment was pending, </w:t>
      </w:r>
      <w:r w:rsidR="002D422A">
        <w:t xml:space="preserve">this STA </w:t>
      </w:r>
      <w:r w:rsidR="00957024">
        <w:t>expired on</w:t>
      </w:r>
      <w:r w:rsidR="00701F7B">
        <w:t xml:space="preserve"> </w:t>
      </w:r>
      <w:r w:rsidR="00D048AD">
        <w:t>May </w:t>
      </w:r>
      <w:r w:rsidR="00701F7B">
        <w:t>19</w:t>
      </w:r>
      <w:r w:rsidR="00D048AD">
        <w:t>, </w:t>
      </w:r>
      <w:r w:rsidR="00701F7B">
        <w:t>2017</w:t>
      </w:r>
      <w:r w:rsidR="007901D6">
        <w:t>,</w:t>
      </w:r>
      <w:r w:rsidR="00701F7B">
        <w:t xml:space="preserve"> </w:t>
      </w:r>
      <w:r w:rsidR="002D422A">
        <w:t xml:space="preserve">and </w:t>
      </w:r>
      <w:r w:rsidR="00A21EC4">
        <w:t xml:space="preserve">Etelix failed to </w:t>
      </w:r>
      <w:r w:rsidR="00D34679">
        <w:t xml:space="preserve">file for a </w:t>
      </w:r>
      <w:r w:rsidR="00A21EC4">
        <w:t>new STA upon its expiration.</w:t>
      </w:r>
      <w:r w:rsidR="00EA3BCB">
        <w:t xml:space="preserve">  Section 63.25(b) states that STA applicants “must file their request with the Commission,” and therefore </w:t>
      </w:r>
      <w:r w:rsidR="00E477C7">
        <w:t xml:space="preserve">a </w:t>
      </w:r>
      <w:r w:rsidR="006E0A6A">
        <w:t xml:space="preserve">new STA must be applied for and obtained </w:t>
      </w:r>
      <w:r w:rsidR="00EA3BCB">
        <w:t xml:space="preserve">if </w:t>
      </w:r>
      <w:r w:rsidR="006E0A6A">
        <w:t xml:space="preserve">the Commission has not granted a </w:t>
      </w:r>
      <w:r w:rsidR="00EA3BCB">
        <w:t>214 a</w:t>
      </w:r>
      <w:r w:rsidR="006E0A6A">
        <w:t>pplication</w:t>
      </w:r>
      <w:r w:rsidR="00EA3BCB">
        <w:t xml:space="preserve"> prior to the expiration of an initial STA.</w:t>
      </w:r>
      <w:r>
        <w:rPr>
          <w:rStyle w:val="FootnoteReference"/>
        </w:rPr>
        <w:footnoteReference w:id="38"/>
      </w:r>
      <w:r w:rsidR="00EA3BCB">
        <w:t xml:space="preserve">  </w:t>
      </w:r>
      <w:r w:rsidR="007B3B13">
        <w:t>By Etelix’s own admission, it</w:t>
      </w:r>
      <w:r w:rsidR="006E0A6A">
        <w:t xml:space="preserve"> did not file a new STA request but has</w:t>
      </w:r>
      <w:r w:rsidR="007B3B13">
        <w:t xml:space="preserve"> continue</w:t>
      </w:r>
      <w:r w:rsidR="006E0A6A">
        <w:t>d</w:t>
      </w:r>
      <w:r w:rsidR="007B3B13">
        <w:t xml:space="preserve"> to provide service to Future Voice’s customers</w:t>
      </w:r>
      <w:r w:rsidR="00CF2F99">
        <w:t xml:space="preserve"> </w:t>
      </w:r>
      <w:r w:rsidRPr="002A427B" w:rsidR="00CF2F99">
        <w:t>without any FCC authorization under section 214</w:t>
      </w:r>
      <w:r w:rsidR="00D34679">
        <w:t xml:space="preserve"> while the Future Voice Application continues to remain pending before the Commission</w:t>
      </w:r>
      <w:r w:rsidR="007B3B13">
        <w:t xml:space="preserve">.  </w:t>
      </w:r>
      <w:r>
        <w:t>W</w:t>
      </w:r>
      <w:r w:rsidR="00F93A80">
        <w:t xml:space="preserve">e therefore conclude that Etelix apparently has willfully or repeatedly violated </w:t>
      </w:r>
      <w:r w:rsidR="007D5D1F">
        <w:t>s</w:t>
      </w:r>
      <w:r w:rsidR="00F93A80">
        <w:t xml:space="preserve">ection 214 of the Act and section 63.25(b) of the rules by providing international telecommunications services without </w:t>
      </w:r>
      <w:r w:rsidR="007D5D1F">
        <w:t>s</w:t>
      </w:r>
      <w:r w:rsidR="00F93A80">
        <w:t xml:space="preserve">ection 214 authority </w:t>
      </w:r>
      <w:r w:rsidR="00701F7B">
        <w:t xml:space="preserve">or special temporary authority </w:t>
      </w:r>
      <w:r w:rsidR="00F93A80">
        <w:t>from May 20, 2017 to the present.</w:t>
      </w:r>
      <w:r w:rsidR="00A21EC4">
        <w:t xml:space="preserve">  </w:t>
      </w:r>
    </w:p>
    <w:p w:rsidR="007A5315" w:rsidP="00573F5C" w14:paraId="7A773162" w14:textId="00739DED">
      <w:pPr>
        <w:pStyle w:val="Heading2"/>
        <w:widowControl/>
      </w:pPr>
      <w:r>
        <w:t xml:space="preserve">The Commission Must be Notified of </w:t>
      </w:r>
      <w:r w:rsidRPr="00820E7B">
        <w:rPr>
          <w:i/>
          <w:iCs/>
        </w:rPr>
        <w:t>Pro Forma</w:t>
      </w:r>
      <w:r>
        <w:t xml:space="preserve"> </w:t>
      </w:r>
      <w:r>
        <w:t>Changes in Ownership</w:t>
      </w:r>
      <w:r w:rsidR="00B1304C">
        <w:t xml:space="preserve"> </w:t>
      </w:r>
      <w:r>
        <w:t xml:space="preserve"> </w:t>
      </w:r>
    </w:p>
    <w:p w:rsidR="006D1329" w:rsidP="00D57DD8" w14:paraId="5639A1ED" w14:textId="60570CFF">
      <w:pPr>
        <w:pStyle w:val="ParaNum"/>
        <w:numPr>
          <w:ilvl w:val="0"/>
          <w:numId w:val="2"/>
        </w:numPr>
        <w:tabs>
          <w:tab w:val="clear" w:pos="1080"/>
          <w:tab w:val="num" w:pos="1440"/>
        </w:tabs>
      </w:pPr>
      <w:r>
        <w:t xml:space="preserve">In its </w:t>
      </w:r>
      <w:r w:rsidR="007B3B13">
        <w:t xml:space="preserve">2009 </w:t>
      </w:r>
      <w:r>
        <w:t>original application for internatio</w:t>
      </w:r>
      <w:r w:rsidR="00074016">
        <w:t>n</w:t>
      </w:r>
      <w:r>
        <w:t xml:space="preserve">al </w:t>
      </w:r>
      <w:r w:rsidR="007D5D1F">
        <w:t>s</w:t>
      </w:r>
      <w:r>
        <w:t>ection 214 authority, Etelix desc</w:t>
      </w:r>
      <w:r w:rsidR="00074016">
        <w:t>r</w:t>
      </w:r>
      <w:r>
        <w:t xml:space="preserve">ibed its ownership as being </w:t>
      </w:r>
      <w:r w:rsidR="00763399">
        <w:t>solely</w:t>
      </w:r>
      <w:r w:rsidR="00074016">
        <w:t xml:space="preserve"> </w:t>
      </w:r>
      <w:r w:rsidR="007E570F">
        <w:t>held</w:t>
      </w:r>
      <w:r>
        <w:t xml:space="preserve"> by Leand</w:t>
      </w:r>
      <w:r w:rsidR="00D35073">
        <w:t>r</w:t>
      </w:r>
      <w:r>
        <w:t>o Iglesias.</w:t>
      </w:r>
      <w:r>
        <w:rPr>
          <w:rStyle w:val="FootnoteReference"/>
        </w:rPr>
        <w:footnoteReference w:id="39"/>
      </w:r>
      <w:r>
        <w:t xml:space="preserve">  Similarly, in its 2016 Future Voice A</w:t>
      </w:r>
      <w:r w:rsidR="00F948B5">
        <w:t>pplication</w:t>
      </w:r>
      <w:r>
        <w:t xml:space="preserve">, Etelix described its ownership as being </w:t>
      </w:r>
      <w:r w:rsidR="00074016">
        <w:t>wholly owned</w:t>
      </w:r>
      <w:r>
        <w:t xml:space="preserve"> by Mr. Iglesias.</w:t>
      </w:r>
      <w:r>
        <w:rPr>
          <w:rStyle w:val="FootnoteReference"/>
        </w:rPr>
        <w:footnoteReference w:id="40"/>
      </w:r>
      <w:r>
        <w:t xml:space="preserve">  </w:t>
      </w:r>
      <w:r w:rsidR="00291D5E">
        <w:t>Subsequently</w:t>
      </w:r>
      <w:r w:rsidR="008D35AA">
        <w:t>,</w:t>
      </w:r>
      <w:r w:rsidR="00291D5E">
        <w:t xml:space="preserve"> several </w:t>
      </w:r>
      <w:r w:rsidR="00F35557">
        <w:t>events occurred</w:t>
      </w:r>
      <w:r>
        <w:t>.</w:t>
      </w:r>
      <w:r w:rsidR="00F35557">
        <w:t xml:space="preserve">  </w:t>
      </w:r>
      <w:r>
        <w:t>F</w:t>
      </w:r>
      <w:r w:rsidR="00F35557">
        <w:t>irst</w:t>
      </w:r>
      <w:r>
        <w:t>,</w:t>
      </w:r>
      <w:r w:rsidR="00F35557">
        <w:t xml:space="preserve"> on April 20, 2017</w:t>
      </w:r>
      <w:r w:rsidR="000F0C23">
        <w:t>,</w:t>
      </w:r>
      <w:r w:rsidR="00F35557">
        <w:t xml:space="preserve"> Mr. Iglesias’ ownership interest in Etelix changed from 100% to 95.5%.</w:t>
      </w:r>
      <w:r>
        <w:rPr>
          <w:rStyle w:val="FootnoteReference"/>
        </w:rPr>
        <w:footnoteReference w:id="41"/>
      </w:r>
      <w:r w:rsidR="00F35557">
        <w:t xml:space="preserve">  </w:t>
      </w:r>
      <w:r>
        <w:t>S</w:t>
      </w:r>
      <w:r w:rsidR="00F35557">
        <w:t>econd</w:t>
      </w:r>
      <w:r>
        <w:t xml:space="preserve">, </w:t>
      </w:r>
      <w:r w:rsidR="00F35557">
        <w:t>on May 29, 2018</w:t>
      </w:r>
      <w:r w:rsidR="000F0C23">
        <w:t>,</w:t>
      </w:r>
      <w:r w:rsidR="00F35557">
        <w:t xml:space="preserve"> Mr. Iglesias’ ownership interest in Etelix changed from 95.5% to 63.31%.</w:t>
      </w:r>
      <w:r>
        <w:rPr>
          <w:rStyle w:val="FootnoteReference"/>
        </w:rPr>
        <w:footnoteReference w:id="42"/>
      </w:r>
      <w:r w:rsidR="00F35557">
        <w:t xml:space="preserve">  Neither of these events separately or collectively resulted in a </w:t>
      </w:r>
      <w:r w:rsidRPr="007F2660" w:rsidR="00F35557">
        <w:rPr>
          <w:i/>
          <w:iCs/>
        </w:rPr>
        <w:t>pro forma</w:t>
      </w:r>
      <w:r w:rsidR="00F35557">
        <w:t xml:space="preserve"> transfer of control of Etelix</w:t>
      </w:r>
      <w:r w:rsidR="00A12E81">
        <w:t>.</w:t>
      </w:r>
      <w:r w:rsidR="00291D5E">
        <w:t xml:space="preserve"> </w:t>
      </w:r>
    </w:p>
    <w:p w:rsidR="001D66CC" w:rsidP="00D57DD8" w14:paraId="3B8F8834" w14:textId="265B1A12">
      <w:pPr>
        <w:pStyle w:val="ParaNum"/>
        <w:numPr>
          <w:ilvl w:val="0"/>
          <w:numId w:val="2"/>
        </w:numPr>
        <w:tabs>
          <w:tab w:val="clear" w:pos="1080"/>
          <w:tab w:val="num" w:pos="1440"/>
        </w:tabs>
      </w:pPr>
      <w:r>
        <w:t>Beginning i</w:t>
      </w:r>
      <w:r w:rsidR="006123D3">
        <w:t xml:space="preserve">n </w:t>
      </w:r>
      <w:r w:rsidR="007F2660">
        <w:t xml:space="preserve">June </w:t>
      </w:r>
      <w:r w:rsidR="006123D3">
        <w:t>2018</w:t>
      </w:r>
      <w:r w:rsidR="00FB27A7">
        <w:t>,</w:t>
      </w:r>
      <w:r w:rsidR="006123D3">
        <w:t xml:space="preserve"> however, </w:t>
      </w:r>
      <w:r w:rsidRPr="00074016" w:rsidR="00074016">
        <w:t xml:space="preserve">Etelix engaged in </w:t>
      </w:r>
      <w:r w:rsidR="007E570F">
        <w:t xml:space="preserve">several </w:t>
      </w:r>
      <w:r w:rsidRPr="00074016" w:rsidR="00074016">
        <w:t>reorganization</w:t>
      </w:r>
      <w:r w:rsidR="007E570F">
        <w:t>s</w:t>
      </w:r>
      <w:r w:rsidRPr="00074016" w:rsidR="00074016">
        <w:t xml:space="preserve"> which</w:t>
      </w:r>
      <w:r w:rsidR="00CE5A95">
        <w:t xml:space="preserve"> apparently</w:t>
      </w:r>
      <w:r w:rsidRPr="00074016" w:rsidR="00074016">
        <w:t xml:space="preserve"> resulted in two separate </w:t>
      </w:r>
      <w:r w:rsidRPr="00074016" w:rsidR="00074016">
        <w:rPr>
          <w:i/>
          <w:iCs/>
        </w:rPr>
        <w:t>pro forma</w:t>
      </w:r>
      <w:r w:rsidRPr="00074016" w:rsidR="00074016">
        <w:t xml:space="preserve"> transfers of control of </w:t>
      </w:r>
      <w:r w:rsidR="00074016">
        <w:t xml:space="preserve">Etelix </w:t>
      </w:r>
      <w:r w:rsidRPr="00074016" w:rsidR="00074016">
        <w:t xml:space="preserve">without </w:t>
      </w:r>
      <w:r w:rsidR="00074016">
        <w:t xml:space="preserve">the requisite </w:t>
      </w:r>
      <w:r w:rsidRPr="00074016" w:rsidR="00074016">
        <w:t xml:space="preserve">FCC </w:t>
      </w:r>
      <w:r w:rsidR="00074016">
        <w:t>notification</w:t>
      </w:r>
      <w:r w:rsidR="007E570F">
        <w:t xml:space="preserve"> upon completion</w:t>
      </w:r>
      <w:r w:rsidRPr="00074016" w:rsidR="00074016">
        <w:t>.</w:t>
      </w:r>
      <w:r w:rsidR="00C028B0">
        <w:t xml:space="preserve">  A third </w:t>
      </w:r>
      <w:r w:rsidRPr="00D34679" w:rsidR="00C028B0">
        <w:rPr>
          <w:i/>
          <w:iCs/>
        </w:rPr>
        <w:t>pro forma</w:t>
      </w:r>
      <w:r w:rsidR="00C028B0">
        <w:t xml:space="preserve"> transfer of control </w:t>
      </w:r>
      <w:r w:rsidR="00CE198F">
        <w:t xml:space="preserve">apparently </w:t>
      </w:r>
      <w:r w:rsidR="00C028B0">
        <w:t>occurred in December 2020 when a new Preferred Series A stock was issued for iQSTEL without the requisite FCC notification upon completion</w:t>
      </w:r>
      <w:r w:rsidR="006D1329">
        <w:t xml:space="preserve">.  </w:t>
      </w:r>
    </w:p>
    <w:p w:rsidR="003248E1" w:rsidP="00D57DD8" w14:paraId="1BB00E23" w14:textId="3CB7AD4A">
      <w:pPr>
        <w:pStyle w:val="ParaNum"/>
        <w:numPr>
          <w:ilvl w:val="0"/>
          <w:numId w:val="2"/>
        </w:numPr>
        <w:tabs>
          <w:tab w:val="clear" w:pos="1080"/>
          <w:tab w:val="num" w:pos="1440"/>
        </w:tabs>
      </w:pPr>
      <w:r>
        <w:t>O</w:t>
      </w:r>
      <w:r w:rsidR="00291D5E">
        <w:t xml:space="preserve">n </w:t>
      </w:r>
      <w:r>
        <w:t>June 25, 2018, PureSnax International, Inc. (PureSnax) entered into a Membership Interest Purchase Agreement with Etelix.com USA, LLC and the members of Etelix.</w:t>
      </w:r>
      <w:r>
        <w:rPr>
          <w:rStyle w:val="FootnoteReference"/>
        </w:rPr>
        <w:footnoteReference w:id="43"/>
      </w:r>
      <w:r>
        <w:t xml:space="preserve"> </w:t>
      </w:r>
      <w:r w:rsidR="00E04457">
        <w:t xml:space="preserve"> </w:t>
      </w:r>
      <w:r>
        <w:t>As a result of the transaction, Etelix became a wholly</w:t>
      </w:r>
      <w:r w:rsidR="003B6AEE">
        <w:t xml:space="preserve"> </w:t>
      </w:r>
      <w:r>
        <w:t>owned subsidiary of PureSnax which subsequently changed its name</w:t>
      </w:r>
      <w:r w:rsidR="009D4791">
        <w:t xml:space="preserve"> by corporate resolution</w:t>
      </w:r>
      <w:r>
        <w:t xml:space="preserve"> to iQSTEL</w:t>
      </w:r>
      <w:r w:rsidR="00AE14CB">
        <w:t>,</w:t>
      </w:r>
      <w:r>
        <w:t xml:space="preserve"> Inc</w:t>
      </w:r>
      <w:r w:rsidR="00552806">
        <w:t xml:space="preserve"> (iQSTEL)</w:t>
      </w:r>
      <w:r>
        <w:t>.</w:t>
      </w:r>
      <w:r>
        <w:rPr>
          <w:rStyle w:val="FootnoteReference"/>
        </w:rPr>
        <w:footnoteReference w:id="44"/>
      </w:r>
      <w:r>
        <w:t xml:space="preserve">  </w:t>
      </w:r>
      <w:r w:rsidR="00385258">
        <w:t xml:space="preserve">Mr. </w:t>
      </w:r>
      <w:r>
        <w:t>Iglesias re</w:t>
      </w:r>
      <w:r w:rsidR="00552806">
        <w:t xml:space="preserve">tained his </w:t>
      </w:r>
      <w:r>
        <w:t>control of Etelix by owning 55.02</w:t>
      </w:r>
      <w:r w:rsidR="00C47996">
        <w:t>%</w:t>
      </w:r>
      <w:r>
        <w:t xml:space="preserve"> of the total outstanding shares of iQSTEL</w:t>
      </w:r>
      <w:r w:rsidRPr="00934039" w:rsidR="00934039">
        <w:t xml:space="preserve"> </w:t>
      </w:r>
      <w:r w:rsidR="00934039">
        <w:t xml:space="preserve">and </w:t>
      </w:r>
      <w:r w:rsidR="00324C2B">
        <w:t>serv</w:t>
      </w:r>
      <w:r w:rsidR="00DA2D8C">
        <w:t>ing</w:t>
      </w:r>
      <w:r w:rsidR="00324C2B">
        <w:t xml:space="preserve"> as</w:t>
      </w:r>
      <w:r w:rsidR="00934039">
        <w:t xml:space="preserve"> </w:t>
      </w:r>
      <w:r w:rsidR="00552806">
        <w:t>the</w:t>
      </w:r>
      <w:r w:rsidR="00DA2D8C">
        <w:t xml:space="preserve"> </w:t>
      </w:r>
      <w:r w:rsidR="00934039">
        <w:t>President, CEO and Director</w:t>
      </w:r>
      <w:r w:rsidR="00552806">
        <w:t xml:space="preserve"> of both Etelix and iQSTEL</w:t>
      </w:r>
      <w:r>
        <w:t>.</w:t>
      </w:r>
      <w:r>
        <w:rPr>
          <w:rStyle w:val="FootnoteReference"/>
        </w:rPr>
        <w:footnoteReference w:id="45"/>
      </w:r>
      <w:r>
        <w:t xml:space="preserve">  </w:t>
      </w:r>
      <w:r w:rsidR="00934039">
        <w:t>As</w:t>
      </w:r>
      <w:r w:rsidR="00552806">
        <w:t xml:space="preserve"> Mr. Iglesias maintained control of Etelix and its management decisions as well </w:t>
      </w:r>
      <w:r w:rsidR="00552806">
        <w:t xml:space="preserve">as the Company’s financial obligations, </w:t>
      </w:r>
      <w:r w:rsidR="006804C3">
        <w:t xml:space="preserve">this transaction was </w:t>
      </w:r>
      <w:r w:rsidRPr="006D1329" w:rsidR="006804C3">
        <w:rPr>
          <w:i/>
          <w:iCs/>
        </w:rPr>
        <w:t>pro forma</w:t>
      </w:r>
      <w:r w:rsidR="006804C3">
        <w:t xml:space="preserve"> in nature.</w:t>
      </w:r>
      <w:r w:rsidRPr="00500A93" w:rsidR="00500A93">
        <w:rPr>
          <w:rStyle w:val="FootnoteReference"/>
        </w:rPr>
        <w:t xml:space="preserve"> </w:t>
      </w:r>
      <w:r>
        <w:rPr>
          <w:rStyle w:val="FootnoteReference"/>
        </w:rPr>
        <w:footnoteReference w:id="46"/>
      </w:r>
      <w:r w:rsidR="005F284F">
        <w:rPr>
          <w:rStyle w:val="FootnoteReference"/>
        </w:rPr>
        <w:t xml:space="preserve"> </w:t>
      </w:r>
      <w:r w:rsidR="005F284F">
        <w:t xml:space="preserve"> Moreover, the</w:t>
      </w:r>
      <w:r w:rsidR="00F35557">
        <w:t xml:space="preserve"> transfer</w:t>
      </w:r>
      <w:r w:rsidR="005F284F">
        <w:t xml:space="preserve"> of Etelix from Mr. Iglesias to iQSTEL, as owned and controlled by Mr. Iglesias</w:t>
      </w:r>
      <w:r w:rsidR="00F35557">
        <w:t>,</w:t>
      </w:r>
      <w:r w:rsidR="005F284F">
        <w:t xml:space="preserve"> is an assignment from </w:t>
      </w:r>
      <w:r w:rsidRPr="00DF6E6E" w:rsidR="005F284F">
        <w:t>an individual</w:t>
      </w:r>
      <w:r w:rsidR="00570DF9">
        <w:t xml:space="preserve"> owner</w:t>
      </w:r>
      <w:r w:rsidR="005F284F">
        <w:t xml:space="preserve"> to a corporation owned and controlled by that individual “without any substantial change in their relative interests” is presumptively </w:t>
      </w:r>
      <w:r w:rsidRPr="006D1329" w:rsidR="005F284F">
        <w:rPr>
          <w:i/>
          <w:iCs/>
        </w:rPr>
        <w:t>pro forma</w:t>
      </w:r>
      <w:r w:rsidR="005F284F">
        <w:t xml:space="preserve"> in nature.</w:t>
      </w:r>
      <w:r>
        <w:rPr>
          <w:rStyle w:val="FootnoteReference"/>
        </w:rPr>
        <w:footnoteReference w:id="47"/>
      </w:r>
    </w:p>
    <w:p w:rsidR="00AC7048" w:rsidP="00D57DD8" w14:paraId="1042884C" w14:textId="19816F75">
      <w:pPr>
        <w:pStyle w:val="ParaNum"/>
        <w:numPr>
          <w:ilvl w:val="0"/>
          <w:numId w:val="2"/>
        </w:numPr>
        <w:tabs>
          <w:tab w:val="clear" w:pos="1080"/>
          <w:tab w:val="num" w:pos="1440"/>
        </w:tabs>
      </w:pPr>
      <w:r>
        <w:t>A</w:t>
      </w:r>
      <w:r w:rsidR="006C0181">
        <w:t xml:space="preserve">dditionally, according to </w:t>
      </w:r>
      <w:r w:rsidR="008515CC">
        <w:t xml:space="preserve">Etelix’s </w:t>
      </w:r>
      <w:r w:rsidR="006C0181">
        <w:t xml:space="preserve">LOI Response, </w:t>
      </w:r>
      <w:r w:rsidR="00DF3014">
        <w:t xml:space="preserve">in </w:t>
      </w:r>
      <w:r w:rsidR="003248E1">
        <w:t>August 2019 Mr. Iglesias</w:t>
      </w:r>
      <w:r>
        <w:t>’</w:t>
      </w:r>
      <w:r w:rsidR="003248E1">
        <w:t xml:space="preserve"> ownership </w:t>
      </w:r>
      <w:r w:rsidR="009161AF">
        <w:t>in iQSTEL</w:t>
      </w:r>
      <w:r w:rsidR="008D35AA">
        <w:t>,</w:t>
      </w:r>
      <w:r w:rsidR="009161AF">
        <w:t xml:space="preserve"> and thus Etelix,</w:t>
      </w:r>
      <w:r w:rsidR="008D35AA">
        <w:t>,</w:t>
      </w:r>
      <w:r w:rsidR="009161AF">
        <w:t xml:space="preserve"> </w:t>
      </w:r>
      <w:r w:rsidR="00820E7B">
        <w:t xml:space="preserve">further </w:t>
      </w:r>
      <w:r w:rsidR="00A05057">
        <w:t>decreased</w:t>
      </w:r>
      <w:r w:rsidR="005C7369">
        <w:t xml:space="preserve"> </w:t>
      </w:r>
      <w:r w:rsidR="003248E1">
        <w:t>to 11.84% of the common stock of iQSTE</w:t>
      </w:r>
      <w:r>
        <w:t>L</w:t>
      </w:r>
      <w:r w:rsidR="009161AF">
        <w:t>.</w:t>
      </w:r>
      <w:r>
        <w:rPr>
          <w:rStyle w:val="FootnoteReference"/>
        </w:rPr>
        <w:footnoteReference w:id="48"/>
      </w:r>
      <w:r w:rsidR="009161AF">
        <w:t xml:space="preserve">  However, according to Etelix’s LOI Response, </w:t>
      </w:r>
      <w:r w:rsidR="00570DF9">
        <w:t xml:space="preserve">as part of this </w:t>
      </w:r>
      <w:r w:rsidR="003B6AEE">
        <w:t>transaction</w:t>
      </w:r>
      <w:r w:rsidR="00570DF9">
        <w:t xml:space="preserve">, </w:t>
      </w:r>
      <w:r w:rsidR="00675219">
        <w:t xml:space="preserve">Mr. Iglesias was </w:t>
      </w:r>
      <w:r w:rsidR="00DF3014">
        <w:t xml:space="preserve">issued </w:t>
      </w:r>
      <w:r w:rsidR="003248E1">
        <w:t>70</w:t>
      </w:r>
      <w:r>
        <w:t>%</w:t>
      </w:r>
      <w:r w:rsidR="003248E1">
        <w:t xml:space="preserve"> Preferred Series A Stock in iQSTEL</w:t>
      </w:r>
      <w:r w:rsidR="00570DF9">
        <w:t>, thus giving Mr. Iglesias 70% voting rights in iQSTEL</w:t>
      </w:r>
      <w:r w:rsidR="003248E1">
        <w:t>.</w:t>
      </w:r>
      <w:r>
        <w:rPr>
          <w:rStyle w:val="FootnoteReference"/>
        </w:rPr>
        <w:footnoteReference w:id="49"/>
      </w:r>
      <w:r w:rsidR="003248E1">
        <w:t xml:space="preserve">  </w:t>
      </w:r>
      <w:r w:rsidRPr="00805350" w:rsidR="00805350">
        <w:t>No other individual shareholder h</w:t>
      </w:r>
      <w:r w:rsidR="00570DF9">
        <w:t>e</w:t>
      </w:r>
      <w:r w:rsidRPr="00805350" w:rsidR="00805350">
        <w:t xml:space="preserve">ld more than 6% of </w:t>
      </w:r>
      <w:r w:rsidR="00E64FD5">
        <w:t>iQSTEL’s</w:t>
      </w:r>
      <w:r w:rsidRPr="00805350" w:rsidR="00805350">
        <w:t xml:space="preserve"> common stock</w:t>
      </w:r>
      <w:r w:rsidR="000F0C23">
        <w:t xml:space="preserve">. </w:t>
      </w:r>
      <w:r w:rsidRPr="00805350" w:rsidR="00805350">
        <w:t xml:space="preserve"> </w:t>
      </w:r>
      <w:r w:rsidR="000F0C23">
        <w:t>H</w:t>
      </w:r>
      <w:r w:rsidRPr="00805350" w:rsidR="000F0C23">
        <w:t>owever</w:t>
      </w:r>
      <w:r w:rsidRPr="00805350" w:rsidR="00805350">
        <w:t>, 76.27% of the common stock is publicly traded.</w:t>
      </w:r>
      <w:r>
        <w:rPr>
          <w:rStyle w:val="FootnoteReference"/>
        </w:rPr>
        <w:footnoteReference w:id="50"/>
      </w:r>
      <w:r w:rsidR="00805350">
        <w:t xml:space="preserve">  </w:t>
      </w:r>
      <w:r w:rsidR="0020244F">
        <w:t xml:space="preserve">The remaining 30% of the Preferred Series A Stock </w:t>
      </w:r>
      <w:r w:rsidR="00E83DC9">
        <w:t>was issued to</w:t>
      </w:r>
      <w:r w:rsidR="0020244F">
        <w:t xml:space="preserve"> Alvaro Quintana, a foreign national whose eligibility to hold an FCC license </w:t>
      </w:r>
      <w:r w:rsidR="003B6AEE">
        <w:t xml:space="preserve">has </w:t>
      </w:r>
      <w:r w:rsidR="0020244F">
        <w:t>not been approved by the FCC.</w:t>
      </w:r>
      <w:r>
        <w:rPr>
          <w:rStyle w:val="FootnoteReference"/>
        </w:rPr>
        <w:footnoteReference w:id="51"/>
      </w:r>
      <w:r w:rsidR="0020244F">
        <w:t xml:space="preserve">  </w:t>
      </w:r>
      <w:r>
        <w:t xml:space="preserve">Subsequent </w:t>
      </w:r>
      <w:r w:rsidR="00CF720D">
        <w:t>review of iQSTEL’s SEC filings, h</w:t>
      </w:r>
      <w:r w:rsidR="003248E1">
        <w:t xml:space="preserve">owever, </w:t>
      </w:r>
      <w:r w:rsidR="00CF720D">
        <w:t xml:space="preserve">indicate that iQSTEL’s </w:t>
      </w:r>
      <w:r w:rsidR="003248E1">
        <w:t>Preferred Series A Stock was not issued until November 3, 2020</w:t>
      </w:r>
      <w:r>
        <w:rPr>
          <w:rStyle w:val="FootnoteReference"/>
        </w:rPr>
        <w:footnoteReference w:id="52"/>
      </w:r>
      <w:r w:rsidR="00DA2D8C">
        <w:t xml:space="preserve"> and </w:t>
      </w:r>
      <w:r w:rsidR="0075667C">
        <w:t xml:space="preserve">was </w:t>
      </w:r>
      <w:r w:rsidR="008515CC">
        <w:t xml:space="preserve">not </w:t>
      </w:r>
      <w:r w:rsidR="00DA2D8C">
        <w:t xml:space="preserve">distributed to Mr. Iglesias </w:t>
      </w:r>
      <w:r w:rsidR="0020244F">
        <w:t xml:space="preserve">or Mr. Quintana </w:t>
      </w:r>
      <w:r w:rsidR="008515CC">
        <w:t xml:space="preserve">until </w:t>
      </w:r>
      <w:r w:rsidR="00DA2D8C">
        <w:t>December 2, 2020.</w:t>
      </w:r>
      <w:r>
        <w:rPr>
          <w:rStyle w:val="FootnoteReference"/>
        </w:rPr>
        <w:footnoteReference w:id="53"/>
      </w:r>
      <w:r w:rsidR="00CF720D">
        <w:t xml:space="preserve">  </w:t>
      </w:r>
      <w:r w:rsidR="008A3B10">
        <w:t xml:space="preserve">Only after </w:t>
      </w:r>
      <w:r w:rsidR="005C7369">
        <w:t>several</w:t>
      </w:r>
      <w:r w:rsidR="00CF720D">
        <w:t xml:space="preserve"> </w:t>
      </w:r>
      <w:r w:rsidR="00E6268E">
        <w:t xml:space="preserve">Bureau </w:t>
      </w:r>
      <w:r w:rsidR="005C7369">
        <w:t xml:space="preserve">staff </w:t>
      </w:r>
      <w:r w:rsidR="00CF720D">
        <w:t>inquir</w:t>
      </w:r>
      <w:r w:rsidR="005C7369">
        <w:t>ies</w:t>
      </w:r>
      <w:r w:rsidR="008A3B10">
        <w:t xml:space="preserve"> did </w:t>
      </w:r>
      <w:r w:rsidR="00CF720D">
        <w:t xml:space="preserve">Etelix </w:t>
      </w:r>
      <w:r w:rsidR="008A3B10">
        <w:t xml:space="preserve">correct the record </w:t>
      </w:r>
      <w:r w:rsidR="00CF720D">
        <w:t xml:space="preserve">and </w:t>
      </w:r>
      <w:r w:rsidR="005C7369">
        <w:t>admit</w:t>
      </w:r>
      <w:r w:rsidR="00CF720D">
        <w:t xml:space="preserve"> that the Preferred Series A Stock</w:t>
      </w:r>
      <w:r w:rsidR="003248E1">
        <w:t xml:space="preserve"> was not</w:t>
      </w:r>
      <w:r w:rsidR="00DA2D8C">
        <w:t xml:space="preserve"> issued until </w:t>
      </w:r>
      <w:r w:rsidR="00B60681">
        <w:t>November 3, 2020 and not</w:t>
      </w:r>
      <w:r w:rsidR="003248E1">
        <w:t xml:space="preserve"> distributed until December 2, 2020.</w:t>
      </w:r>
      <w:r>
        <w:rPr>
          <w:rStyle w:val="FootnoteReference"/>
        </w:rPr>
        <w:footnoteReference w:id="54"/>
      </w:r>
      <w:r w:rsidR="003248E1">
        <w:t xml:space="preserve">  </w:t>
      </w:r>
      <w:r w:rsidR="00CF720D">
        <w:t>Accordingly, f</w:t>
      </w:r>
      <w:r w:rsidR="003248E1">
        <w:t xml:space="preserve">rom August 2019 until December 3, 2020, Mr. Iglesias held 11.84% of iQSTEL’s common stock.  </w:t>
      </w:r>
      <w:r w:rsidR="005C7369">
        <w:t xml:space="preserve">Thus, Mr. Iglesias’ </w:t>
      </w:r>
      <w:r w:rsidR="003248E1">
        <w:t xml:space="preserve">interest in Etelix </w:t>
      </w:r>
      <w:r w:rsidR="005C7369">
        <w:t xml:space="preserve">went </w:t>
      </w:r>
      <w:r w:rsidR="003248E1">
        <w:t xml:space="preserve">from </w:t>
      </w:r>
      <w:r w:rsidR="0057039B">
        <w:t>55.02% in June 2018</w:t>
      </w:r>
      <w:r w:rsidR="00CF720D">
        <w:t>,</w:t>
      </w:r>
      <w:r w:rsidR="003248E1">
        <w:t xml:space="preserve"> </w:t>
      </w:r>
      <w:r w:rsidR="0057039B">
        <w:t xml:space="preserve">to </w:t>
      </w:r>
      <w:r w:rsidR="003248E1">
        <w:t xml:space="preserve">11.84% </w:t>
      </w:r>
      <w:r w:rsidR="0007272D">
        <w:t xml:space="preserve">in August 2019 </w:t>
      </w:r>
      <w:r w:rsidR="0057039B">
        <w:t>–</w:t>
      </w:r>
      <w:r w:rsidR="003248E1">
        <w:t xml:space="preserve"> a</w:t>
      </w:r>
      <w:r w:rsidR="0057039B">
        <w:t xml:space="preserve"> 43.18</w:t>
      </w:r>
      <w:r w:rsidR="003248E1">
        <w:t xml:space="preserve">% </w:t>
      </w:r>
      <w:r w:rsidR="00CF720D">
        <w:t xml:space="preserve">decrease </w:t>
      </w:r>
      <w:r w:rsidR="003248E1">
        <w:t>in ownership</w:t>
      </w:r>
      <w:r w:rsidR="0057039B">
        <w:t xml:space="preserve"> and a change from 50% or more to less than 50% ownership</w:t>
      </w:r>
      <w:r w:rsidR="001B65B7">
        <w:t xml:space="preserve">, which </w:t>
      </w:r>
      <w:r w:rsidR="003B6AEE">
        <w:t>i</w:t>
      </w:r>
      <w:r w:rsidR="001B65B7">
        <w:t>s a transfer of control</w:t>
      </w:r>
      <w:r w:rsidR="003248E1">
        <w:t>.</w:t>
      </w:r>
      <w:r>
        <w:rPr>
          <w:rStyle w:val="FootnoteReference"/>
        </w:rPr>
        <w:footnoteReference w:id="55"/>
      </w:r>
      <w:r w:rsidR="00CB4558">
        <w:t xml:space="preserve">  </w:t>
      </w:r>
    </w:p>
    <w:p w:rsidR="003248E1" w:rsidP="00D57DD8" w14:paraId="23D0FF2D" w14:textId="483AC8F5">
      <w:pPr>
        <w:pStyle w:val="ParaNum"/>
        <w:numPr>
          <w:ilvl w:val="0"/>
          <w:numId w:val="2"/>
        </w:numPr>
        <w:tabs>
          <w:tab w:val="clear" w:pos="1080"/>
          <w:tab w:val="num" w:pos="1440"/>
        </w:tabs>
      </w:pPr>
      <w:r>
        <w:t xml:space="preserve">Because the issue of control inherently involves issues of fact, </w:t>
      </w:r>
      <w:r w:rsidR="001B65B7">
        <w:t xml:space="preserve">whether </w:t>
      </w:r>
      <w:r w:rsidR="003B6AEE">
        <w:t xml:space="preserve">a </w:t>
      </w:r>
      <w:r w:rsidR="001B65B7">
        <w:t xml:space="preserve">transfer of </w:t>
      </w:r>
      <w:r>
        <w:t xml:space="preserve">control </w:t>
      </w:r>
      <w:r w:rsidR="001B65B7">
        <w:t xml:space="preserve">was substantial or </w:t>
      </w:r>
      <w:r w:rsidR="001B65B7">
        <w:rPr>
          <w:i/>
          <w:iCs/>
        </w:rPr>
        <w:t xml:space="preserve">pro forma </w:t>
      </w:r>
      <w:r>
        <w:t>must be determined on a case-by-case basis.</w:t>
      </w:r>
      <w:r>
        <w:rPr>
          <w:rStyle w:val="FootnoteReference"/>
        </w:rPr>
        <w:footnoteReference w:id="56"/>
      </w:r>
      <w:r>
        <w:t xml:space="preserve">  </w:t>
      </w:r>
      <w:r w:rsidR="0072712B">
        <w:t>Here, a</w:t>
      </w:r>
      <w:r>
        <w:t xml:space="preserve">lthough </w:t>
      </w:r>
      <w:r w:rsidR="0068537D">
        <w:t xml:space="preserve">Mr. Iglesias’ </w:t>
      </w:r>
      <w:r>
        <w:t>ownership</w:t>
      </w:r>
      <w:r w:rsidR="001613CF">
        <w:t xml:space="preserve"> interest in Etelix</w:t>
      </w:r>
      <w:r>
        <w:t xml:space="preserve"> </w:t>
      </w:r>
      <w:r w:rsidR="0023190E">
        <w:t xml:space="preserve">dropped to </w:t>
      </w:r>
      <w:r w:rsidR="003B6AEE">
        <w:t xml:space="preserve">under </w:t>
      </w:r>
      <w:r>
        <w:t xml:space="preserve">50%, </w:t>
      </w:r>
      <w:r w:rsidR="00566E1C">
        <w:t>he</w:t>
      </w:r>
      <w:r>
        <w:t xml:space="preserve"> </w:t>
      </w:r>
      <w:r w:rsidR="001613CF">
        <w:t xml:space="preserve">retained </w:t>
      </w:r>
      <w:r w:rsidR="0072712B">
        <w:t xml:space="preserve">the position </w:t>
      </w:r>
      <w:r w:rsidR="00566E1C">
        <w:t xml:space="preserve">of </w:t>
      </w:r>
      <w:r>
        <w:t>President, CEO and member of the Board of Etelix</w:t>
      </w:r>
      <w:r w:rsidR="00566E1C">
        <w:t xml:space="preserve">, which he held since at least 2017.  He also served as </w:t>
      </w:r>
      <w:r>
        <w:t>the President, CEO and Director of iQSTEL since June 25, 2018</w:t>
      </w:r>
      <w:r w:rsidR="001613CF">
        <w:t xml:space="preserve"> and </w:t>
      </w:r>
      <w:r w:rsidR="00BF282B">
        <w:t xml:space="preserve">continued to control </w:t>
      </w:r>
      <w:r w:rsidR="00DD0639">
        <w:t>“all the business and affairs of the company.”</w:t>
      </w:r>
      <w:r>
        <w:rPr>
          <w:rStyle w:val="FootnoteReference"/>
        </w:rPr>
        <w:footnoteReference w:id="57"/>
      </w:r>
      <w:r w:rsidR="00BF282B">
        <w:t xml:space="preserve"> </w:t>
      </w:r>
      <w:r w:rsidRPr="00F72EF1" w:rsidR="00F72EF1">
        <w:t xml:space="preserve"> </w:t>
      </w:r>
      <w:r w:rsidR="00F72EF1">
        <w:t>The Commission has previously found that “control” can include situations of control “in fact” regardless of the amount of stock owned and determined that “the facts of a particular situation (e.g., who has the power to direct the company’s operations; who determines the make-up of the Board of Directors), are relevant to determining where control is situated.”</w:t>
      </w:r>
      <w:r>
        <w:rPr>
          <w:rStyle w:val="FootnoteReference"/>
        </w:rPr>
        <w:footnoteReference w:id="58"/>
      </w:r>
      <w:r w:rsidR="00F72EF1">
        <w:t xml:space="preserve">  </w:t>
      </w:r>
      <w:r w:rsidR="00566E1C">
        <w:t>In this case</w:t>
      </w:r>
      <w:r>
        <w:t>, while Mr. Iglesias</w:t>
      </w:r>
      <w:r w:rsidR="002C0A40">
        <w:t>’</w:t>
      </w:r>
      <w:r>
        <w:t xml:space="preserve"> ownership fell</w:t>
      </w:r>
      <w:r w:rsidR="0072712B">
        <w:t xml:space="preserve"> </w:t>
      </w:r>
      <w:r w:rsidRPr="001E4BB9" w:rsidR="0072712B">
        <w:t>from 55.02</w:t>
      </w:r>
      <w:r w:rsidR="0072712B">
        <w:t>%</w:t>
      </w:r>
      <w:r>
        <w:t xml:space="preserve"> to 11.84% of iQSTEL, he still remained in control</w:t>
      </w:r>
      <w:r w:rsidR="00B60681">
        <w:t xml:space="preserve"> of Etelix</w:t>
      </w:r>
      <w:r>
        <w:t xml:space="preserve"> </w:t>
      </w:r>
      <w:r w:rsidR="00566E1C">
        <w:t>as evidenced by</w:t>
      </w:r>
      <w:r>
        <w:t xml:space="preserve"> his positions </w:t>
      </w:r>
      <w:r w:rsidR="00B60681">
        <w:t xml:space="preserve">with </w:t>
      </w:r>
      <w:r>
        <w:t xml:space="preserve">both </w:t>
      </w:r>
      <w:r w:rsidR="00B60681">
        <w:t>companies</w:t>
      </w:r>
      <w:r w:rsidR="00566E1C">
        <w:t>.</w:t>
      </w:r>
      <w:r w:rsidR="001B65B7">
        <w:t xml:space="preserve"> </w:t>
      </w:r>
      <w:r w:rsidR="00566E1C">
        <w:t xml:space="preserve"> H</w:t>
      </w:r>
      <w:r w:rsidR="001B65B7">
        <w:t xml:space="preserve">is </w:t>
      </w:r>
      <w:r w:rsidR="00BF282B">
        <w:t>change in equity to less than 50% ownership of Etelix</w:t>
      </w:r>
      <w:r w:rsidR="00566E1C">
        <w:t>, however,</w:t>
      </w:r>
      <w:r w:rsidR="00BF282B">
        <w:t xml:space="preserve"> </w:t>
      </w:r>
      <w:r w:rsidR="00CE5A95">
        <w:t xml:space="preserve">apparently </w:t>
      </w:r>
      <w:r>
        <w:t xml:space="preserve">resulted in a second </w:t>
      </w:r>
      <w:r w:rsidRPr="00F72EF1">
        <w:rPr>
          <w:i/>
          <w:iCs/>
        </w:rPr>
        <w:t>pro forma</w:t>
      </w:r>
      <w:r>
        <w:t xml:space="preserve"> transfer of control.</w:t>
      </w:r>
      <w:r w:rsidR="005B7E5F">
        <w:t xml:space="preserve">  </w:t>
      </w:r>
      <w:r w:rsidR="00AC7048">
        <w:t xml:space="preserve"> </w:t>
      </w:r>
    </w:p>
    <w:p w:rsidR="003303F7" w:rsidP="00D57DD8" w14:paraId="3095E2AC" w14:textId="52308850">
      <w:pPr>
        <w:pStyle w:val="ParaNum"/>
        <w:numPr>
          <w:ilvl w:val="0"/>
          <w:numId w:val="2"/>
        </w:numPr>
        <w:tabs>
          <w:tab w:val="clear" w:pos="1080"/>
          <w:tab w:val="num" w:pos="1440"/>
        </w:tabs>
      </w:pPr>
      <w:r>
        <w:t>Lastly,</w:t>
      </w:r>
      <w:r w:rsidR="00392DA1">
        <w:t xml:space="preserve"> despite previous </w:t>
      </w:r>
      <w:r w:rsidR="004B1A6D">
        <w:t>contrary</w:t>
      </w:r>
      <w:r w:rsidR="00392DA1">
        <w:t xml:space="preserve"> claims to </w:t>
      </w:r>
      <w:r w:rsidR="00D048AD">
        <w:t xml:space="preserve">the </w:t>
      </w:r>
      <w:r w:rsidR="00392DA1">
        <w:t>Bureau,</w:t>
      </w:r>
      <w:r>
        <w:t xml:space="preserve"> on December 2, 2020, </w:t>
      </w:r>
      <w:r w:rsidR="00DB211E">
        <w:t xml:space="preserve">Mr. Iglesias was issued  70% </w:t>
      </w:r>
      <w:r w:rsidR="00566E1C">
        <w:t xml:space="preserve">of the </w:t>
      </w:r>
      <w:r w:rsidR="00DB211E">
        <w:t>Preferred Series A Stock in iQSTEL.</w:t>
      </w:r>
      <w:r>
        <w:rPr>
          <w:rStyle w:val="FootnoteReference"/>
        </w:rPr>
        <w:footnoteReference w:id="59"/>
      </w:r>
      <w:r w:rsidR="00DB211E">
        <w:t xml:space="preserve">  </w:t>
      </w:r>
      <w:r w:rsidR="00566E1C">
        <w:t>This</w:t>
      </w:r>
      <w:r w:rsidR="00A705DD">
        <w:t xml:space="preserve"> change</w:t>
      </w:r>
      <w:r w:rsidR="00566E1C">
        <w:t xml:space="preserve"> </w:t>
      </w:r>
      <w:r w:rsidR="00A705DD">
        <w:t>increased</w:t>
      </w:r>
      <w:r w:rsidR="00DB211E">
        <w:t xml:space="preserve"> Mr. Iglesias</w:t>
      </w:r>
      <w:r w:rsidR="009161AF">
        <w:t>’</w:t>
      </w:r>
      <w:r w:rsidR="00DB211E">
        <w:t xml:space="preserve"> interest in iQSTEL and Etelix  from 11.84% to </w:t>
      </w:r>
      <w:r w:rsidR="004050EB">
        <w:t xml:space="preserve">70%.  </w:t>
      </w:r>
      <w:r w:rsidR="00A705DD">
        <w:t>A</w:t>
      </w:r>
      <w:r w:rsidR="004050EB">
        <w:t>ccording to Etelix, “so long as any shares of the Series A Preferred Stock remain issued and outstanding, the holders thereof, voting separately as a class, shall have the right to vote on all shareholder matters equal to fifty-one (51%) percent of the total vote.</w:t>
      </w:r>
      <w:r w:rsidR="001748A5">
        <w:t>”</w:t>
      </w:r>
      <w:r>
        <w:rPr>
          <w:rStyle w:val="FootnoteReference"/>
        </w:rPr>
        <w:footnoteReference w:id="60"/>
      </w:r>
      <w:r w:rsidR="00DB211E">
        <w:t xml:space="preserve"> </w:t>
      </w:r>
      <w:r w:rsidR="009161AF">
        <w:t xml:space="preserve"> </w:t>
      </w:r>
      <w:r w:rsidR="004050EB">
        <w:t>Thus, while Mr. Iglesi</w:t>
      </w:r>
      <w:r w:rsidR="00B1304C">
        <w:t>a</w:t>
      </w:r>
      <w:r w:rsidR="004050EB">
        <w:t>s’</w:t>
      </w:r>
      <w:r w:rsidR="00B1304C">
        <w:t xml:space="preserve"> remained in control of iQSTEL and Etelix, his change in equity from less than 50% ownership to more than 50% ownership, apparently result</w:t>
      </w:r>
      <w:r w:rsidR="00A705DD">
        <w:t>ed</w:t>
      </w:r>
      <w:r w:rsidR="00B1304C">
        <w:t xml:space="preserve"> in a third </w:t>
      </w:r>
      <w:r w:rsidRPr="0020244F" w:rsidR="00B1304C">
        <w:rPr>
          <w:i/>
          <w:iCs/>
        </w:rPr>
        <w:t>pro forma</w:t>
      </w:r>
      <w:r w:rsidR="00B1304C">
        <w:t xml:space="preserve"> transfer of control. </w:t>
      </w:r>
    </w:p>
    <w:p w:rsidR="007A5315" w:rsidP="00D57DD8" w14:paraId="6877D8B4" w14:textId="3BF3E71C">
      <w:pPr>
        <w:pStyle w:val="ParaNum"/>
        <w:numPr>
          <w:ilvl w:val="0"/>
          <w:numId w:val="2"/>
        </w:numPr>
        <w:tabs>
          <w:tab w:val="clear" w:pos="1080"/>
          <w:tab w:val="num" w:pos="1440"/>
        </w:tabs>
      </w:pPr>
      <w:r>
        <w:t>Section 63.24(f) of the Commission’s rules provide that</w:t>
      </w:r>
      <w:r w:rsidR="00F36719">
        <w:t>, for international section 214 authorizations</w:t>
      </w:r>
      <w:r>
        <w:t xml:space="preserve"> “[i]n the case of a </w:t>
      </w:r>
      <w:r w:rsidRPr="00BF282B">
        <w:rPr>
          <w:i/>
          <w:iCs/>
        </w:rPr>
        <w:t>pro forma</w:t>
      </w:r>
      <w:r>
        <w:t xml:space="preserve"> transfer of control, the carrier must file a notification with the Commission no later than 30 days after the transfer is completed.”</w:t>
      </w:r>
      <w:r>
        <w:rPr>
          <w:rStyle w:val="FootnoteReference"/>
        </w:rPr>
        <w:footnoteReference w:id="61"/>
      </w:r>
      <w:r w:rsidR="00D26445">
        <w:t xml:space="preserve">  </w:t>
      </w:r>
      <w:r w:rsidR="0038749A">
        <w:t>It is the authorization holder’s obligation to comply with the Commission’s rules.</w:t>
      </w:r>
      <w:r>
        <w:rPr>
          <w:rStyle w:val="FootnoteReference"/>
        </w:rPr>
        <w:footnoteReference w:id="62"/>
      </w:r>
      <w:r w:rsidR="0038749A">
        <w:t xml:space="preserve">  </w:t>
      </w:r>
      <w:r w:rsidR="00B60681">
        <w:t>Although</w:t>
      </w:r>
      <w:r w:rsidR="00570E1B">
        <w:t xml:space="preserve"> Etelix remained the licensee </w:t>
      </w:r>
      <w:r w:rsidR="008515CC">
        <w:t xml:space="preserve">of its </w:t>
      </w:r>
      <w:r w:rsidR="00A00C8C">
        <w:t xml:space="preserve">international </w:t>
      </w:r>
      <w:r w:rsidR="007D5D1F">
        <w:t>s</w:t>
      </w:r>
      <w:r w:rsidR="008515CC">
        <w:t xml:space="preserve">ection 214 authorization </w:t>
      </w:r>
      <w:r w:rsidR="00570E1B">
        <w:t>and Mr. Iglesias maintained control</w:t>
      </w:r>
      <w:r w:rsidR="00B60681">
        <w:t xml:space="preserve"> of Etelix</w:t>
      </w:r>
      <w:r w:rsidR="00AA7E47">
        <w:t xml:space="preserve"> – and </w:t>
      </w:r>
      <w:r w:rsidR="00B60681">
        <w:t>subsequently iQSTEL</w:t>
      </w:r>
      <w:r w:rsidR="00AA7E47">
        <w:t xml:space="preserve"> – Etelix </w:t>
      </w:r>
      <w:r w:rsidR="00B60681">
        <w:t>was</w:t>
      </w:r>
      <w:r w:rsidR="00570E1B">
        <w:t xml:space="preserve"> obligated to </w:t>
      </w:r>
      <w:r w:rsidR="00CE094A">
        <w:t xml:space="preserve">comply with our rules and </w:t>
      </w:r>
      <w:r w:rsidR="00570E1B">
        <w:t xml:space="preserve">notify the Commission of the </w:t>
      </w:r>
      <w:r w:rsidRPr="00BF282B" w:rsidR="00CA64BB">
        <w:rPr>
          <w:i/>
          <w:iCs/>
        </w:rPr>
        <w:t>pro forma</w:t>
      </w:r>
      <w:r w:rsidR="00CA64BB">
        <w:t xml:space="preserve"> </w:t>
      </w:r>
      <w:r w:rsidR="00570E1B">
        <w:t xml:space="preserve">changes to </w:t>
      </w:r>
      <w:r w:rsidR="00B60681">
        <w:t>its</w:t>
      </w:r>
      <w:r w:rsidR="00570E1B">
        <w:t xml:space="preserve"> ownership.</w:t>
      </w:r>
      <w:r>
        <w:rPr>
          <w:rStyle w:val="FootnoteReference"/>
        </w:rPr>
        <w:footnoteReference w:id="63"/>
      </w:r>
      <w:r w:rsidR="00597835">
        <w:t xml:space="preserve">  We therefore conclude that Etelix </w:t>
      </w:r>
      <w:r w:rsidR="003B6AEE">
        <w:t xml:space="preserve">has </w:t>
      </w:r>
      <w:r w:rsidR="00597835">
        <w:t>apparently</w:t>
      </w:r>
      <w:r w:rsidR="003B6AEE">
        <w:t xml:space="preserve"> </w:t>
      </w:r>
      <w:r w:rsidR="00597835">
        <w:t xml:space="preserve">willfully or repeatedly violated </w:t>
      </w:r>
      <w:r w:rsidR="0038749A">
        <w:t>s</w:t>
      </w:r>
      <w:r w:rsidR="00597835">
        <w:t>ection 214 of the Act and section 63.24(</w:t>
      </w:r>
      <w:r w:rsidR="00FE3212">
        <w:t>f</w:t>
      </w:r>
      <w:r w:rsidR="00597835">
        <w:t xml:space="preserve">) of the rules by consummating </w:t>
      </w:r>
      <w:r w:rsidR="009D7EA8">
        <w:t xml:space="preserve">a </w:t>
      </w:r>
      <w:r w:rsidRPr="00BF282B" w:rsidR="00597835">
        <w:rPr>
          <w:i/>
          <w:iCs/>
        </w:rPr>
        <w:t>pro forma</w:t>
      </w:r>
      <w:r w:rsidR="00597835">
        <w:t xml:space="preserve"> transfer of control of Etelix</w:t>
      </w:r>
      <w:r w:rsidR="009D7EA8">
        <w:t xml:space="preserve"> on June 25, 2018 </w:t>
      </w:r>
      <w:r w:rsidR="005F7482">
        <w:t xml:space="preserve">(at which time </w:t>
      </w:r>
      <w:r w:rsidR="009D7EA8">
        <w:t xml:space="preserve"> Etelix went from being held 63.13% by </w:t>
      </w:r>
      <w:r w:rsidR="0040312C">
        <w:t xml:space="preserve">Mr. Iglesias, to being wholly-owned by PureSnax, which changed its name to iQSTEL, as owned 55.02% by Mr. </w:t>
      </w:r>
      <w:r w:rsidR="0040312C">
        <w:t>Iglesias</w:t>
      </w:r>
      <w:r w:rsidR="005F7482">
        <w:t>)</w:t>
      </w:r>
      <w:r w:rsidR="0040312C">
        <w:t xml:space="preserve"> without providing the Commission with the requisite notification.</w:t>
      </w:r>
      <w:r>
        <w:rPr>
          <w:rStyle w:val="FootnoteReference"/>
        </w:rPr>
        <w:footnoteReference w:id="64"/>
      </w:r>
      <w:r w:rsidR="00546034">
        <w:t xml:space="preserve"> </w:t>
      </w:r>
      <w:r w:rsidR="00D048AD">
        <w:t xml:space="preserve"> </w:t>
      </w:r>
      <w:r w:rsidR="0040312C">
        <w:t xml:space="preserve">Secondly, </w:t>
      </w:r>
      <w:r w:rsidR="001748A5">
        <w:t xml:space="preserve">Etelix </w:t>
      </w:r>
      <w:r w:rsidR="003B6AEE">
        <w:t xml:space="preserve">has </w:t>
      </w:r>
      <w:r w:rsidR="001748A5">
        <w:t xml:space="preserve">apparently willfully or repeatedly violated section 214 of the Act and section 63.24(f) of the rules by consummating a </w:t>
      </w:r>
      <w:r w:rsidRPr="003D5DCE" w:rsidR="001748A5">
        <w:rPr>
          <w:i/>
          <w:iCs/>
        </w:rPr>
        <w:t>pro form</w:t>
      </w:r>
      <w:r w:rsidR="001748A5">
        <w:t xml:space="preserve">a transfer of control </w:t>
      </w:r>
      <w:r w:rsidR="004D1FF9">
        <w:t xml:space="preserve">in August 2019 </w:t>
      </w:r>
      <w:r w:rsidR="005F7482">
        <w:t>(</w:t>
      </w:r>
      <w:r w:rsidR="001748A5">
        <w:t xml:space="preserve">when </w:t>
      </w:r>
      <w:r w:rsidR="004D1FF9">
        <w:t>Mr. Iglesias</w:t>
      </w:r>
      <w:r w:rsidR="005F7482">
        <w:t>’</w:t>
      </w:r>
      <w:r w:rsidR="004D1FF9">
        <w:t xml:space="preserve"> interest in iQSTEL and thus Etelix, fell from 55.02% to 11.84%</w:t>
      </w:r>
      <w:r w:rsidR="005F7482">
        <w:t>,</w:t>
      </w:r>
      <w:r w:rsidR="00180EA8">
        <w:t xml:space="preserve"> resulting in a change in equity ownership to below</w:t>
      </w:r>
      <w:r w:rsidR="0040312C">
        <w:t xml:space="preserve"> </w:t>
      </w:r>
      <w:r w:rsidR="00180EA8">
        <w:t>50%</w:t>
      </w:r>
      <w:r w:rsidR="005F7482">
        <w:t>)</w:t>
      </w:r>
      <w:r w:rsidR="00180EA8">
        <w:t xml:space="preserve"> </w:t>
      </w:r>
      <w:r w:rsidR="00597835">
        <w:t>without providing the Commission with the requisite notification.</w:t>
      </w:r>
      <w:r>
        <w:rPr>
          <w:rStyle w:val="FootnoteReference"/>
        </w:rPr>
        <w:footnoteReference w:id="65"/>
      </w:r>
      <w:r w:rsidR="00597835">
        <w:t xml:space="preserve">  </w:t>
      </w:r>
      <w:r w:rsidR="00A00C8C">
        <w:t xml:space="preserve">Lastly, </w:t>
      </w:r>
      <w:r w:rsidR="001748A5">
        <w:t>Etelix</w:t>
      </w:r>
      <w:r w:rsidR="003B6AEE">
        <w:t xml:space="preserve"> has</w:t>
      </w:r>
      <w:r w:rsidR="001748A5">
        <w:t xml:space="preserve"> apparently willfully or repeatedly violated section 214 of the Act and section 63.24(f) of the rules by consummating a </w:t>
      </w:r>
      <w:r w:rsidRPr="00A665F6" w:rsidR="001748A5">
        <w:rPr>
          <w:i/>
          <w:iCs/>
        </w:rPr>
        <w:t>pro form</w:t>
      </w:r>
      <w:r w:rsidR="001748A5">
        <w:t xml:space="preserve">a transfer of control </w:t>
      </w:r>
      <w:r w:rsidR="00A00C8C">
        <w:t xml:space="preserve">on December 2, 2020 </w:t>
      </w:r>
      <w:r w:rsidR="005F7482">
        <w:t>(</w:t>
      </w:r>
      <w:r w:rsidR="001748A5">
        <w:t xml:space="preserve">when </w:t>
      </w:r>
      <w:r w:rsidR="00A00C8C">
        <w:t xml:space="preserve">Mr. Iglesias received 70% of newly issued Preferred Series A stock in iQSTEL, resulting in a change in </w:t>
      </w:r>
      <w:r w:rsidR="001748A5">
        <w:t xml:space="preserve">Mr. Iglesias’ </w:t>
      </w:r>
      <w:r w:rsidR="00A00C8C">
        <w:t>equity ownership of iQSTEL and thus Etelix from 11.84% to 70%</w:t>
      </w:r>
      <w:r w:rsidR="005F7482">
        <w:t>)</w:t>
      </w:r>
      <w:r w:rsidR="00A00C8C">
        <w:t xml:space="preserve"> without the requisite Commission notification.</w:t>
      </w:r>
      <w:r w:rsidR="001748A5">
        <w:t xml:space="preserve">  By failing to notify the Commission of each of these three </w:t>
      </w:r>
      <w:r w:rsidRPr="003D5DCE" w:rsidR="001748A5">
        <w:rPr>
          <w:i/>
          <w:iCs/>
        </w:rPr>
        <w:t>pro forma</w:t>
      </w:r>
      <w:r w:rsidR="001748A5">
        <w:t xml:space="preserve"> transactions, Etelix failed in its obligations as an FCC licensee to comply with our rules.  To date, the notification</w:t>
      </w:r>
      <w:r w:rsidR="006D5326">
        <w:t>s</w:t>
      </w:r>
      <w:r w:rsidR="001748A5">
        <w:t xml:space="preserve"> required by section 63.24(f) of </w:t>
      </w:r>
      <w:r w:rsidR="00C4591D">
        <w:t xml:space="preserve">the Commission’s </w:t>
      </w:r>
      <w:r w:rsidR="001748A5">
        <w:t>rules</w:t>
      </w:r>
      <w:r w:rsidR="006D5326">
        <w:t xml:space="preserve"> for each of these </w:t>
      </w:r>
      <w:r w:rsidRPr="003D5DCE" w:rsidR="006D5326">
        <w:rPr>
          <w:i/>
          <w:iCs/>
        </w:rPr>
        <w:t>pro forma</w:t>
      </w:r>
      <w:r w:rsidR="006D5326">
        <w:t xml:space="preserve"> transactions have not been provided to the Commission.</w:t>
      </w:r>
    </w:p>
    <w:p w:rsidR="00991D62" w:rsidP="00573F5C" w14:paraId="53B99E51" w14:textId="1AE4E5AE">
      <w:pPr>
        <w:pStyle w:val="Heading2"/>
        <w:widowControl/>
      </w:pPr>
      <w:r>
        <w:t xml:space="preserve">Applicants Are Responsible for the Continuing Accuracy of Their </w:t>
      </w:r>
      <w:r>
        <w:t>Pending Application</w:t>
      </w:r>
      <w:r>
        <w:t>s</w:t>
      </w:r>
    </w:p>
    <w:p w:rsidR="00620DA0" w:rsidP="00A20E55" w14:paraId="07764C79" w14:textId="56BE2CF6">
      <w:pPr>
        <w:pStyle w:val="ParaNum"/>
        <w:numPr>
          <w:ilvl w:val="0"/>
          <w:numId w:val="2"/>
        </w:numPr>
        <w:tabs>
          <w:tab w:val="clear" w:pos="1080"/>
          <w:tab w:val="num" w:pos="1440"/>
        </w:tabs>
      </w:pPr>
      <w:r>
        <w:t xml:space="preserve">As discussed </w:t>
      </w:r>
      <w:r w:rsidR="00A85B74">
        <w:t>previously</w:t>
      </w:r>
      <w:r>
        <w:t>, the 2016 Future Voice Application remains pending before the Commission</w:t>
      </w:r>
      <w:r w:rsidR="00101C7C">
        <w:t xml:space="preserve"> and has never </w:t>
      </w:r>
      <w:r w:rsidR="009D1453">
        <w:t>been updated</w:t>
      </w:r>
      <w:r>
        <w:t xml:space="preserve">.  Section 1.65 of the Commission’s rules </w:t>
      </w:r>
      <w:r w:rsidR="009A2A1A">
        <w:t>provides that “[e]ach applicant is responsible for the continuing accuracy and completeness of information furnished in a pending application . . .  [W]henever the information furnished in the pending application is no longer substantially accurate and complete in all significant respects, the applicant shall as promptly as possible and in any event within 30 days, . . . amend or request the amendment of the application so as to furnish such additional or corrected information as may be appropriate.”</w:t>
      </w:r>
      <w:r>
        <w:rPr>
          <w:rStyle w:val="FootnoteReference"/>
        </w:rPr>
        <w:footnoteReference w:id="66"/>
      </w:r>
      <w:r w:rsidR="00DA4354">
        <w:t xml:space="preserve">  </w:t>
      </w:r>
    </w:p>
    <w:p w:rsidR="00991D62" w:rsidP="00A20E55" w14:paraId="269551A4" w14:textId="15D4C719">
      <w:pPr>
        <w:pStyle w:val="ParaNum"/>
        <w:numPr>
          <w:ilvl w:val="0"/>
          <w:numId w:val="2"/>
        </w:numPr>
        <w:tabs>
          <w:tab w:val="clear" w:pos="1080"/>
          <w:tab w:val="num" w:pos="1440"/>
        </w:tabs>
      </w:pPr>
      <w:r>
        <w:t xml:space="preserve">Etelix apparently engaged in </w:t>
      </w:r>
      <w:r w:rsidR="00777E36">
        <w:t>three</w:t>
      </w:r>
      <w:r>
        <w:t xml:space="preserve"> </w:t>
      </w:r>
      <w:r w:rsidRPr="00620DA0">
        <w:rPr>
          <w:i/>
          <w:iCs/>
        </w:rPr>
        <w:t>pro forma</w:t>
      </w:r>
      <w:r>
        <w:t xml:space="preserve"> transfers of control resulting in an ownership structure that differed from that in its </w:t>
      </w:r>
      <w:r w:rsidR="007B424B">
        <w:t xml:space="preserve">pending </w:t>
      </w:r>
      <w:r>
        <w:t xml:space="preserve">Future Voice Application.  </w:t>
      </w:r>
      <w:r w:rsidR="00CA64BB">
        <w:t xml:space="preserve">These changes in ownership </w:t>
      </w:r>
      <w:r w:rsidR="006A54A0">
        <w:t>caused</w:t>
      </w:r>
      <w:r w:rsidR="00CA64BB">
        <w:t xml:space="preserve"> </w:t>
      </w:r>
      <w:r w:rsidR="006A54A0">
        <w:t xml:space="preserve">Etelix’s </w:t>
      </w:r>
      <w:r w:rsidR="00CA64BB">
        <w:t xml:space="preserve">ownership information in the Future Voice Application </w:t>
      </w:r>
      <w:r w:rsidR="006A54A0">
        <w:t>to become in</w:t>
      </w:r>
      <w:r w:rsidR="00CA64BB">
        <w:t xml:space="preserve">accurate.  </w:t>
      </w:r>
      <w:r w:rsidR="006A54A0">
        <w:t xml:space="preserve">Etelix failed to comply with its obligations under </w:t>
      </w:r>
      <w:r>
        <w:t xml:space="preserve">section 1.65 of the </w:t>
      </w:r>
      <w:r w:rsidR="00C4591D">
        <w:t xml:space="preserve">Commission’s </w:t>
      </w:r>
      <w:r>
        <w:t>rules</w:t>
      </w:r>
      <w:r w:rsidR="00DA4354">
        <w:t xml:space="preserve"> to amend the pending Future Voice Assignment application </w:t>
      </w:r>
      <w:r w:rsidR="00CA64BB">
        <w:t>within 30</w:t>
      </w:r>
      <w:r w:rsidR="003B6AEE">
        <w:t xml:space="preserve"> </w:t>
      </w:r>
      <w:r w:rsidR="00CA64BB">
        <w:t xml:space="preserve">days of each </w:t>
      </w:r>
      <w:r w:rsidRPr="00CA64BB" w:rsidR="00CA64BB">
        <w:rPr>
          <w:i/>
          <w:iCs/>
        </w:rPr>
        <w:t>pro forma</w:t>
      </w:r>
      <w:r w:rsidR="00CA64BB">
        <w:t xml:space="preserve"> transaction </w:t>
      </w:r>
      <w:r w:rsidR="00DA4354">
        <w:t>to reflect th</w:t>
      </w:r>
      <w:r w:rsidR="00CA64BB">
        <w:t>e changes to</w:t>
      </w:r>
      <w:r w:rsidR="00DA4354">
        <w:t xml:space="preserve"> </w:t>
      </w:r>
      <w:r w:rsidR="00EA465B">
        <w:t>the Company’s</w:t>
      </w:r>
      <w:r w:rsidR="00DA4354">
        <w:t xml:space="preserve"> </w:t>
      </w:r>
      <w:r w:rsidR="00CA64BB">
        <w:t>ownership structure.</w:t>
      </w:r>
      <w:r w:rsidR="00DA4354">
        <w:t xml:space="preserve">  </w:t>
      </w:r>
      <w:r>
        <w:t xml:space="preserve">We therefore conclude that Etelix </w:t>
      </w:r>
      <w:r w:rsidR="003B6AEE">
        <w:t xml:space="preserve">has </w:t>
      </w:r>
      <w:r>
        <w:t xml:space="preserve">apparently willfully or repeatedly violated section 1.65 of the </w:t>
      </w:r>
      <w:r w:rsidR="0020764D">
        <w:t xml:space="preserve">Commission’s </w:t>
      </w:r>
      <w:r>
        <w:t xml:space="preserve">rules by failing to amend its pending Future Voice Application to reflect </w:t>
      </w:r>
      <w:r w:rsidR="00A5765F">
        <w:t>its updated ownership structure.</w:t>
      </w:r>
    </w:p>
    <w:p w:rsidR="005B0D28" w:rsidP="00573F5C" w14:paraId="353E43D3" w14:textId="7B7EA7ED">
      <w:pPr>
        <w:pStyle w:val="Heading2"/>
        <w:widowControl/>
      </w:pPr>
      <w:r>
        <w:t>Proposed Forfeiture</w:t>
      </w:r>
    </w:p>
    <w:p w:rsidR="005B0D28" w:rsidRPr="00E36F6E" w:rsidP="00A20E55" w14:paraId="43753C24" w14:textId="08B578E5">
      <w:pPr>
        <w:pStyle w:val="ParaNum"/>
        <w:numPr>
          <w:ilvl w:val="0"/>
          <w:numId w:val="2"/>
        </w:numPr>
        <w:tabs>
          <w:tab w:val="clear" w:pos="1080"/>
          <w:tab w:val="num" w:pos="1440"/>
        </w:tabs>
      </w:pPr>
      <w:r>
        <w:t>Section 503(b)(1) of the Act authorizes the Commission to impose a forfeiture against any entity that “willfully or repeatedly fail[s] to comply substantially with the terms and conditions of any license, permit, certificate or other instrument or authorization issued by the Commission”</w:t>
      </w:r>
      <w:r>
        <w:rPr>
          <w:rStyle w:val="FootnoteReference"/>
        </w:rPr>
        <w:footnoteReference w:id="67"/>
      </w:r>
      <w:r>
        <w:t xml:space="preserve"> as well as or against and entity that “willfully or repeatedly fail[s] to comply with any of the provisions of [the Act] or of any rule, regulation, or order issued by the Commission.”</w:t>
      </w:r>
      <w:r>
        <w:rPr>
          <w:rStyle w:val="FootnoteReference"/>
        </w:rPr>
        <w:footnoteReference w:id="68"/>
      </w:r>
      <w:r>
        <w:t xml:space="preserve">  Section 503(b)(2)(B) of the Act authorizes the Commission to assess</w:t>
      </w:r>
      <w:r w:rsidR="003563FD">
        <w:t xml:space="preserve"> common carriers, or applicants for common carrier authorizations (such as international 214 authorizations),</w:t>
      </w:r>
      <w:r>
        <w:t xml:space="preserve"> a forfeiture of up to $</w:t>
      </w:r>
      <w:r w:rsidR="003259A9">
        <w:t>207,314</w:t>
      </w:r>
      <w:r>
        <w:t xml:space="preserve"> for each violation or each day of a </w:t>
      </w:r>
      <w:r>
        <w:t>continuing violation, up to a statutory maximum of $</w:t>
      </w:r>
      <w:r w:rsidR="003259A9">
        <w:t>2,073,133</w:t>
      </w:r>
      <w:r>
        <w:t xml:space="preserve"> for a single act or failure to act.</w:t>
      </w:r>
      <w:r>
        <w:rPr>
          <w:rStyle w:val="FootnoteReference"/>
          <w:szCs w:val="22"/>
        </w:rPr>
        <w:footnoteReference w:id="69"/>
      </w:r>
      <w:r>
        <w:t xml:space="preserve">  In</w:t>
      </w:r>
      <w:r w:rsidR="003259A9">
        <w:t xml:space="preserve"> exercising the Commission’s forfeiture authority, we must consider the </w:t>
      </w:r>
      <w:r>
        <w:t>“the nature, circumstances, extent and gravity of the violation, and, with respect to the violator, the degree of culpability, any history of prior offenses, ability to pay, and such other matters as justice may require.”</w:t>
      </w:r>
      <w:r>
        <w:rPr>
          <w:rStyle w:val="FootnoteReference"/>
          <w:szCs w:val="22"/>
        </w:rPr>
        <w:footnoteReference w:id="70"/>
      </w:r>
    </w:p>
    <w:p w:rsidR="005B0D28" w:rsidP="00A20E55" w14:paraId="29116108" w14:textId="7A487EBB">
      <w:pPr>
        <w:pStyle w:val="ParaNum"/>
        <w:numPr>
          <w:ilvl w:val="0"/>
          <w:numId w:val="2"/>
        </w:numPr>
        <w:tabs>
          <w:tab w:val="clear" w:pos="1080"/>
          <w:tab w:val="num" w:pos="1440"/>
        </w:tabs>
      </w:pPr>
      <w:r>
        <w:t xml:space="preserve">We conclude that </w:t>
      </w:r>
      <w:r w:rsidR="00920C78">
        <w:t>Etelix</w:t>
      </w:r>
      <w:r>
        <w:t xml:space="preserve"> apparently failed to obtain </w:t>
      </w:r>
      <w:r w:rsidR="00920C78">
        <w:t xml:space="preserve">special temporary authority to provide </w:t>
      </w:r>
      <w:r>
        <w:t xml:space="preserve">international </w:t>
      </w:r>
      <w:r w:rsidR="00920C78">
        <w:t>telecommunications service to Future Voice’s customers during the pendency of the 2016 Future Voice Application.</w:t>
      </w:r>
      <w:r w:rsidR="00FF295C">
        <w:t xml:space="preserve"> </w:t>
      </w:r>
      <w:r w:rsidR="00920C78">
        <w:t xml:space="preserve"> </w:t>
      </w:r>
      <w:r>
        <w:t xml:space="preserve">A carrier’s failure to obtain </w:t>
      </w:r>
      <w:r w:rsidR="00920C78">
        <w:t>special temporary authority</w:t>
      </w:r>
      <w:r>
        <w:t xml:space="preserve"> undermines the Commission’s ability to accomplish Congress’ objectives in section 214 of the Act.</w:t>
      </w:r>
      <w:r>
        <w:rPr>
          <w:rStyle w:val="FootnoteReference"/>
        </w:rPr>
        <w:footnoteReference w:id="71"/>
      </w:r>
      <w:r>
        <w:t xml:space="preserve">  </w:t>
      </w:r>
      <w:bookmarkStart w:id="0" w:name="_Ref132103236"/>
      <w:r w:rsidR="00920C78">
        <w:t xml:space="preserve">Etelix has been providing </w:t>
      </w:r>
      <w:r>
        <w:t xml:space="preserve">international telecommunications service </w:t>
      </w:r>
      <w:r w:rsidR="00920C78">
        <w:t xml:space="preserve">to Future Voice’s customers without </w:t>
      </w:r>
      <w:r w:rsidR="002E09A5">
        <w:t xml:space="preserve">Commission </w:t>
      </w:r>
      <w:r w:rsidR="00920C78">
        <w:t>authority since May 19, 2017.</w:t>
      </w:r>
      <w:r>
        <w:t xml:space="preserve"> </w:t>
      </w:r>
      <w:r w:rsidR="00920C78">
        <w:t xml:space="preserve"> </w:t>
      </w:r>
      <w:r>
        <w:t>We therefore find that this apparent violation of the Act and the Commission’s rules was repeated</w:t>
      </w:r>
      <w:r w:rsidR="000276C7">
        <w:t xml:space="preserve"> because it continued for more than four years</w:t>
      </w:r>
      <w:r>
        <w:t xml:space="preserve">.  </w:t>
      </w:r>
      <w:r w:rsidR="009F63D2">
        <w:t>As a carrier providing international telecommunications service, Etelix was required by both</w:t>
      </w:r>
      <w:r w:rsidR="009C524D">
        <w:t xml:space="preserve"> the</w:t>
      </w:r>
      <w:r>
        <w:t xml:space="preserve"> Act</w:t>
      </w:r>
      <w:r w:rsidR="00530085">
        <w:t xml:space="preserve"> and</w:t>
      </w:r>
      <w:r>
        <w:t xml:space="preserve"> the Commission’s rules and decisions to obtain section 214 authority from the Commission to </w:t>
      </w:r>
      <w:r w:rsidR="00DE048F">
        <w:t>continue providing service after its STA expired</w:t>
      </w:r>
      <w:r>
        <w:t>.</w:t>
      </w:r>
      <w:r>
        <w:rPr>
          <w:rStyle w:val="FootnoteReference"/>
        </w:rPr>
        <w:footnoteReference w:id="72"/>
      </w:r>
      <w:r>
        <w:t xml:space="preserve">  </w:t>
      </w:r>
      <w:r w:rsidR="00920C78">
        <w:t>Section 1.80(b)(</w:t>
      </w:r>
      <w:r w:rsidR="009E6B7A">
        <w:t>10</w:t>
      </w:r>
      <w:r w:rsidR="00920C78">
        <w:t>) provides that</w:t>
      </w:r>
      <w:r w:rsidR="009E6B7A">
        <w:t xml:space="preserve"> the base forfeiture for </w:t>
      </w:r>
      <w:r w:rsidR="006A674F">
        <w:t>operating without</w:t>
      </w:r>
      <w:r w:rsidR="009E6B7A">
        <w:t xml:space="preserve"> an instrument of authorization for service is $10,000.</w:t>
      </w:r>
      <w:r>
        <w:rPr>
          <w:rStyle w:val="FootnoteReference"/>
        </w:rPr>
        <w:footnoteReference w:id="73"/>
      </w:r>
      <w:r w:rsidR="00920C78">
        <w:t xml:space="preserve"> </w:t>
      </w:r>
      <w:r w:rsidR="009E6B7A">
        <w:t xml:space="preserve"> Accordingly, we </w:t>
      </w:r>
      <w:r w:rsidR="009F5DA8">
        <w:t>propose</w:t>
      </w:r>
      <w:r w:rsidR="009E6B7A">
        <w:t xml:space="preserve"> a base forfeiture of $10,000 for Etelix’s </w:t>
      </w:r>
      <w:r w:rsidR="00B04634">
        <w:t xml:space="preserve">continued </w:t>
      </w:r>
      <w:r w:rsidR="009E6B7A">
        <w:t>provi</w:t>
      </w:r>
      <w:r w:rsidR="00B04634">
        <w:t>sion</w:t>
      </w:r>
      <w:r w:rsidR="009E6B7A">
        <w:t xml:space="preserve"> </w:t>
      </w:r>
      <w:r w:rsidR="00B04634">
        <w:t xml:space="preserve">of </w:t>
      </w:r>
      <w:r w:rsidR="009E6B7A">
        <w:t>international telecommunications service to Future Voice’s customers</w:t>
      </w:r>
      <w:r w:rsidR="00B04634">
        <w:t>, without any FCC authorization</w:t>
      </w:r>
      <w:r w:rsidR="00774247">
        <w:t xml:space="preserve"> or special temporary authority</w:t>
      </w:r>
      <w:r w:rsidR="00B04634">
        <w:t>,</w:t>
      </w:r>
      <w:r w:rsidR="009E6B7A">
        <w:t xml:space="preserve"> during the pendency of the Future Voice Application.</w:t>
      </w:r>
      <w:r>
        <w:rPr>
          <w:rStyle w:val="FootnoteReference"/>
        </w:rPr>
        <w:footnoteReference w:id="74"/>
      </w:r>
    </w:p>
    <w:bookmarkEnd w:id="0"/>
    <w:p w:rsidR="005B0D28" w:rsidP="00A20E55" w14:paraId="048969F9" w14:textId="269EBAD7">
      <w:pPr>
        <w:pStyle w:val="ParaNum"/>
        <w:numPr>
          <w:ilvl w:val="0"/>
          <w:numId w:val="2"/>
        </w:numPr>
        <w:tabs>
          <w:tab w:val="clear" w:pos="1080"/>
          <w:tab w:val="num" w:pos="1440"/>
        </w:tabs>
      </w:pPr>
      <w:r>
        <w:t xml:space="preserve">Additionally, </w:t>
      </w:r>
      <w:r w:rsidR="00BC01B0">
        <w:t xml:space="preserve">because </w:t>
      </w:r>
      <w:r>
        <w:t xml:space="preserve">Etelix </w:t>
      </w:r>
      <w:r w:rsidR="00592EC9">
        <w:t>fail</w:t>
      </w:r>
      <w:r>
        <w:t>ed</w:t>
      </w:r>
      <w:r w:rsidR="00592EC9">
        <w:t xml:space="preserve"> to notify the Commission regarding </w:t>
      </w:r>
      <w:r w:rsidR="00D35AC9">
        <w:t>its</w:t>
      </w:r>
      <w:r>
        <w:t xml:space="preserve"> </w:t>
      </w:r>
      <w:r w:rsidRPr="00592EC9" w:rsidR="00592EC9">
        <w:rPr>
          <w:i/>
          <w:iCs/>
        </w:rPr>
        <w:t>pro forma</w:t>
      </w:r>
      <w:r w:rsidR="00592EC9">
        <w:t xml:space="preserve"> changes in ownership</w:t>
      </w:r>
      <w:r w:rsidR="00155547">
        <w:t xml:space="preserve"> on three separate occasions, </w:t>
      </w:r>
      <w:r>
        <w:t>we find that this apparent violation of the Commission’s rules was repeated.  S</w:t>
      </w:r>
      <w:r w:rsidR="00134011">
        <w:t>ection 1.80(b)(10)</w:t>
      </w:r>
      <w:r>
        <w:t xml:space="preserve"> of the Commission’s rules</w:t>
      </w:r>
      <w:r w:rsidR="00134011">
        <w:t xml:space="preserve"> specifically provides a base forfeiture amount of $1,000 for an unauthorized </w:t>
      </w:r>
      <w:r w:rsidRPr="00134011" w:rsidR="00134011">
        <w:rPr>
          <w:i/>
          <w:iCs/>
        </w:rPr>
        <w:t>pro forma</w:t>
      </w:r>
      <w:r w:rsidR="00134011">
        <w:t xml:space="preserve"> transfer of control.</w:t>
      </w:r>
      <w:r>
        <w:rPr>
          <w:rStyle w:val="FootnoteReference"/>
        </w:rPr>
        <w:footnoteReference w:id="75"/>
      </w:r>
      <w:r w:rsidR="00356AA1">
        <w:t xml:space="preserve">  We then multiply this amount by t</w:t>
      </w:r>
      <w:r w:rsidR="00155547">
        <w:t>hree</w:t>
      </w:r>
      <w:r w:rsidR="00356AA1">
        <w:t xml:space="preserve"> for each of Etelix’s unauthorized </w:t>
      </w:r>
      <w:r w:rsidRPr="00356AA1" w:rsidR="00356AA1">
        <w:rPr>
          <w:i/>
          <w:iCs/>
        </w:rPr>
        <w:t>pro forma</w:t>
      </w:r>
      <w:r w:rsidR="00356AA1">
        <w:t xml:space="preserve"> transfers of control, resulting in a </w:t>
      </w:r>
      <w:r w:rsidR="009F5DA8">
        <w:t xml:space="preserve">proposed </w:t>
      </w:r>
      <w:r w:rsidR="00356AA1">
        <w:t>base forfeiture amount of $</w:t>
      </w:r>
      <w:r w:rsidR="00B1304C">
        <w:t>3</w:t>
      </w:r>
      <w:r w:rsidR="00356AA1">
        <w:t>,000 for</w:t>
      </w:r>
      <w:r w:rsidR="009F5DA8">
        <w:t xml:space="preserve"> its apparent</w:t>
      </w:r>
      <w:r w:rsidR="00356AA1">
        <w:t xml:space="preserve"> failure to notify the Commission of </w:t>
      </w:r>
      <w:r w:rsidRPr="00356AA1" w:rsidR="00356AA1">
        <w:rPr>
          <w:i/>
          <w:iCs/>
        </w:rPr>
        <w:t>pro forma</w:t>
      </w:r>
      <w:r w:rsidR="00356AA1">
        <w:t xml:space="preserve"> changes in ownership of Etelix.</w:t>
      </w:r>
    </w:p>
    <w:p w:rsidR="00356AA1" w:rsidP="00043465" w14:paraId="05618869" w14:textId="520C244B">
      <w:pPr>
        <w:pStyle w:val="ParaNum"/>
        <w:widowControl/>
        <w:numPr>
          <w:ilvl w:val="0"/>
          <w:numId w:val="2"/>
        </w:numPr>
        <w:tabs>
          <w:tab w:val="clear" w:pos="1080"/>
          <w:tab w:val="num" w:pos="1440"/>
        </w:tabs>
      </w:pPr>
      <w:r>
        <w:t>Lastly</w:t>
      </w:r>
      <w:r>
        <w:t xml:space="preserve">, </w:t>
      </w:r>
      <w:r>
        <w:t xml:space="preserve">we find that </w:t>
      </w:r>
      <w:r>
        <w:t xml:space="preserve">Etelix </w:t>
      </w:r>
      <w:r w:rsidR="00956ABB">
        <w:t xml:space="preserve">repeatedly </w:t>
      </w:r>
      <w:r>
        <w:t xml:space="preserve">failed to </w:t>
      </w:r>
      <w:r w:rsidR="00036425">
        <w:t xml:space="preserve">update its pending Future Voice Application regarding </w:t>
      </w:r>
      <w:r>
        <w:t>the</w:t>
      </w:r>
      <w:r w:rsidR="00036425">
        <w:t xml:space="preserve"> changes in</w:t>
      </w:r>
      <w:r>
        <w:t xml:space="preserve"> the </w:t>
      </w:r>
      <w:r w:rsidR="00D35AC9">
        <w:t>it</w:t>
      </w:r>
      <w:r>
        <w:t>s</w:t>
      </w:r>
      <w:r w:rsidR="00036425">
        <w:t xml:space="preserve"> ownership structure</w:t>
      </w:r>
      <w:r>
        <w:t xml:space="preserve"> as required by section 1.65 of the Commission’s rules</w:t>
      </w:r>
      <w:r w:rsidR="00036425">
        <w:t>.  Section 1.80(b)(10) provides a base forfeiture amount of $3,000 for failure to file required information with the Commission.</w:t>
      </w:r>
      <w:r>
        <w:rPr>
          <w:rStyle w:val="FootnoteReference"/>
        </w:rPr>
        <w:footnoteReference w:id="76"/>
      </w:r>
      <w:r w:rsidR="00036425">
        <w:t xml:space="preserve">  Accordingly, we</w:t>
      </w:r>
      <w:r w:rsidR="009F5DA8">
        <w:t xml:space="preserve"> propose</w:t>
      </w:r>
      <w:r w:rsidR="00036425">
        <w:t xml:space="preserve"> a base forfeiture of $3,000 for </w:t>
      </w:r>
      <w:r w:rsidR="00036425">
        <w:t>Etelix’s</w:t>
      </w:r>
      <w:r w:rsidR="009F5DA8">
        <w:t xml:space="preserve"> </w:t>
      </w:r>
      <w:r w:rsidR="00036425">
        <w:t>failure t</w:t>
      </w:r>
      <w:r w:rsidR="00BC01B0">
        <w:t>o</w:t>
      </w:r>
      <w:r w:rsidR="00036425">
        <w:t xml:space="preserve"> amend its pending 2016 Future Voice </w:t>
      </w:r>
      <w:r w:rsidR="00E64FD5">
        <w:t>A</w:t>
      </w:r>
      <w:r w:rsidR="00036425">
        <w:t xml:space="preserve">pplication to reflect </w:t>
      </w:r>
      <w:r w:rsidR="00E64FD5">
        <w:t>the</w:t>
      </w:r>
      <w:r w:rsidR="00036425">
        <w:t xml:space="preserve"> </w:t>
      </w:r>
      <w:r w:rsidRPr="00036425" w:rsidR="00036425">
        <w:rPr>
          <w:i/>
          <w:iCs/>
        </w:rPr>
        <w:t>pro forma</w:t>
      </w:r>
      <w:r w:rsidR="00036425">
        <w:t xml:space="preserve"> changes in ownership</w:t>
      </w:r>
      <w:r w:rsidR="001F3D9C">
        <w:t>, in apparent violation of section 1.65 of the Commission’s rules</w:t>
      </w:r>
      <w:r w:rsidR="00036425">
        <w:t>.</w:t>
      </w:r>
    </w:p>
    <w:p w:rsidR="00FE3212" w:rsidP="00A20E55" w14:paraId="0E8EF996" w14:textId="12541DF5">
      <w:pPr>
        <w:pStyle w:val="ParaNum"/>
        <w:numPr>
          <w:ilvl w:val="0"/>
          <w:numId w:val="2"/>
        </w:numPr>
        <w:tabs>
          <w:tab w:val="clear" w:pos="1080"/>
          <w:tab w:val="num" w:pos="1440"/>
        </w:tabs>
      </w:pPr>
      <w:r>
        <w:t xml:space="preserve">Based on the facts and record in this case, we have determined that Etelix apparently violated </w:t>
      </w:r>
      <w:r w:rsidR="00AC4BE0">
        <w:t xml:space="preserve">section 214 of the Act and </w:t>
      </w:r>
      <w:r>
        <w:t>sections</w:t>
      </w:r>
      <w:r>
        <w:t xml:space="preserve"> 1.65, </w:t>
      </w:r>
      <w:r w:rsidR="00956ABB">
        <w:t xml:space="preserve">63.21(a), </w:t>
      </w:r>
      <w:r>
        <w:t xml:space="preserve">63.24(f) and 63.25(b) of the Commission’s rules by: (1) failing to obtain special temporary authority to service Future Voice’s customers; (2) failing to notify the Commission of </w:t>
      </w:r>
      <w:r w:rsidR="00B1304C">
        <w:t>three</w:t>
      </w:r>
      <w:r>
        <w:t xml:space="preserve"> </w:t>
      </w:r>
      <w:r w:rsidRPr="00E64FD5">
        <w:rPr>
          <w:i/>
          <w:iCs/>
        </w:rPr>
        <w:t>pro forma</w:t>
      </w:r>
      <w:r>
        <w:t xml:space="preserve"> transfers of control of Etelix; and (3) failing to update its pending application to reflect the </w:t>
      </w:r>
      <w:r w:rsidRPr="00E64FD5">
        <w:rPr>
          <w:i/>
          <w:iCs/>
        </w:rPr>
        <w:t>pro forma</w:t>
      </w:r>
      <w:r>
        <w:t xml:space="preserve"> changes in ownership.  In total, Etelix’s apparent violations incur a </w:t>
      </w:r>
      <w:r w:rsidR="00BF1575">
        <w:t xml:space="preserve">proposed </w:t>
      </w:r>
      <w:r>
        <w:t>cumulative base forfeiture of $1</w:t>
      </w:r>
      <w:r w:rsidR="00B1304C">
        <w:t>6</w:t>
      </w:r>
      <w:r>
        <w:t>,000.</w:t>
      </w:r>
    </w:p>
    <w:p w:rsidR="00B402B5" w:rsidP="00A20E55" w14:paraId="14FDD193" w14:textId="24DD30EE">
      <w:pPr>
        <w:pStyle w:val="ParaNum"/>
        <w:numPr>
          <w:ilvl w:val="0"/>
          <w:numId w:val="2"/>
        </w:numPr>
        <w:tabs>
          <w:tab w:val="clear" w:pos="1080"/>
          <w:tab w:val="num" w:pos="1440"/>
        </w:tabs>
      </w:pPr>
      <w:r>
        <w:t>The Commission may also adjust the total proposed forfeiture by taking into account the nature, circumstances, extent, and gravity of the violation and, with respect to the violator, the degree of culpability, any history of prior offenses, ability to pay, and such other matters as justice may require.</w:t>
      </w:r>
      <w:r>
        <w:rPr>
          <w:rStyle w:val="FootnoteReference"/>
        </w:rPr>
        <w:footnoteReference w:id="77"/>
      </w:r>
      <w:r>
        <w:t xml:space="preserve">   We believe that an upward adjustment is warranted in this instance.  </w:t>
      </w:r>
    </w:p>
    <w:p w:rsidR="00B402B5" w:rsidP="00A20E55" w14:paraId="6B3ABD34" w14:textId="204A03A8">
      <w:pPr>
        <w:pStyle w:val="ParaNum"/>
        <w:numPr>
          <w:ilvl w:val="0"/>
          <w:numId w:val="2"/>
        </w:numPr>
        <w:tabs>
          <w:tab w:val="clear" w:pos="1080"/>
          <w:tab w:val="num" w:pos="1440"/>
        </w:tabs>
      </w:pPr>
      <w:r>
        <w:t xml:space="preserve">Although we are assessing the Commission’s forfeitures for Etelix’s conduct during the past year, these violations apparently occurred over several years and are continuing today.  </w:t>
      </w:r>
      <w:r w:rsidR="001F2E6E">
        <w:t>C</w:t>
      </w:r>
      <w:r w:rsidR="00A665CB">
        <w:t>arriers that hold C</w:t>
      </w:r>
      <w:r w:rsidR="001F2E6E">
        <w:t xml:space="preserve">ommission </w:t>
      </w:r>
      <w:r w:rsidR="00A665CB">
        <w:t>authorizations</w:t>
      </w:r>
      <w:r w:rsidR="001F2E6E">
        <w:t xml:space="preserve"> are expected to understand and comply with the requirements and obligations associated with the </w:t>
      </w:r>
      <w:r w:rsidR="00A665CB">
        <w:t>authorizations</w:t>
      </w:r>
      <w:r w:rsidR="001F2E6E">
        <w:t xml:space="preserve"> they are granted.  </w:t>
      </w:r>
      <w:r>
        <w:t xml:space="preserve">Additionally, Etelix </w:t>
      </w:r>
      <w:r w:rsidR="00EB09B3">
        <w:t xml:space="preserve">submitted an LOI Response with incorrect information regarding </w:t>
      </w:r>
      <w:r>
        <w:t>Mr. Iglesias</w:t>
      </w:r>
      <w:r w:rsidR="002C0A40">
        <w:t>’</w:t>
      </w:r>
      <w:r>
        <w:t xml:space="preserve"> Preferred </w:t>
      </w:r>
      <w:r w:rsidR="0067557E">
        <w:t>Series A s</w:t>
      </w:r>
      <w:r>
        <w:t xml:space="preserve">tock </w:t>
      </w:r>
      <w:r w:rsidR="0067557E">
        <w:t xml:space="preserve">distribution and </w:t>
      </w:r>
      <w:r>
        <w:t>ownership.</w:t>
      </w:r>
      <w:r>
        <w:rPr>
          <w:rStyle w:val="FootnoteReference"/>
        </w:rPr>
        <w:footnoteReference w:id="78"/>
      </w:r>
      <w:r>
        <w:t xml:space="preserve">  It was only after </w:t>
      </w:r>
      <w:r w:rsidR="002E09A5">
        <w:t xml:space="preserve">repeated </w:t>
      </w:r>
      <w:r>
        <w:t xml:space="preserve">attempts by </w:t>
      </w:r>
      <w:r w:rsidR="00BC01B0">
        <w:t xml:space="preserve">Bureau </w:t>
      </w:r>
      <w:r>
        <w:t xml:space="preserve">staff </w:t>
      </w:r>
      <w:r w:rsidR="00155547">
        <w:t xml:space="preserve">to clarify the submission </w:t>
      </w:r>
      <w:r>
        <w:t xml:space="preserve">that Etelix provided the correct information regarding </w:t>
      </w:r>
      <w:r w:rsidR="00956ABB">
        <w:t xml:space="preserve">the issuance of </w:t>
      </w:r>
      <w:r w:rsidR="001F2E6E">
        <w:t xml:space="preserve">Preferred Stock </w:t>
      </w:r>
      <w:r w:rsidR="00956ABB">
        <w:t>to Mr. Iglesias</w:t>
      </w:r>
      <w:r w:rsidR="001F2E6E">
        <w:t>.  Responses to FCC inquiries must be complete and reliable in order for the Commission to arrive at well</w:t>
      </w:r>
      <w:r w:rsidR="00BC01B0">
        <w:t>-</w:t>
      </w:r>
      <w:r w:rsidR="001F2E6E">
        <w:t>informed</w:t>
      </w:r>
      <w:r w:rsidR="00BC01B0">
        <w:t>,</w:t>
      </w:r>
      <w:r w:rsidR="001F2E6E">
        <w:t xml:space="preserve"> accurate resolutions.</w:t>
      </w:r>
      <w:r>
        <w:rPr>
          <w:rStyle w:val="FootnoteReference"/>
        </w:rPr>
        <w:footnoteReference w:id="79"/>
      </w:r>
      <w:r w:rsidR="001F2E6E">
        <w:t xml:space="preserve"> </w:t>
      </w:r>
      <w:r w:rsidR="00EB09B3">
        <w:t xml:space="preserve"> </w:t>
      </w:r>
      <w:r w:rsidR="001D1556">
        <w:t>Etelix apparently violated section 1.17</w:t>
      </w:r>
      <w:r w:rsidR="00706A88">
        <w:t>(</w:t>
      </w:r>
      <w:r w:rsidR="001D1556">
        <w:t>a</w:t>
      </w:r>
      <w:r w:rsidR="00706A88">
        <w:t>)</w:t>
      </w:r>
      <w:r w:rsidR="001D1556">
        <w:t xml:space="preserve">(2) by providing factual information that was incorrect.  </w:t>
      </w:r>
      <w:r w:rsidR="00FD3862">
        <w:t>Etelix apparently failed to conduct even m</w:t>
      </w:r>
      <w:r w:rsidR="001D1556">
        <w:t>inimal due diligence</w:t>
      </w:r>
      <w:r w:rsidR="00FD3862">
        <w:t xml:space="preserve">:  </w:t>
      </w:r>
      <w:r w:rsidR="00BC01B0">
        <w:t>I</w:t>
      </w:r>
      <w:r w:rsidR="00FD3862">
        <w:t xml:space="preserve">ts </w:t>
      </w:r>
      <w:r w:rsidR="001D1556">
        <w:t>own S</w:t>
      </w:r>
      <w:r w:rsidR="00BC01B0">
        <w:t xml:space="preserve">ecurities and </w:t>
      </w:r>
      <w:r w:rsidR="001D1556">
        <w:t>E</w:t>
      </w:r>
      <w:r w:rsidR="00BC01B0">
        <w:t xml:space="preserve">xchange </w:t>
      </w:r>
      <w:r w:rsidR="001D1556">
        <w:t>C</w:t>
      </w:r>
      <w:r w:rsidR="00BC01B0">
        <w:t>ommission</w:t>
      </w:r>
      <w:r w:rsidR="001D1556">
        <w:t xml:space="preserve"> filings revealed that the Preferred Series A stock was not issued to Mr. Iglesias until December of 2020, not August of 2019 as </w:t>
      </w:r>
      <w:r w:rsidR="00FD3862">
        <w:t xml:space="preserve">Etelix </w:t>
      </w:r>
      <w:r w:rsidR="001D1556">
        <w:t xml:space="preserve">reported </w:t>
      </w:r>
      <w:r w:rsidR="00706A88">
        <w:t>to the Bureau.</w:t>
      </w:r>
      <w:r>
        <w:rPr>
          <w:rStyle w:val="FootnoteReference"/>
        </w:rPr>
        <w:footnoteReference w:id="80"/>
      </w:r>
      <w:r w:rsidR="00706A88">
        <w:t xml:space="preserve">  </w:t>
      </w:r>
      <w:r w:rsidR="00FD3862">
        <w:t>When a Commission regulate</w:t>
      </w:r>
      <w:r w:rsidR="00BC01B0">
        <w:t>e</w:t>
      </w:r>
      <w:r w:rsidR="00FD3862">
        <w:t xml:space="preserve"> s</w:t>
      </w:r>
      <w:r w:rsidR="00066060">
        <w:t>ubmit</w:t>
      </w:r>
      <w:r w:rsidR="00FD3862">
        <w:t>s</w:t>
      </w:r>
      <w:r w:rsidR="00066060">
        <w:t xml:space="preserve"> m</w:t>
      </w:r>
      <w:r w:rsidR="00EB09B3">
        <w:t>isleading</w:t>
      </w:r>
      <w:r w:rsidR="00066060">
        <w:t xml:space="preserve"> information in </w:t>
      </w:r>
      <w:r w:rsidR="00FD3862">
        <w:t xml:space="preserve">a Commission </w:t>
      </w:r>
      <w:r w:rsidR="00EB09B3">
        <w:t xml:space="preserve">enforcement </w:t>
      </w:r>
      <w:r w:rsidR="00FD3862">
        <w:t>investigation,</w:t>
      </w:r>
      <w:r w:rsidR="00EB09B3">
        <w:t xml:space="preserve"> </w:t>
      </w:r>
      <w:r w:rsidR="00FD3862">
        <w:t xml:space="preserve">these efforts </w:t>
      </w:r>
      <w:r w:rsidR="00EB09B3">
        <w:t>could be construed as willfully seeking to evade lawful enforcement actions.</w:t>
      </w:r>
      <w:r>
        <w:rPr>
          <w:rStyle w:val="FootnoteReference"/>
        </w:rPr>
        <w:footnoteReference w:id="81"/>
      </w:r>
      <w:r w:rsidR="00EB09B3">
        <w:t xml:space="preserve">  </w:t>
      </w:r>
      <w:r w:rsidR="00FC35A5">
        <w:t xml:space="preserve">Misconduct of this type warrants an upward adjustment because it exhibits a disregard for the Commission’s authority and threatens to compromise the </w:t>
      </w:r>
      <w:r w:rsidR="001F3D9C">
        <w:t xml:space="preserve">Commission’s </w:t>
      </w:r>
      <w:r w:rsidR="00FC35A5">
        <w:t>ability to investigate violations of its rules.</w:t>
      </w:r>
      <w:r>
        <w:rPr>
          <w:rStyle w:val="FootnoteReference"/>
        </w:rPr>
        <w:footnoteReference w:id="82"/>
      </w:r>
      <w:r w:rsidR="006901B5">
        <w:t xml:space="preserve">  </w:t>
      </w:r>
      <w:r>
        <w:t>In this instance,</w:t>
      </w:r>
      <w:r w:rsidR="001F2E6E">
        <w:t xml:space="preserve"> the delay in providing</w:t>
      </w:r>
      <w:r w:rsidR="00EB09B3">
        <w:t xml:space="preserve"> accurate and</w:t>
      </w:r>
      <w:r w:rsidR="001F2E6E">
        <w:t xml:space="preserve"> reliable information</w:t>
      </w:r>
      <w:r>
        <w:t xml:space="preserve"> </w:t>
      </w:r>
      <w:r w:rsidR="008E7364">
        <w:t xml:space="preserve">in response to an LOI </w:t>
      </w:r>
      <w:r w:rsidR="001F2E6E">
        <w:t>warrant</w:t>
      </w:r>
      <w:r w:rsidR="00FD3862">
        <w:t>s</w:t>
      </w:r>
      <w:r w:rsidR="001F2E6E">
        <w:t xml:space="preserve"> </w:t>
      </w:r>
      <w:r>
        <w:t>an upward adjustment</w:t>
      </w:r>
      <w:r w:rsidR="001F2E6E">
        <w:t>.</w:t>
      </w:r>
      <w:r>
        <w:rPr>
          <w:rStyle w:val="FootnoteReference"/>
        </w:rPr>
        <w:footnoteReference w:id="83"/>
      </w:r>
      <w:r>
        <w:t xml:space="preserve"> </w:t>
      </w:r>
      <w:r w:rsidR="001F2E6E">
        <w:t xml:space="preserve"> </w:t>
      </w:r>
      <w:r>
        <w:t xml:space="preserve">Given the totality of the circumstances here, and consistent with the Forfeiture Policy Statement, we propose an upward adjustment of </w:t>
      </w:r>
      <w:r w:rsidR="00E512F1">
        <w:t>$</w:t>
      </w:r>
      <w:r w:rsidR="00B1304C">
        <w:t>4</w:t>
      </w:r>
      <w:r w:rsidR="00E512F1">
        <w:t>,000</w:t>
      </w:r>
      <w:r>
        <w:t>, for a total forfeiture of $2</w:t>
      </w:r>
      <w:r w:rsidR="00E512F1">
        <w:t xml:space="preserve">0,000 </w:t>
      </w:r>
      <w:r>
        <w:t xml:space="preserve">for </w:t>
      </w:r>
      <w:r w:rsidR="00E512F1">
        <w:t xml:space="preserve">Etelix’s </w:t>
      </w:r>
      <w:r>
        <w:t>apparent rule violations</w:t>
      </w:r>
      <w:r w:rsidR="00E512F1">
        <w:t>.</w:t>
      </w:r>
      <w:r>
        <w:rPr>
          <w:rStyle w:val="FootnoteReference"/>
        </w:rPr>
        <w:footnoteReference w:id="84"/>
      </w:r>
      <w:r>
        <w:t xml:space="preserve"> </w:t>
      </w:r>
    </w:p>
    <w:p w:rsidR="00B402B5" w:rsidP="00573F5C" w14:paraId="477958F8" w14:textId="77777777">
      <w:pPr>
        <w:pStyle w:val="Heading1"/>
        <w:widowControl/>
      </w:pPr>
      <w:r>
        <w:t xml:space="preserve">ORDERING CLAUSES </w:t>
      </w:r>
    </w:p>
    <w:p w:rsidR="00B402B5" w:rsidP="00A20E55" w14:paraId="1556FD49" w14:textId="3A1BD513">
      <w:pPr>
        <w:pStyle w:val="ParaNum"/>
        <w:numPr>
          <w:ilvl w:val="0"/>
          <w:numId w:val="2"/>
        </w:numPr>
        <w:tabs>
          <w:tab w:val="clear" w:pos="1080"/>
          <w:tab w:val="num" w:pos="1440"/>
        </w:tabs>
      </w:pPr>
      <w:r>
        <w:t xml:space="preserve">Accordingly, </w:t>
      </w:r>
      <w:r w:rsidRPr="00E512F1">
        <w:rPr>
          <w:b/>
          <w:bCs/>
        </w:rPr>
        <w:t>IT IS ORDERED</w:t>
      </w:r>
      <w:r>
        <w:t xml:space="preserve"> that, pursuant to section 503(b) of the Act, and 1.80 of the Commission’s rules, </w:t>
      </w:r>
      <w:r w:rsidR="00E512F1">
        <w:t xml:space="preserve">Etelix.com USA, LLC </w:t>
      </w:r>
      <w:r w:rsidRPr="007E395E" w:rsidR="000C510F">
        <w:rPr>
          <w:b/>
          <w:bCs/>
        </w:rPr>
        <w:t>IS HEREBY</w:t>
      </w:r>
      <w:r w:rsidRPr="00C322FE" w:rsidR="000C510F">
        <w:rPr>
          <w:b/>
        </w:rPr>
        <w:t xml:space="preserve"> </w:t>
      </w:r>
      <w:r w:rsidRPr="000C510F" w:rsidR="000C510F">
        <w:rPr>
          <w:b/>
          <w:bCs/>
        </w:rPr>
        <w:t>NOTIFIED</w:t>
      </w:r>
      <w:r w:rsidR="000C510F">
        <w:t xml:space="preserve"> </w:t>
      </w:r>
      <w:r>
        <w:t xml:space="preserve">of this </w:t>
      </w:r>
      <w:r w:rsidRPr="00E512F1">
        <w:rPr>
          <w:b/>
          <w:bCs/>
        </w:rPr>
        <w:t>APPARENT LIABILITY FOR A FORFEITURE</w:t>
      </w:r>
      <w:r>
        <w:t xml:space="preserve"> in the amount of</w:t>
      </w:r>
      <w:r w:rsidR="00E512F1">
        <w:t xml:space="preserve"> twenty thousand dollars ($20,000)</w:t>
      </w:r>
      <w:r>
        <w:t xml:space="preserve"> for apparently </w:t>
      </w:r>
      <w:r>
        <w:t xml:space="preserve">willfully </w:t>
      </w:r>
      <w:r w:rsidR="00C5124D">
        <w:t xml:space="preserve">or </w:t>
      </w:r>
      <w:r>
        <w:t>repeatedly violating</w:t>
      </w:r>
      <w:r w:rsidR="00266CD3">
        <w:t xml:space="preserve"> section 214 of the Act and </w:t>
      </w:r>
      <w:r>
        <w:t>sections</w:t>
      </w:r>
      <w:r w:rsidR="00E512F1">
        <w:t xml:space="preserve"> 1.65, </w:t>
      </w:r>
      <w:r w:rsidR="00956ABB">
        <w:t xml:space="preserve">63.21(a), </w:t>
      </w:r>
      <w:r w:rsidR="00E512F1">
        <w:t xml:space="preserve">63.24(f) and 63.25(b) </w:t>
      </w:r>
      <w:r>
        <w:t xml:space="preserve">of the Commission’s rules.  </w:t>
      </w:r>
    </w:p>
    <w:p w:rsidR="00B402B5" w:rsidP="00A20E55" w14:paraId="453F8F2B" w14:textId="00895B5F">
      <w:pPr>
        <w:pStyle w:val="ParaNum"/>
        <w:numPr>
          <w:ilvl w:val="0"/>
          <w:numId w:val="2"/>
        </w:numPr>
        <w:tabs>
          <w:tab w:val="clear" w:pos="1080"/>
          <w:tab w:val="num" w:pos="1440"/>
        </w:tabs>
      </w:pPr>
      <w:r w:rsidRPr="00E512F1">
        <w:rPr>
          <w:b/>
          <w:bCs/>
        </w:rPr>
        <w:t>IT IS FURTHER ORDERED</w:t>
      </w:r>
      <w:r>
        <w:t xml:space="preserve"> that, pursuant to section 1.80 of the Commission’s rules,</w:t>
      </w:r>
      <w:r>
        <w:rPr>
          <w:rStyle w:val="FootnoteReference"/>
        </w:rPr>
        <w:footnoteReference w:id="85"/>
      </w:r>
      <w:r>
        <w:t xml:space="preserve"> within thirty (30) calendar days of the release date of this Notice of Apparent Liability for Forfeiture, </w:t>
      </w:r>
      <w:r w:rsidR="00E512F1">
        <w:t>Etelix</w:t>
      </w:r>
      <w:r w:rsidR="00D70880">
        <w:t>.com USA, LLC</w:t>
      </w:r>
      <w:r w:rsidR="00E512F1">
        <w:t xml:space="preserve"> </w:t>
      </w:r>
      <w:r w:rsidRPr="00E512F1">
        <w:rPr>
          <w:b/>
          <w:bCs/>
        </w:rPr>
        <w:t>SHALL PAY</w:t>
      </w:r>
      <w:r>
        <w:t xml:space="preserve"> the full amount of </w:t>
      </w:r>
      <w:r w:rsidR="00E512F1">
        <w:t>its</w:t>
      </w:r>
      <w:r>
        <w:t xml:space="preserve"> proposed forfeiture or </w:t>
      </w:r>
      <w:r w:rsidRPr="00E512F1">
        <w:rPr>
          <w:b/>
          <w:bCs/>
        </w:rPr>
        <w:t>SHALL FILE</w:t>
      </w:r>
      <w:r>
        <w:t xml:space="preserve"> a written statement seeking reduction or cancellation of the proposed forfeiture consistent with paragraph </w:t>
      </w:r>
      <w:r w:rsidR="00E268C8">
        <w:t>30</w:t>
      </w:r>
      <w:r>
        <w:t xml:space="preserve"> below. </w:t>
      </w:r>
    </w:p>
    <w:p w:rsidR="00B402B5" w:rsidP="00A20E55" w14:paraId="3264408F" w14:textId="1D9CAEE1">
      <w:pPr>
        <w:pStyle w:val="ParaNum"/>
        <w:numPr>
          <w:ilvl w:val="0"/>
          <w:numId w:val="2"/>
        </w:numPr>
        <w:tabs>
          <w:tab w:val="clear" w:pos="1080"/>
          <w:tab w:val="num" w:pos="1440"/>
        </w:tabs>
      </w:pPr>
      <w:r>
        <w:t xml:space="preserve">Etelix </w:t>
      </w:r>
      <w:r>
        <w:t xml:space="preserve">shall send electronic notification of payment to Georgina Feigen, Enforcement Bureau, Federal Communications Commission, at </w:t>
      </w:r>
      <w:hyperlink r:id="rId5" w:history="1">
        <w:r w:rsidRPr="000C122E" w:rsidR="000C510F">
          <w:rPr>
            <w:rStyle w:val="Hyperlink"/>
          </w:rPr>
          <w:t>Georgina.Feigen@fcc.gov</w:t>
        </w:r>
      </w:hyperlink>
      <w:r w:rsidR="000C510F">
        <w:t xml:space="preserve"> </w:t>
      </w:r>
      <w:r>
        <w:t>on the date said payment is made.  Payment of the forfeiture must be made by credit card</w:t>
      </w:r>
      <w:r w:rsidR="008D4835">
        <w:t xml:space="preserve"> using the Commission’s Registration System (CORES) at </w:t>
      </w:r>
      <w:hyperlink r:id="rId6" w:history="1">
        <w:r w:rsidRPr="00BA069F" w:rsidR="008D4835">
          <w:rPr>
            <w:rStyle w:val="Hyperlink"/>
          </w:rPr>
          <w:t>https://apps.fcc.gov/cores/userLogin.do</w:t>
        </w:r>
      </w:hyperlink>
      <w:r>
        <w:t>, ACH (Automated Clearing House) debit from a bank account</w:t>
      </w:r>
      <w:r w:rsidR="00D70880">
        <w:t>,</w:t>
      </w:r>
      <w:r>
        <w:t xml:space="preserve"> or by wire transfer</w:t>
      </w:r>
      <w:r w:rsidR="00D70880">
        <w:t xml:space="preserve"> </w:t>
      </w:r>
      <w:r w:rsidR="0026792F">
        <w:t>from a bank account.</w:t>
      </w:r>
      <w:r>
        <w:t xml:space="preserve">  The Commission no longer accepts </w:t>
      </w:r>
      <w:r w:rsidR="00D70880">
        <w:t xml:space="preserve">Civil Penalty </w:t>
      </w:r>
      <w:r>
        <w:t>payments by check or money order.  Below are instructions that payors should follow based on the form of payment selected:</w:t>
      </w:r>
      <w:r>
        <w:rPr>
          <w:rStyle w:val="FootnoteReference"/>
        </w:rPr>
        <w:footnoteReference w:id="86"/>
      </w:r>
      <w:r>
        <w:t xml:space="preserve"> </w:t>
      </w:r>
    </w:p>
    <w:p w:rsidR="00B402B5" w:rsidP="00573F5C" w14:paraId="4B0D82EB" w14:textId="4FA683BF">
      <w:pPr>
        <w:pStyle w:val="ParaNum"/>
        <w:widowControl/>
        <w:numPr>
          <w:ilvl w:val="0"/>
          <w:numId w:val="15"/>
        </w:numPr>
      </w:pPr>
      <w:r>
        <w:t xml:space="preserve">Payment by wire transfer must be made to ABA Number 021030004, receiving bank TREAS/NYC, and Account Number 27000001.  </w:t>
      </w:r>
      <w:r w:rsidR="004C3B84">
        <w:t xml:space="preserve">In the OBI field, enter the FRN(s) captioned above and the </w:t>
      </w:r>
      <w:r w:rsidRPr="009716F7" w:rsidR="004C3B84">
        <w:t>letters “FORF”</w:t>
      </w:r>
      <w:r w:rsidR="004C3B84">
        <w:t>.</w:t>
      </w:r>
      <w:r w:rsidRPr="009716F7" w:rsidR="004C3B84">
        <w:t xml:space="preserve">  </w:t>
      </w:r>
      <w:r w:rsidR="004C3B84">
        <w:t>In addition, a</w:t>
      </w:r>
      <w:r>
        <w:t xml:space="preserve"> completed Form 159</w:t>
      </w:r>
      <w:r>
        <w:rPr>
          <w:rStyle w:val="FootnoteReference"/>
        </w:rPr>
        <w:footnoteReference w:id="87"/>
      </w:r>
      <w:r w:rsidR="004C3B84">
        <w:t xml:space="preserve"> or printed CORES form</w:t>
      </w:r>
      <w:r>
        <w:rPr>
          <w:rStyle w:val="FootnoteReference"/>
        </w:rPr>
        <w:footnoteReference w:id="88"/>
      </w:r>
      <w:r>
        <w:t xml:space="preserve"> must be faxed to the Federal Communications Commission at 202-418-2843 or e-mailed to </w:t>
      </w:r>
      <w:hyperlink r:id="rId7" w:history="1">
        <w:r w:rsidRPr="000C122E" w:rsidR="00200831">
          <w:rPr>
            <w:rStyle w:val="Hyperlink"/>
          </w:rPr>
          <w:t>RROGWireFaxes@fcc.gov</w:t>
        </w:r>
      </w:hyperlink>
      <w:r>
        <w:t xml:space="preserve"> on the same business day the wire transfer is initiated.  Failure to provide all required information in Form 159 </w:t>
      </w:r>
      <w:r w:rsidR="004C3B84">
        <w:t>or CORES</w:t>
      </w:r>
      <w:r w:rsidR="008D4835">
        <w:t xml:space="preserve"> </w:t>
      </w:r>
      <w:r>
        <w:t>may result in payment not being recognized as having been received.  When completing FCC Form 159</w:t>
      </w:r>
      <w:r w:rsidR="008D4835">
        <w:t xml:space="preserve"> or CORES</w:t>
      </w:r>
      <w:r>
        <w:t>, enter the Account Number in block number 23A (call sign/other ID), enter the letters “FORF” in block number 24A (payment type code), and enter in block number 11 the FRN(s) captioned above (Payor FRN).</w:t>
      </w:r>
      <w:r>
        <w:rPr>
          <w:rStyle w:val="FootnoteReference"/>
        </w:rPr>
        <w:footnoteReference w:id="89"/>
      </w:r>
      <w:r>
        <w:t xml:space="preserve">  For additional detail and wire transfer instructions, go to </w:t>
      </w:r>
      <w:hyperlink r:id="rId8" w:history="1">
        <w:r w:rsidRPr="00BA069F">
          <w:rPr>
            <w:rStyle w:val="Hyperlink"/>
          </w:rPr>
          <w:t>https://www.fcc.gov/licensingdatabases/fees/wire-transfer</w:t>
        </w:r>
      </w:hyperlink>
      <w:r>
        <w:t>.</w:t>
      </w:r>
    </w:p>
    <w:p w:rsidR="00B402B5" w:rsidP="00573F5C" w14:paraId="60644A76" w14:textId="454ADEED">
      <w:pPr>
        <w:pStyle w:val="ParaNum"/>
        <w:widowControl/>
        <w:numPr>
          <w:ilvl w:val="0"/>
          <w:numId w:val="15"/>
        </w:numPr>
      </w:pPr>
      <w:r>
        <w:t xml:space="preserve">Payment by credit card must be made by using </w:t>
      </w:r>
      <w:r w:rsidR="008F76DD">
        <w:t xml:space="preserve">CORES at </w:t>
      </w:r>
      <w:hyperlink r:id="rId6" w:history="1">
        <w:r w:rsidRPr="00BA069F" w:rsidR="008F76DD">
          <w:rPr>
            <w:rStyle w:val="Hyperlink"/>
          </w:rPr>
          <w:t>https://apps.fcc.gov/cores/userLogin.do</w:t>
        </w:r>
      </w:hyperlink>
      <w:r w:rsidR="008F76DD">
        <w:t>.</w:t>
      </w:r>
      <w:r>
        <w:t xml:space="preserve">  To pay by credit card, log-in using the </w:t>
      </w:r>
      <w:r w:rsidR="008F76DD">
        <w:t xml:space="preserve">FCC Username associated to the </w:t>
      </w:r>
      <w:r>
        <w:t>FRN captioned above.  If payment must be split across FRNs, complete this process for each FRN.  Next</w:t>
      </w:r>
      <w:r w:rsidR="00FE6BBE">
        <w:t>,</w:t>
      </w:r>
      <w:r w:rsidR="008F76DD">
        <w:t xml:space="preserve"> select “Manage Existing FRNs | FRN Financial | Bills &amp; Fees” from the CORES Menu, then select FRN Financial and the view/make payments option next to the FRN.  S</w:t>
      </w:r>
      <w:r>
        <w:t>elect</w:t>
      </w:r>
      <w:r w:rsidR="008F76DD">
        <w:t xml:space="preserve"> the “Open Bills” tab and find the</w:t>
      </w:r>
      <w:r>
        <w:t xml:space="preserve"> bill number associated with the NAL Acct</w:t>
      </w:r>
      <w:r w:rsidR="008F76DD">
        <w:t xml:space="preserve">. No.  The </w:t>
      </w:r>
      <w:r>
        <w:t>bill number is the NAL Acct</w:t>
      </w:r>
      <w:r w:rsidR="00E45755">
        <w:t>. No.</w:t>
      </w:r>
      <w:r>
        <w:t xml:space="preserve"> with the first two digits excluded</w:t>
      </w:r>
      <w:r w:rsidR="008F76DD">
        <w:t xml:space="preserve"> (e.g., NAL 1912345678 would be associated with FCC Bill Number 12345678).  After selecting the bill for payment, </w:t>
      </w:r>
      <w:r>
        <w:t>choose the “Pay by Credit Card” option.  Please note that there is a $24,999.99 limit on credit card transactions.</w:t>
      </w:r>
    </w:p>
    <w:p w:rsidR="00B402B5" w:rsidP="00573F5C" w14:paraId="02896996" w14:textId="056B1995">
      <w:pPr>
        <w:pStyle w:val="ParaNum"/>
        <w:widowControl/>
        <w:numPr>
          <w:ilvl w:val="0"/>
          <w:numId w:val="15"/>
        </w:numPr>
      </w:pPr>
      <w:r>
        <w:t xml:space="preserve">Payment by ACH must be made by using </w:t>
      </w:r>
      <w:r w:rsidR="00E45755">
        <w:t xml:space="preserve">CORES at </w:t>
      </w:r>
      <w:hyperlink r:id="rId6" w:history="1">
        <w:r w:rsidRPr="00177012" w:rsidR="008D4835">
          <w:rPr>
            <w:rStyle w:val="Hyperlink"/>
          </w:rPr>
          <w:t>https://apps.fcc.gov/cores/userLogin.do</w:t>
        </w:r>
      </w:hyperlink>
      <w:r w:rsidR="004676FB">
        <w:t>.</w:t>
      </w:r>
      <w:r w:rsidR="00E45755">
        <w:t xml:space="preserve">  </w:t>
      </w:r>
      <w:r>
        <w:t>To pay by ACH, log in using the</w:t>
      </w:r>
      <w:r w:rsidR="00E45755">
        <w:t xml:space="preserve"> FCC Username associated to the</w:t>
      </w:r>
      <w:r>
        <w:t xml:space="preserve"> FRN captioned above.  If payment must be split across FRNs, </w:t>
      </w:r>
      <w:r>
        <w:t xml:space="preserve">complete this process for each FRN.  Next, select </w:t>
      </w:r>
      <w:r w:rsidR="00E45755">
        <w:t xml:space="preserve">“Manage Existing FRNs | FRN Financial | Bills &amp; Fees” on the CORES Menu, then select FRN Financial and the view/make payments option next to the FRN.  Select the “Open Bills” tab and find the bill number associated with the NAL Acct. No.  The bill number is the NAL Acct. No. with the first two digits excluded (e.g., NAL 1912345678 would be associated with FCC Bill Number 12345678).  Finally, choose the “Pay from Bank Account” option.  </w:t>
      </w:r>
      <w:r>
        <w:t>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B402B5" w:rsidP="004676FB" w14:paraId="6CA4555D" w14:textId="1A62E37D">
      <w:pPr>
        <w:pStyle w:val="ParaNum"/>
        <w:numPr>
          <w:ilvl w:val="0"/>
          <w:numId w:val="2"/>
        </w:numPr>
        <w:tabs>
          <w:tab w:val="clear" w:pos="1080"/>
          <w:tab w:val="num" w:pos="1440"/>
        </w:tabs>
      </w:pPr>
      <w:r>
        <w:t xml:space="preserve">Any request for making full payment over time under an installment plan should be sent to:  Chief Financial Officer – Financial Operations, Federal Communications Commission, 45 </w:t>
      </w:r>
      <w:r w:rsidR="00990BE7">
        <w:t>L</w:t>
      </w:r>
      <w:r>
        <w:t xml:space="preserve"> Street, </w:t>
      </w:r>
      <w:r w:rsidR="00990BE7">
        <w:t>NE</w:t>
      </w:r>
      <w:r>
        <w:t>, Washington, D.C. 20554.</w:t>
      </w:r>
      <w:r>
        <w:rPr>
          <w:rStyle w:val="FootnoteReference"/>
        </w:rPr>
        <w:footnoteReference w:id="90"/>
      </w:r>
      <w:r>
        <w:t xml:space="preserve">  If you have questions regarding payment procedures, please contact the Financial Operations Group Help Desk by phone, 1-877-480-3201, or by </w:t>
      </w:r>
      <w:r w:rsidR="00200831">
        <w:t>e-</w:t>
      </w:r>
      <w:r>
        <w:t xml:space="preserve">mail, </w:t>
      </w:r>
      <w:hyperlink r:id="rId9" w:history="1">
        <w:r w:rsidRPr="000C122E" w:rsidR="00200831">
          <w:rPr>
            <w:rStyle w:val="Hyperlink"/>
          </w:rPr>
          <w:t>ARINQUIRIES@fcc.gov</w:t>
        </w:r>
      </w:hyperlink>
      <w:r>
        <w:t>.</w:t>
      </w:r>
    </w:p>
    <w:p w:rsidR="00B402B5" w:rsidP="004676FB" w14:paraId="776BC1A0" w14:textId="36EDFD1D">
      <w:pPr>
        <w:pStyle w:val="ParaNum"/>
        <w:numPr>
          <w:ilvl w:val="0"/>
          <w:numId w:val="2"/>
        </w:numPr>
        <w:tabs>
          <w:tab w:val="clear" w:pos="1080"/>
          <w:tab w:val="num" w:pos="1440"/>
        </w:tabs>
      </w:pPr>
      <w:r>
        <w:t>The written statement seeking reduction or cancellation of the proposed forfeiture, if any, must include a detailed factual statement supported by appropriate documentation and affidavits pursuant to sections 1.16 and 1.80(</w:t>
      </w:r>
      <w:r w:rsidR="00CA347E">
        <w:t>g</w:t>
      </w:r>
      <w:r>
        <w:t>)(3) of the Commission’s rules.</w:t>
      </w:r>
      <w:r>
        <w:rPr>
          <w:rStyle w:val="FootnoteReference"/>
        </w:rPr>
        <w:footnoteReference w:id="91"/>
      </w:r>
      <w:r>
        <w:t xml:space="preserve">  The written statement must be mailed to Jeffrey J. Gee, Chief, Investigations and Hearings Division, Enforcement Bureau, Federal Communications Commission, </w:t>
      </w:r>
      <w:r w:rsidR="00E745D0">
        <w:t>45 L Street, NE,</w:t>
      </w:r>
      <w:r>
        <w:t xml:space="preserve"> Washington, D.C. 20554, and must include the NAL</w:t>
      </w:r>
      <w:r w:rsidR="00DB5E86">
        <w:t>/Acct. No.</w:t>
      </w:r>
      <w:r>
        <w:t xml:space="preserve"> referenced in the caption.  The written statement shall also be e-mailed to Jeffrey J. Gee at </w:t>
      </w:r>
      <w:hyperlink r:id="rId10" w:history="1">
        <w:r w:rsidRPr="000C122E" w:rsidR="00200831">
          <w:rPr>
            <w:rStyle w:val="Hyperlink"/>
          </w:rPr>
          <w:t>Jeffrey.Gee@fcc.gov</w:t>
        </w:r>
      </w:hyperlink>
      <w:r>
        <w:t xml:space="preserve"> and to Georgina Feigen at </w:t>
      </w:r>
      <w:hyperlink r:id="rId5" w:history="1">
        <w:r w:rsidRPr="000C122E" w:rsidR="00200831">
          <w:rPr>
            <w:rStyle w:val="Hyperlink"/>
          </w:rPr>
          <w:t>Georgina.Feigen@fcc.gov</w:t>
        </w:r>
      </w:hyperlink>
      <w:r>
        <w:t xml:space="preserve">. </w:t>
      </w:r>
    </w:p>
    <w:p w:rsidR="00B402B5" w:rsidP="004676FB" w14:paraId="7BF01D2B" w14:textId="0D20A4DE">
      <w:pPr>
        <w:pStyle w:val="ParaNum"/>
        <w:numPr>
          <w:ilvl w:val="0"/>
          <w:numId w:val="2"/>
        </w:numPr>
        <w:tabs>
          <w:tab w:val="clear" w:pos="1080"/>
          <w:tab w:val="num" w:pos="1440"/>
        </w:tabs>
      </w:pPr>
      <w:r>
        <w:t>The Commission will not consider reducing or canceling a forfeiture in response to a claim of inability to pay unless the petitioner submits the following documentation: (1) federal tax returns for the past three years; (2) financial statements for the past three years prepared according to generally accepted accounting principles</w:t>
      </w:r>
      <w:r w:rsidR="00DB5E86">
        <w:t xml:space="preserve"> (GAAP)</w:t>
      </w:r>
      <w:r>
        <w:t xml:space="preserve">; or (3) some other reliable and objective documentation that accurately reflects the petitioner’s current financial status.   Any claim of inability to pay must specifically identify the basis for the claim by reference to the financial documentation submitted. </w:t>
      </w:r>
      <w:r w:rsidR="00DB5E86">
        <w:t xml:space="preserve"> </w:t>
      </w:r>
      <w:r>
        <w:t xml:space="preserve">Inability to pay, however, is only one of several factors that the Commission will consider in determining the appropriate forfeiture, and we </w:t>
      </w:r>
      <w:r w:rsidR="00DB5E86">
        <w:t xml:space="preserve">have </w:t>
      </w:r>
      <w:r>
        <w:t xml:space="preserve">discretion to </w:t>
      </w:r>
      <w:r w:rsidR="00DB5E86">
        <w:t>not</w:t>
      </w:r>
      <w:r>
        <w:t xml:space="preserve"> reduc</w:t>
      </w:r>
      <w:r w:rsidR="00DB5E86">
        <w:t>e</w:t>
      </w:r>
      <w:r>
        <w:t xml:space="preserve"> or cancel the forfeiture if other prongs of 47 U.S.C. § 503(b)(2)(E) support that result.</w:t>
      </w:r>
      <w:r>
        <w:rPr>
          <w:rStyle w:val="FootnoteReference"/>
        </w:rPr>
        <w:footnoteReference w:id="92"/>
      </w:r>
      <w:r>
        <w:t xml:space="preserve"> </w:t>
      </w:r>
    </w:p>
    <w:p w:rsidR="00B402B5" w:rsidP="00510934" w14:paraId="0BB3053F" w14:textId="3EB665FE">
      <w:pPr>
        <w:pStyle w:val="ParaNum"/>
        <w:numPr>
          <w:ilvl w:val="0"/>
          <w:numId w:val="2"/>
        </w:numPr>
        <w:tabs>
          <w:tab w:val="clear" w:pos="1080"/>
          <w:tab w:val="num" w:pos="1440"/>
        </w:tabs>
      </w:pPr>
      <w:r>
        <w:rPr>
          <w:b/>
          <w:bCs/>
        </w:rPr>
        <w:t xml:space="preserve"> </w:t>
      </w:r>
      <w:r w:rsidRPr="00E36F6E">
        <w:rPr>
          <w:b/>
          <w:bCs/>
        </w:rPr>
        <w:t>IT IS FURTHER ORDERED</w:t>
      </w:r>
      <w:r>
        <w:t xml:space="preserve"> that a copy of this Notice of Apparent Liability for Forfeiture and Order shall be sent by certified mail, return receipt requested, </w:t>
      </w:r>
      <w:r w:rsidR="00DB5E86">
        <w:t xml:space="preserve">and first-class mail </w:t>
      </w:r>
      <w:r>
        <w:t xml:space="preserve">to </w:t>
      </w:r>
      <w:r w:rsidR="00E36F6E">
        <w:t>Edward Maldonado, Esq.</w:t>
      </w:r>
      <w:r>
        <w:t xml:space="preserve">, Counsel for </w:t>
      </w:r>
      <w:r w:rsidR="00E36F6E">
        <w:t>Etelix.com, USA, LLC</w:t>
      </w:r>
      <w:r>
        <w:t xml:space="preserve">, </w:t>
      </w:r>
      <w:r w:rsidR="00E36F6E">
        <w:t xml:space="preserve">Law Offices of Edward A. Maldonado PA, 2850 </w:t>
      </w:r>
      <w:r w:rsidR="00E745D0">
        <w:t xml:space="preserve">S. </w:t>
      </w:r>
      <w:r w:rsidR="00E36F6E">
        <w:t>Douglas Rd., Suite 303, Coral Gable</w:t>
      </w:r>
      <w:r w:rsidR="00E745D0">
        <w:t>s</w:t>
      </w:r>
      <w:r w:rsidR="00E36F6E">
        <w:t>, FL 33134</w:t>
      </w:r>
      <w:r w:rsidR="00ED20AC">
        <w:t>,</w:t>
      </w:r>
      <w:r w:rsidR="00DB5E86">
        <w:t xml:space="preserve"> and by e-mail to </w:t>
      </w:r>
      <w:hyperlink r:id="rId11" w:history="1">
        <w:r w:rsidRPr="00BA069F" w:rsidR="00DB5E86">
          <w:rPr>
            <w:rStyle w:val="Hyperlink"/>
          </w:rPr>
          <w:t>eam@maldonado-group.com</w:t>
        </w:r>
      </w:hyperlink>
      <w:r w:rsidR="00E36F6E">
        <w:t>.</w:t>
      </w:r>
      <w:r>
        <w:t xml:space="preserve"> </w:t>
      </w:r>
    </w:p>
    <w:p w:rsidR="00B402B5" w:rsidP="00C322FE" w14:paraId="6DDD09D1" w14:textId="77777777">
      <w:pPr>
        <w:ind w:left="4320"/>
      </w:pPr>
      <w:r>
        <w:t>FEDERAL COMMUNICATIONS COMMISSION</w:t>
      </w:r>
    </w:p>
    <w:p w:rsidR="00B402B5" w:rsidP="00C322FE" w14:paraId="33F0C81F" w14:textId="74059BB9">
      <w:pPr>
        <w:ind w:left="4320"/>
      </w:pPr>
      <w:r>
        <w:rPr>
          <w:rFonts w:ascii="Times New Roman Bold" w:hAnsi="Times New Roman Bold"/>
          <w:b/>
          <w:noProof/>
          <w:snapToGrid/>
          <w:kern w:val="0"/>
          <w:szCs w:val="22"/>
        </w:rPr>
        <w:drawing>
          <wp:anchor distT="0" distB="0" distL="114300" distR="114300" simplePos="0" relativeHeight="251658240" behindDoc="1" locked="0" layoutInCell="1" allowOverlap="1">
            <wp:simplePos x="0" y="0"/>
            <wp:positionH relativeFrom="margin">
              <wp:posOffset>2674620</wp:posOffset>
            </wp:positionH>
            <wp:positionV relativeFrom="paragraph">
              <wp:posOffset>22860</wp:posOffset>
            </wp:positionV>
            <wp:extent cx="2104606" cy="664210"/>
            <wp:effectExtent l="0" t="0" r="0" b="2540"/>
            <wp:wrapNone/>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104606" cy="664210"/>
                    </a:xfrm>
                    <a:prstGeom prst="rect">
                      <a:avLst/>
                    </a:prstGeom>
                  </pic:spPr>
                </pic:pic>
              </a:graphicData>
            </a:graphic>
            <wp14:sizeRelH relativeFrom="margin">
              <wp14:pctWidth>0</wp14:pctWidth>
            </wp14:sizeRelH>
            <wp14:sizeRelV relativeFrom="margin">
              <wp14:pctHeight>0</wp14:pctHeight>
            </wp14:sizeRelV>
          </wp:anchor>
        </w:drawing>
      </w:r>
    </w:p>
    <w:p w:rsidR="00B402B5" w:rsidP="00C322FE" w14:paraId="4A5D2040" w14:textId="77777777">
      <w:pPr>
        <w:ind w:left="4320"/>
      </w:pPr>
    </w:p>
    <w:p w:rsidR="00200831" w:rsidP="00200831" w14:paraId="3C398A83" w14:textId="30E06030">
      <w:pPr>
        <w:ind w:left="4320"/>
      </w:pPr>
    </w:p>
    <w:p w:rsidR="00200831" w:rsidP="00E73E59" w14:paraId="2C2593DA" w14:textId="4D787FE3">
      <w:pPr>
        <w:ind w:left="4320"/>
      </w:pPr>
    </w:p>
    <w:p w:rsidR="00DB6B6C" w:rsidP="00C322FE" w14:paraId="37D28CF4" w14:textId="5941FA8D">
      <w:pPr>
        <w:ind w:left="4320"/>
      </w:pPr>
      <w:r>
        <w:t>Keith V. Morgan</w:t>
      </w:r>
    </w:p>
    <w:p w:rsidR="00D14BC0" w:rsidP="00C322FE" w14:paraId="6DF756EE" w14:textId="5D84F887">
      <w:pPr>
        <w:ind w:left="4320"/>
      </w:pPr>
      <w:r>
        <w:t xml:space="preserve">Deputy </w:t>
      </w:r>
      <w:r>
        <w:t xml:space="preserve">Chief </w:t>
      </w:r>
    </w:p>
    <w:p w:rsidR="00036425" w:rsidRPr="00991D62" w:rsidP="00FD52D3" w14:paraId="1C7B803C" w14:textId="263C57EB">
      <w:pPr>
        <w:ind w:left="4320"/>
      </w:pPr>
      <w:r>
        <w:t>Enforcement Bureau</w:t>
      </w:r>
    </w:p>
    <w:sectPr w:rsidSect="0055614C">
      <w:headerReference w:type="default" r:id="rId13"/>
      <w:footerReference w:type="even" r:id="rId14"/>
      <w:footerReference w:type="default" r:id="rId15"/>
      <w:headerReference w:type="first" r:id="rId16"/>
      <w:footerReference w:type="first" r:id="rId17"/>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1575" w:rsidP="0055614C" w14:paraId="1F8F95B8" w14:textId="77777777">
    <w:pPr>
      <w:pStyle w:val="Footer"/>
      <w:framePr w:wrap="around" w:vAnchor="text" w:hAnchor="margin" w:xAlign="center" w:y="1"/>
    </w:pPr>
    <w:r>
      <w:fldChar w:fldCharType="begin"/>
    </w:r>
    <w:r>
      <w:instrText xml:space="preserve">PAGE  </w:instrText>
    </w:r>
    <w:r>
      <w:fldChar w:fldCharType="separate"/>
    </w:r>
    <w:r>
      <w:fldChar w:fldCharType="end"/>
    </w:r>
  </w:p>
  <w:p w:rsidR="00BF1575" w14:paraId="626F82E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1575" w14:paraId="13FA6E0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BF1575" w14:paraId="095B9AE6"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1575" w14:paraId="061F603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418C8" w14:paraId="7111DE62" w14:textId="77777777">
      <w:r>
        <w:separator/>
      </w:r>
    </w:p>
  </w:footnote>
  <w:footnote w:type="continuationSeparator" w:id="1">
    <w:p w:rsidR="00B418C8" w:rsidP="00C721AC" w14:paraId="29865891" w14:textId="77777777">
      <w:pPr>
        <w:spacing w:before="120"/>
        <w:rPr>
          <w:sz w:val="20"/>
        </w:rPr>
      </w:pPr>
      <w:r>
        <w:rPr>
          <w:sz w:val="20"/>
        </w:rPr>
        <w:t xml:space="preserve">(Continued from previous page)  </w:t>
      </w:r>
      <w:r>
        <w:rPr>
          <w:sz w:val="20"/>
        </w:rPr>
        <w:separator/>
      </w:r>
    </w:p>
  </w:footnote>
  <w:footnote w:type="continuationNotice" w:id="2">
    <w:p w:rsidR="00B418C8" w:rsidP="00C721AC" w14:paraId="09F05792" w14:textId="77777777">
      <w:pPr>
        <w:jc w:val="right"/>
        <w:rPr>
          <w:sz w:val="20"/>
        </w:rPr>
      </w:pPr>
      <w:r>
        <w:rPr>
          <w:sz w:val="20"/>
        </w:rPr>
        <w:t>(continued….)</w:t>
      </w:r>
    </w:p>
  </w:footnote>
  <w:footnote w:id="3">
    <w:p w:rsidR="00BF1575" w14:paraId="30EC5409" w14:textId="1327A8AD">
      <w:pPr>
        <w:pStyle w:val="FootnoteText"/>
      </w:pPr>
      <w:r>
        <w:rPr>
          <w:rStyle w:val="FootnoteReference"/>
        </w:rPr>
        <w:footnoteRef/>
      </w:r>
      <w:r>
        <w:t xml:space="preserve"> 47 U.S.C. § 214.</w:t>
      </w:r>
    </w:p>
  </w:footnote>
  <w:footnote w:id="4">
    <w:p w:rsidR="00BF1575" w14:paraId="5FCC8A23" w14:textId="6E68B2B2">
      <w:pPr>
        <w:pStyle w:val="FootnoteText"/>
      </w:pPr>
      <w:r>
        <w:rPr>
          <w:rStyle w:val="FootnoteReference"/>
        </w:rPr>
        <w:footnoteRef/>
      </w:r>
      <w:r>
        <w:t xml:space="preserve"> 47 CFR §§ 1.65, 63.24(</w:t>
      </w:r>
      <w:r w:rsidR="00F6527C">
        <w:t>f</w:t>
      </w:r>
      <w:r>
        <w:t>), 63.25(b).</w:t>
      </w:r>
    </w:p>
  </w:footnote>
  <w:footnote w:id="5">
    <w:p w:rsidR="00F6527C" w14:paraId="43BE37FC" w14:textId="19F11D6E">
      <w:pPr>
        <w:pStyle w:val="FootnoteText"/>
      </w:pPr>
      <w:r>
        <w:rPr>
          <w:rStyle w:val="FootnoteReference"/>
        </w:rPr>
        <w:footnoteRef/>
      </w:r>
      <w:r>
        <w:t xml:space="preserve"> 47 U.S.C. § 50</w:t>
      </w:r>
      <w:r w:rsidR="00F16EF6">
        <w:t>3</w:t>
      </w:r>
      <w:r>
        <w:t>(b)(6).</w:t>
      </w:r>
    </w:p>
  </w:footnote>
  <w:footnote w:id="6">
    <w:p w:rsidR="00BF1575" w14:paraId="24737288" w14:textId="359A0431">
      <w:pPr>
        <w:pStyle w:val="FootnoteText"/>
      </w:pPr>
      <w:r>
        <w:rPr>
          <w:rStyle w:val="FootnoteReference"/>
        </w:rPr>
        <w:footnoteRef/>
      </w:r>
      <w:r>
        <w:t xml:space="preserve"> 47 U.S.C. § 214(a).</w:t>
      </w:r>
    </w:p>
  </w:footnote>
  <w:footnote w:id="7">
    <w:p w:rsidR="00BF1575" w14:paraId="2E9F7D64" w14:textId="48CC8152">
      <w:pPr>
        <w:pStyle w:val="FootnoteText"/>
      </w:pPr>
      <w:r>
        <w:rPr>
          <w:rStyle w:val="FootnoteReference"/>
        </w:rPr>
        <w:footnoteRef/>
      </w:r>
      <w:r>
        <w:t xml:space="preserve"> 47 CFR § 63.01(a).</w:t>
      </w:r>
    </w:p>
  </w:footnote>
  <w:footnote w:id="8">
    <w:p w:rsidR="00BF1575" w14:paraId="0D64ABA1" w14:textId="1B079F6F">
      <w:pPr>
        <w:pStyle w:val="FootnoteText"/>
      </w:pPr>
      <w:r>
        <w:rPr>
          <w:rStyle w:val="FootnoteReference"/>
        </w:rPr>
        <w:footnoteRef/>
      </w:r>
      <w:r>
        <w:t xml:space="preserve"> </w:t>
      </w:r>
      <w:r>
        <w:rPr>
          <w:i/>
          <w:iCs/>
        </w:rPr>
        <w:t>Implementation of Section 402(b)(2)(A) of the Telecomm. Act of 1996</w:t>
      </w:r>
      <w:r>
        <w:t>, Report and Order in CC Docket No. 97-11, Second Memorandum Opinion &amp; Order in AAD File No. 98-43, 14 FCC Rcd 11364, 11366</w:t>
      </w:r>
      <w:r w:rsidR="000C4BF7">
        <w:t>,</w:t>
      </w:r>
      <w:r>
        <w:t xml:space="preserve"> n.8 (1999) (grant of blanket authority is only for domestic services and does not extend to the provision of international services).  </w:t>
      </w:r>
    </w:p>
  </w:footnote>
  <w:footnote w:id="9">
    <w:p w:rsidR="00BF1575" w14:paraId="798BF628" w14:textId="2B520934">
      <w:pPr>
        <w:pStyle w:val="FootnoteText"/>
      </w:pPr>
      <w:r>
        <w:rPr>
          <w:rStyle w:val="FootnoteReference"/>
        </w:rPr>
        <w:footnoteRef/>
      </w:r>
      <w:r>
        <w:t xml:space="preserve"> 47 CFR § 63.18.</w:t>
      </w:r>
      <w:r w:rsidR="00186678">
        <w:t xml:space="preserve">  </w:t>
      </w:r>
      <w:r w:rsidRPr="00D45A4E" w:rsidR="00186678">
        <w:rPr>
          <w:color w:val="000000"/>
        </w:rPr>
        <w:t xml:space="preserve">The Commission has explained that the International Section 214 review process enables the Commission to review applications for risks to competition, particularly in situations where the applicant has an affiliation with a foreign carrier with market power on the foreign end of the route that may be able to leverage that market power to discriminate against U.S. competitors to the detriment of U.S. consumers. </w:t>
      </w:r>
      <w:r w:rsidR="00186678">
        <w:rPr>
          <w:color w:val="000000"/>
        </w:rPr>
        <w:t xml:space="preserve"> </w:t>
      </w:r>
      <w:r w:rsidRPr="00D45A4E" w:rsidR="00186678">
        <w:rPr>
          <w:rStyle w:val="Emphasis"/>
        </w:rPr>
        <w:t xml:space="preserve">Rules and Policies on </w:t>
      </w:r>
      <w:r w:rsidRPr="00D45A4E" w:rsidR="00186678">
        <w:rPr>
          <w:rStyle w:val="cosearchterm"/>
          <w:i/>
          <w:iCs/>
        </w:rPr>
        <w:t>Foreign</w:t>
      </w:r>
      <w:r w:rsidRPr="00D45A4E" w:rsidR="00186678">
        <w:rPr>
          <w:rStyle w:val="Emphasis"/>
        </w:rPr>
        <w:t xml:space="preserve"> Participation in the U.S. Telecommunications </w:t>
      </w:r>
      <w:r w:rsidRPr="00D45A4E" w:rsidR="00186678">
        <w:rPr>
          <w:rStyle w:val="cosearchterm"/>
          <w:i/>
          <w:iCs/>
        </w:rPr>
        <w:t>Market</w:t>
      </w:r>
      <w:r w:rsidRPr="00D45A4E" w:rsidR="00186678">
        <w:t>, IB Docket 97-142, 95-22, Report and Order and Order on Reconsideration, FCC 97-398, 12 FCC Rcd 23891 (1997) (</w:t>
      </w:r>
      <w:r w:rsidRPr="00D45A4E" w:rsidR="00186678">
        <w:rPr>
          <w:rStyle w:val="cosearchterm"/>
          <w:i/>
          <w:iCs/>
        </w:rPr>
        <w:t>Foreign</w:t>
      </w:r>
      <w:r w:rsidRPr="00D45A4E" w:rsidR="00186678">
        <w:rPr>
          <w:rStyle w:val="Emphasis"/>
        </w:rPr>
        <w:t xml:space="preserve"> Participation Order</w:t>
      </w:r>
      <w:r w:rsidRPr="00D45A4E" w:rsidR="00186678">
        <w:t xml:space="preserve">); Order on Reconsideration, FCC 00-339, 15 FCC Rcd 18158 (2000). </w:t>
      </w:r>
      <w:r w:rsidR="00186678">
        <w:t xml:space="preserve"> </w:t>
      </w:r>
      <w:r w:rsidRPr="00D45A4E" w:rsidR="00186678">
        <w:t xml:space="preserve">The Commission also considers national security, law enforcement, foreign policy and trade policy </w:t>
      </w:r>
      <w:r w:rsidR="00186678">
        <w:t xml:space="preserve">concerns </w:t>
      </w:r>
      <w:r w:rsidRPr="00D45A4E" w:rsidR="00186678">
        <w:t xml:space="preserve">in its public interest review of an application and will seek input from the Executive Branch on these issues. </w:t>
      </w:r>
      <w:r w:rsidR="00186678">
        <w:t xml:space="preserve"> </w:t>
      </w:r>
      <w:r w:rsidRPr="00D45A4E" w:rsidR="00186678">
        <w:rPr>
          <w:i/>
          <w:iCs/>
        </w:rPr>
        <w:t>Id.</w:t>
      </w:r>
      <w:r w:rsidRPr="00D45A4E" w:rsidR="00186678">
        <w:t xml:space="preserve"> at 23918-21, paras. 61-66. </w:t>
      </w:r>
      <w:r w:rsidR="00186678">
        <w:t xml:space="preserve"> </w:t>
      </w:r>
      <w:r w:rsidRPr="00D45A4E" w:rsidR="00186678">
        <w:rPr>
          <w:i/>
          <w:iCs/>
        </w:rPr>
        <w:t>See also Process Reform for Executive Branch Review of Certain FCC Applications and Petitions Involving Foreign Ownership,</w:t>
      </w:r>
      <w:r w:rsidRPr="00D45A4E" w:rsidR="00186678">
        <w:t xml:space="preserve"> IB Docket 16-155, Report and Order, 35 FCC Rcd 10927 (2020).</w:t>
      </w:r>
    </w:p>
  </w:footnote>
  <w:footnote w:id="10">
    <w:p w:rsidR="00BF1575" w14:paraId="7AD6E9FD" w14:textId="2E264D61">
      <w:pPr>
        <w:pStyle w:val="FootnoteText"/>
      </w:pPr>
      <w:r>
        <w:rPr>
          <w:rStyle w:val="FootnoteReference"/>
        </w:rPr>
        <w:footnoteRef/>
      </w:r>
      <w:r>
        <w:t xml:space="preserve"> </w:t>
      </w:r>
      <w:r w:rsidRPr="00FA2950">
        <w:rPr>
          <w:i/>
          <w:iCs/>
        </w:rPr>
        <w:t>See</w:t>
      </w:r>
      <w:r w:rsidRPr="00E33FDA" w:rsidR="00E33FDA">
        <w:t xml:space="preserve"> </w:t>
      </w:r>
      <w:r w:rsidR="00E33FDA">
        <w:t>47 CFR § 63.18</w:t>
      </w:r>
      <w:r w:rsidR="000C4BF7">
        <w:t>.</w:t>
      </w:r>
    </w:p>
  </w:footnote>
  <w:footnote w:id="11">
    <w:p w:rsidR="00BF1575" w14:paraId="0D48D992" w14:textId="7DB4F793">
      <w:pPr>
        <w:pStyle w:val="FootnoteText"/>
      </w:pPr>
      <w:r>
        <w:rPr>
          <w:rStyle w:val="FootnoteReference"/>
        </w:rPr>
        <w:footnoteRef/>
      </w:r>
      <w:r>
        <w:t xml:space="preserve"> 47 CFR § 63.25.</w:t>
      </w:r>
    </w:p>
  </w:footnote>
  <w:footnote w:id="12">
    <w:p w:rsidR="00BF1575" w:rsidP="00023545" w14:paraId="0D301D0B" w14:textId="4B3431F2">
      <w:pPr>
        <w:pStyle w:val="FootnoteText"/>
      </w:pPr>
      <w:r>
        <w:rPr>
          <w:rStyle w:val="FootnoteReference"/>
        </w:rPr>
        <w:footnoteRef/>
      </w:r>
      <w:r>
        <w:t xml:space="preserve"> </w:t>
      </w:r>
      <w:r w:rsidR="00D57ECC">
        <w:t>Etelix.com USA, LLC, Application for Authority Pursuant to Section 214 of the Communications Act of 1934, IBFS File No. ITC-214-20090625-00303 (filed June 25, 2009)</w:t>
      </w:r>
      <w:r w:rsidR="00200831">
        <w:t xml:space="preserve"> </w:t>
      </w:r>
      <w:r w:rsidR="001E5359">
        <w:t>(Etelix 214 Application)</w:t>
      </w:r>
      <w:r w:rsidR="00D57ECC">
        <w:t xml:space="preserve">; </w:t>
      </w:r>
      <w:r w:rsidRPr="000B5020" w:rsidR="00D57ECC">
        <w:rPr>
          <w:i/>
          <w:iCs/>
        </w:rPr>
        <w:t>see</w:t>
      </w:r>
      <w:r w:rsidR="00D57ECC">
        <w:rPr>
          <w:i/>
          <w:iCs/>
        </w:rPr>
        <w:t xml:space="preserve"> also</w:t>
      </w:r>
      <w:r w:rsidR="00D57ECC">
        <w:t xml:space="preserve"> </w:t>
      </w:r>
      <w:r>
        <w:t>Response to Letter of Inquiry, from Edward Maldonado, Esq., Counsel to Etelix.com USA, LLC to Georgina Feigen, Esq., Attorney Advisor, Investigations and Hearings Division, FCC Enforcement Bureau, at 13 (Jan. 8, 2021) (on file in EB-IHD-20-00031637) (LOI Response)</w:t>
      </w:r>
      <w:r w:rsidR="00D57ECC">
        <w:t>.</w:t>
      </w:r>
    </w:p>
  </w:footnote>
  <w:footnote w:id="13">
    <w:p w:rsidR="00BF1575" w14:paraId="237B75AE" w14:textId="078F3870">
      <w:pPr>
        <w:pStyle w:val="FootnoteText"/>
      </w:pPr>
      <w:r>
        <w:rPr>
          <w:rStyle w:val="FootnoteReference"/>
        </w:rPr>
        <w:footnoteRef/>
      </w:r>
      <w:r>
        <w:t xml:space="preserve"> </w:t>
      </w:r>
      <w:r w:rsidRPr="00023545">
        <w:rPr>
          <w:i/>
          <w:iCs/>
        </w:rPr>
        <w:t>Id</w:t>
      </w:r>
      <w:r>
        <w:t>. at 4.</w:t>
      </w:r>
    </w:p>
  </w:footnote>
  <w:footnote w:id="14">
    <w:p w:rsidR="00BF1575" w14:paraId="65C825B4" w14:textId="0C22D54F">
      <w:pPr>
        <w:pStyle w:val="FootnoteText"/>
      </w:pPr>
      <w:r>
        <w:rPr>
          <w:rStyle w:val="FootnoteReference"/>
        </w:rPr>
        <w:footnoteRef/>
      </w:r>
      <w:r>
        <w:t xml:space="preserve"> Future Voice, LLC, Application for Assignment of License, IBFS File No. ITC-ASG-20160609-00166 (filed June 9, 2016) (Future Voice Application).  </w:t>
      </w:r>
      <w:r w:rsidRPr="00343DC3" w:rsidR="00343DC3">
        <w:t xml:space="preserve">Future Voice hold an International Section 214 license for its operations as a facility-based international carrier and for reselling international services of authorized US common carriers.  </w:t>
      </w:r>
      <w:r w:rsidRPr="00343DC3" w:rsidR="00343DC3">
        <w:rPr>
          <w:i/>
          <w:iCs/>
        </w:rPr>
        <w:t>See</w:t>
      </w:r>
      <w:r w:rsidRPr="00343DC3" w:rsidR="00343DC3">
        <w:t xml:space="preserve"> IBFS File No. ITC-214-20040622-00236, Report No. TEL-00817, Public Notice, 19 FCC Rcd 14146 (IB 2004). </w:t>
      </w:r>
      <w:r w:rsidR="00343DC3">
        <w:t xml:space="preserve"> </w:t>
      </w:r>
      <w:r w:rsidRPr="003B5D2C">
        <w:t xml:space="preserve">The Note to Section 63.24(b) </w:t>
      </w:r>
      <w:r>
        <w:t xml:space="preserve">of the Commission’s rules </w:t>
      </w:r>
      <w:r w:rsidRPr="003B5D2C">
        <w:t>provides that the sale of a customer base, or a portion of a customer base, is a sale of assets and shall be treated as an assignment requiring Commission approval.  47 CFR § 63.24(b), Note.</w:t>
      </w:r>
      <w:r>
        <w:t xml:space="preserve">  The application was filed pursuant to a settlement stipulation reached in a civil action, </w:t>
      </w:r>
      <w:r w:rsidRPr="000D159E">
        <w:rPr>
          <w:i/>
          <w:iCs/>
        </w:rPr>
        <w:t>Future Voice, LLC</w:t>
      </w:r>
      <w:r>
        <w:rPr>
          <w:i/>
          <w:iCs/>
        </w:rPr>
        <w:t xml:space="preserve">, Assignor, </w:t>
      </w:r>
      <w:r w:rsidRPr="000D159E">
        <w:rPr>
          <w:i/>
          <w:iCs/>
        </w:rPr>
        <w:t>v. John A. Moffa</w:t>
      </w:r>
      <w:r>
        <w:rPr>
          <w:i/>
          <w:iCs/>
        </w:rPr>
        <w:t>, Assignee</w:t>
      </w:r>
      <w:r>
        <w:t xml:space="preserve">, Petition for Assignment for the Benefit of Creditors, Circuit Court of Eleventh Judicial Circuit in and for Miami-Dade County Florida, Case No. 2015-006909-CA-01 (Dec. 8, 2015). </w:t>
      </w:r>
    </w:p>
  </w:footnote>
  <w:footnote w:id="15">
    <w:p w:rsidR="00BF1575" w14:paraId="45FE2534" w14:textId="0E734E98">
      <w:pPr>
        <w:pStyle w:val="FootnoteText"/>
      </w:pPr>
      <w:r>
        <w:rPr>
          <w:rStyle w:val="FootnoteReference"/>
        </w:rPr>
        <w:footnoteRef/>
      </w:r>
      <w:r>
        <w:t xml:space="preserve"> Letter from Bermel R. Paz, National Security Division, U.S. Department of Justice to Marlene H. Dortch, FCC (June 11, 2016) </w:t>
      </w:r>
      <w:r w:rsidR="000C4BF7">
        <w:t>(</w:t>
      </w:r>
      <w:r>
        <w:t>on file in IBFS File No. ITC-ASG-20160609-00166).</w:t>
      </w:r>
    </w:p>
  </w:footnote>
  <w:footnote w:id="16">
    <w:p w:rsidR="00BF1575" w14:paraId="18383291" w14:textId="64EF11DC">
      <w:pPr>
        <w:pStyle w:val="FootnoteText"/>
      </w:pPr>
      <w:r>
        <w:rPr>
          <w:rStyle w:val="FootnoteReference"/>
        </w:rPr>
        <w:footnoteRef/>
      </w:r>
      <w:r>
        <w:t xml:space="preserve"> Etelix.com USA, LLC, Application for Special Temporary Authority, IBFS File No. ITC-STA-20161020-00287 (filed </w:t>
      </w:r>
      <w:r w:rsidR="00A951BD">
        <w:t>August 18, 2016</w:t>
      </w:r>
      <w:r>
        <w:t>)</w:t>
      </w:r>
      <w:r w:rsidR="00F948B5">
        <w:t xml:space="preserve"> (STA Request)</w:t>
      </w:r>
      <w:r>
        <w:t>.</w:t>
      </w:r>
    </w:p>
  </w:footnote>
  <w:footnote w:id="17">
    <w:p w:rsidR="004A5837" w:rsidRPr="00682C5B" w:rsidP="00682C5B" w14:paraId="44C71989" w14:textId="008C2AF0">
      <w:pPr>
        <w:pStyle w:val="FootnoteText"/>
      </w:pPr>
      <w:r>
        <w:rPr>
          <w:rStyle w:val="FootnoteReference"/>
        </w:rPr>
        <w:footnoteRef/>
      </w:r>
      <w:r>
        <w:t xml:space="preserve"> The Committee was established by Executive Order No. 13913 </w:t>
      </w:r>
      <w:r w:rsidR="00682C5B">
        <w:t xml:space="preserve">“to assist the FCC in its public interest review of national security and law enforcement concerns that may be raised by foreign participation in the United States telecommunications services sector.”  Ex. Ord. 13913, 85 Fed. Reg 19643 (Apr 8 2020) § 3(a).  The Committee is comprised of the Secretary of Defense, the Secretary of Homeland Security, and the Attorney General, who serves as the Chair.  </w:t>
      </w:r>
      <w:r w:rsidR="00682C5B">
        <w:rPr>
          <w:i/>
          <w:iCs/>
        </w:rPr>
        <w:t xml:space="preserve">Id. </w:t>
      </w:r>
      <w:r w:rsidR="00682C5B">
        <w:t>at § 3(b).</w:t>
      </w:r>
    </w:p>
  </w:footnote>
  <w:footnote w:id="18">
    <w:p w:rsidR="00A951BD" w14:paraId="5089A85B" w14:textId="26D36B5E">
      <w:pPr>
        <w:pStyle w:val="FootnoteText"/>
      </w:pPr>
      <w:r>
        <w:rPr>
          <w:rStyle w:val="FootnoteReference"/>
        </w:rPr>
        <w:footnoteRef/>
      </w:r>
      <w:r>
        <w:t xml:space="preserve"> </w:t>
      </w:r>
      <w:r w:rsidRPr="000B5020">
        <w:rPr>
          <w:i/>
          <w:iCs/>
        </w:rPr>
        <w:t>See</w:t>
      </w:r>
      <w:r>
        <w:t xml:space="preserve"> Future Voice Application.</w:t>
      </w:r>
    </w:p>
  </w:footnote>
  <w:footnote w:id="19">
    <w:p w:rsidR="00BF1575" w14:paraId="4BE75E53" w14:textId="5202CBD8">
      <w:pPr>
        <w:pStyle w:val="FootnoteText"/>
      </w:pPr>
      <w:r>
        <w:rPr>
          <w:rStyle w:val="FootnoteReference"/>
        </w:rPr>
        <w:footnoteRef/>
      </w:r>
      <w:r>
        <w:t xml:space="preserve"> </w:t>
      </w:r>
      <w:r w:rsidRPr="00A5425B">
        <w:rPr>
          <w:i/>
          <w:iCs/>
        </w:rPr>
        <w:t>See</w:t>
      </w:r>
      <w:r>
        <w:t xml:space="preserve"> Letter from Christine M. Quinn, Esq., Attorney Advisor, Telecommunications, Foreign Investment Review Section, National Security Division, U.S. Department of Justice, to Marlene H. Dortch, FCC (Sept. 30, 2020) (on file in IBFS File No. ITC-ASG-20160609-00166) (</w:t>
      </w:r>
      <w:r w:rsidR="00682C5B">
        <w:t>Committee</w:t>
      </w:r>
      <w:r>
        <w:t xml:space="preserve"> Letter)</w:t>
      </w:r>
      <w:r w:rsidR="00A951BD">
        <w:t>;</w:t>
      </w:r>
      <w:r w:rsidR="00496C22">
        <w:t xml:space="preserve"> </w:t>
      </w:r>
      <w:r w:rsidRPr="000B5020" w:rsidR="00496C22">
        <w:rPr>
          <w:i/>
          <w:iCs/>
        </w:rPr>
        <w:t>see also</w:t>
      </w:r>
      <w:r w:rsidR="00496C22">
        <w:t xml:space="preserve"> Etelix</w:t>
      </w:r>
      <w:r w:rsidR="006D4B46">
        <w:t xml:space="preserve"> 214 </w:t>
      </w:r>
      <w:r w:rsidR="00496C22">
        <w:t>Application</w:t>
      </w:r>
      <w:r w:rsidR="006D4B46">
        <w:t>.</w:t>
      </w:r>
    </w:p>
  </w:footnote>
  <w:footnote w:id="20">
    <w:p w:rsidR="00BF1575" w14:paraId="0DC9DF2A" w14:textId="5052F0DD">
      <w:pPr>
        <w:pStyle w:val="FootnoteText"/>
      </w:pPr>
      <w:r>
        <w:rPr>
          <w:rStyle w:val="FootnoteReference"/>
        </w:rPr>
        <w:footnoteRef/>
      </w:r>
      <w:r>
        <w:t xml:space="preserve"> </w:t>
      </w:r>
      <w:r w:rsidR="00A07E21">
        <w:t>Committee</w:t>
      </w:r>
      <w:r>
        <w:t xml:space="preserve"> Letter at 2-5.</w:t>
      </w:r>
    </w:p>
  </w:footnote>
  <w:footnote w:id="21">
    <w:p w:rsidR="00BF1575" w:rsidRPr="00322D2C" w14:paraId="0C64FBDD" w14:textId="18EF2E7F">
      <w:pPr>
        <w:pStyle w:val="FootnoteText"/>
      </w:pPr>
      <w:r>
        <w:rPr>
          <w:rStyle w:val="FootnoteReference"/>
        </w:rPr>
        <w:footnoteRef/>
      </w:r>
      <w:r>
        <w:t xml:space="preserve"> </w:t>
      </w:r>
      <w:r>
        <w:rPr>
          <w:i/>
          <w:iCs/>
        </w:rPr>
        <w:t>See generally,</w:t>
      </w:r>
      <w:r>
        <w:t xml:space="preserve"> </w:t>
      </w:r>
      <w:r w:rsidR="00682C5B">
        <w:t>Committee</w:t>
      </w:r>
      <w:r>
        <w:t xml:space="preserve"> Letter.</w:t>
      </w:r>
    </w:p>
  </w:footnote>
  <w:footnote w:id="22">
    <w:p w:rsidR="00BF1575" w14:paraId="18899BE0" w14:textId="5EBE0488">
      <w:pPr>
        <w:pStyle w:val="FootnoteText"/>
      </w:pPr>
      <w:r>
        <w:rPr>
          <w:rStyle w:val="FootnoteReference"/>
        </w:rPr>
        <w:footnoteRef/>
      </w:r>
      <w:r>
        <w:t xml:space="preserve"> Letter of Inquiry from Jeffrey J. Gee, Chief, Investigations and Hearings Division, FCC Enforcement Bureau, to Edward A. Maldonado, Esq., Counsel for Etelix.com USA, LLC (Nov. 30, 2020) (on file in EB-IHD-20-00031637).</w:t>
      </w:r>
    </w:p>
  </w:footnote>
  <w:footnote w:id="23">
    <w:p w:rsidR="00BF1575" w14:paraId="36C4612D" w14:textId="512AC4E8">
      <w:pPr>
        <w:pStyle w:val="FootnoteText"/>
      </w:pPr>
      <w:r>
        <w:rPr>
          <w:rStyle w:val="FootnoteReference"/>
        </w:rPr>
        <w:footnoteRef/>
      </w:r>
      <w:r>
        <w:t xml:space="preserve"> </w:t>
      </w:r>
      <w:r w:rsidRPr="00A5425B">
        <w:rPr>
          <w:i/>
          <w:iCs/>
        </w:rPr>
        <w:t>See</w:t>
      </w:r>
      <w:r>
        <w:t xml:space="preserve"> LOI Response.</w:t>
      </w:r>
    </w:p>
  </w:footnote>
  <w:footnote w:id="24">
    <w:p w:rsidR="00BF1575" w:rsidP="00021BB0" w14:paraId="2A3B583A" w14:textId="076B9B32">
      <w:pPr>
        <w:pStyle w:val="FootnoteText"/>
      </w:pPr>
      <w:r>
        <w:rPr>
          <w:rStyle w:val="FootnoteReference"/>
        </w:rPr>
        <w:footnoteRef/>
      </w:r>
      <w:r>
        <w:t xml:space="preserve"> </w:t>
      </w:r>
      <w:r>
        <w:rPr>
          <w:i/>
        </w:rPr>
        <w:t>See</w:t>
      </w:r>
      <w:r>
        <w:t xml:space="preserve"> 47 U.S.C. § 503(b)(1)(B); 47 CFR § 1.80(a)(1)</w:t>
      </w:r>
      <w:r w:rsidR="00496C22">
        <w:t>.</w:t>
      </w:r>
      <w:r>
        <w:t xml:space="preserve"> </w:t>
      </w:r>
    </w:p>
  </w:footnote>
  <w:footnote w:id="25">
    <w:p w:rsidR="00BF1575" w:rsidP="00021BB0" w14:paraId="41B46144" w14:textId="77777777">
      <w:pPr>
        <w:pStyle w:val="FootnoteText"/>
      </w:pPr>
      <w:r>
        <w:rPr>
          <w:rStyle w:val="FootnoteReference"/>
        </w:rPr>
        <w:footnoteRef/>
      </w:r>
      <w:r>
        <w:t xml:space="preserve"> 47 U.S.C. § 312(f)(1).</w:t>
      </w:r>
    </w:p>
  </w:footnote>
  <w:footnote w:id="26">
    <w:p w:rsidR="00BF1575" w:rsidP="00021BB0" w14:paraId="40045062" w14:textId="77777777">
      <w:pPr>
        <w:pStyle w:val="FootnoteText"/>
      </w:pPr>
      <w:r>
        <w:rPr>
          <w:rStyle w:val="FootnoteReference"/>
        </w:rPr>
        <w:footnoteRef/>
      </w:r>
      <w:r>
        <w:t xml:space="preserve"> H.R. Rep. No. 97-765, 97</w:t>
      </w:r>
      <w:r>
        <w:rPr>
          <w:vertAlign w:val="superscript"/>
        </w:rPr>
        <w:t>th</w:t>
      </w:r>
      <w:r>
        <w:t xml:space="preserve"> Cong. 2d Sess. 51 (1982).  </w:t>
      </w:r>
    </w:p>
  </w:footnote>
  <w:footnote w:id="27">
    <w:p w:rsidR="00BF1575" w:rsidP="00021BB0" w14:paraId="008CA1E9" w14:textId="6FF58B8F">
      <w:pPr>
        <w:pStyle w:val="FootnoteText"/>
      </w:pPr>
      <w:r>
        <w:rPr>
          <w:rStyle w:val="FootnoteReference"/>
        </w:rPr>
        <w:footnoteRef/>
      </w:r>
      <w:r>
        <w:t xml:space="preserve"> </w:t>
      </w:r>
      <w:r>
        <w:rPr>
          <w:i/>
        </w:rPr>
        <w:t>See, e.g., Application for Review of Southern California Broadcasting Co.</w:t>
      </w:r>
      <w:r>
        <w:t>, Memorandum Opinion and Order, 6 FCC Rcd 4387, 4388, para. 5 (1991) (</w:t>
      </w:r>
      <w:r>
        <w:rPr>
          <w:i/>
        </w:rPr>
        <w:t>Southern California Broadcasting Co.</w:t>
      </w:r>
      <w:r>
        <w:t>).</w:t>
      </w:r>
    </w:p>
  </w:footnote>
  <w:footnote w:id="28">
    <w:p w:rsidR="00BF1575" w:rsidP="00021BB0" w14:paraId="2E2C271C" w14:textId="168D6E64">
      <w:pPr>
        <w:pStyle w:val="FootnoteText"/>
      </w:pPr>
      <w:r>
        <w:rPr>
          <w:rStyle w:val="FootnoteReference"/>
        </w:rPr>
        <w:footnoteRef/>
      </w:r>
      <w:r>
        <w:t xml:space="preserve"> </w:t>
      </w:r>
      <w:r>
        <w:rPr>
          <w:i/>
        </w:rPr>
        <w:t>See, e.g.,</w:t>
      </w:r>
      <w:r>
        <w:t xml:space="preserve"> </w:t>
      </w:r>
      <w:r>
        <w:rPr>
          <w:i/>
        </w:rPr>
        <w:t>Callais Cablevision, Inc., Grand Isle, Louisiana</w:t>
      </w:r>
      <w:r>
        <w:t>, Notice of Apparent Liability for Monetary Forfeiture, 16 FCC Rcd 1359, 1362, para. 10 (2001) (</w:t>
      </w:r>
      <w:r>
        <w:rPr>
          <w:i/>
        </w:rPr>
        <w:t>Callais Cablevision, Inc.</w:t>
      </w:r>
      <w:r>
        <w:t xml:space="preserve">) (issuing a Notice of Apparent Liability for, </w:t>
      </w:r>
      <w:r>
        <w:rPr>
          <w:i/>
        </w:rPr>
        <w:t>inter alia</w:t>
      </w:r>
      <w:r>
        <w:t xml:space="preserve">, a cable television operator’s repeated signal leakage). </w:t>
      </w:r>
    </w:p>
  </w:footnote>
  <w:footnote w:id="29">
    <w:p w:rsidR="00BF1575" w:rsidP="00021BB0" w14:paraId="6EE5313D" w14:textId="3BF2984E">
      <w:pPr>
        <w:pStyle w:val="FootnoteText"/>
      </w:pPr>
      <w:r>
        <w:rPr>
          <w:rStyle w:val="FootnoteReference"/>
        </w:rPr>
        <w:footnoteRef/>
      </w:r>
      <w:r>
        <w:t xml:space="preserve"> 47 U.S.C. § 312(f)(2); </w:t>
      </w:r>
      <w:r>
        <w:rPr>
          <w:i/>
          <w:iCs/>
        </w:rPr>
        <w:t xml:space="preserve">see also </w:t>
      </w:r>
      <w:r>
        <w:rPr>
          <w:i/>
        </w:rPr>
        <w:t xml:space="preserve">Southern California Broadcasting Co., </w:t>
      </w:r>
      <w:r>
        <w:t xml:space="preserve">6 FCC Rcd at 4388, </w:t>
      </w:r>
      <w:r w:rsidR="006D4B46">
        <w:t>para.</w:t>
      </w:r>
      <w:r>
        <w:t xml:space="preserve"> 5; </w:t>
      </w:r>
      <w:r>
        <w:rPr>
          <w:i/>
        </w:rPr>
        <w:t xml:space="preserve">Callais Cablevision, Inc., </w:t>
      </w:r>
      <w:r>
        <w:t>16 FCC Rcd at 1362, para. 9.</w:t>
      </w:r>
    </w:p>
  </w:footnote>
  <w:footnote w:id="30">
    <w:p w:rsidR="00BF1575" w:rsidP="00021BB0" w14:paraId="699EF538" w14:textId="6171E7D4">
      <w:pPr>
        <w:pStyle w:val="FootnoteText"/>
      </w:pPr>
      <w:r>
        <w:rPr>
          <w:rStyle w:val="FootnoteReference"/>
        </w:rPr>
        <w:footnoteRef/>
      </w:r>
      <w:r>
        <w:t xml:space="preserve"> 47 U.S.C. § 503(b); 47 CFR § 1.80(g).</w:t>
      </w:r>
    </w:p>
  </w:footnote>
  <w:footnote w:id="31">
    <w:p w:rsidR="00BF1575" w:rsidP="00021BB0" w14:paraId="123257EA" w14:textId="7D98A2A7">
      <w:pPr>
        <w:pStyle w:val="FootnoteText"/>
      </w:pPr>
      <w:r>
        <w:rPr>
          <w:rStyle w:val="FootnoteReference"/>
        </w:rPr>
        <w:footnoteRef/>
      </w:r>
      <w:r>
        <w:rPr>
          <w:i/>
        </w:rPr>
        <w:t xml:space="preserve"> See, e.g., SBC Communications, Inc</w:t>
      </w:r>
      <w:r>
        <w:t>.,</w:t>
      </w:r>
      <w:r>
        <w:rPr>
          <w:i/>
        </w:rPr>
        <w:t xml:space="preserve"> </w:t>
      </w:r>
      <w:r>
        <w:t>Forfeiture Order, 17 FCC Rcd 7589, 7591, para. 4 (2002) (forfeiture paid).</w:t>
      </w:r>
    </w:p>
  </w:footnote>
  <w:footnote w:id="32">
    <w:p w:rsidR="00BF1575" w14:paraId="7A0959CD" w14:textId="47DD968D">
      <w:pPr>
        <w:pStyle w:val="FootnoteText"/>
      </w:pPr>
      <w:r>
        <w:rPr>
          <w:rStyle w:val="FootnoteReference"/>
        </w:rPr>
        <w:footnoteRef/>
      </w:r>
      <w:r>
        <w:t xml:space="preserve"> </w:t>
      </w:r>
      <w:r w:rsidRPr="00424ADB">
        <w:rPr>
          <w:i/>
          <w:iCs/>
        </w:rPr>
        <w:t>Id</w:t>
      </w:r>
      <w:r>
        <w:rPr>
          <w:i/>
          <w:iCs/>
        </w:rPr>
        <w:t>.</w:t>
      </w:r>
      <w:r>
        <w:t xml:space="preserve"> at Item 43.  </w:t>
      </w:r>
      <w:r w:rsidRPr="008C14AE">
        <w:rPr>
          <w:i/>
          <w:iCs/>
        </w:rPr>
        <w:t>See also</w:t>
      </w:r>
      <w:r>
        <w:t xml:space="preserve"> Future Voice, LLC v. John A. Moffa, Petition for Assignment for the Benefit of Creditors, Circuit Court of Eleventh Judicial Circuit in and for Miami-Dade County Florida, Case No. 2015-006909-CA-01 (Dec. 08, 2015).</w:t>
      </w:r>
    </w:p>
  </w:footnote>
  <w:footnote w:id="33">
    <w:p w:rsidR="00BF1575" w:rsidP="005E7141" w14:paraId="491AF921" w14:textId="43640B44">
      <w:pPr>
        <w:pStyle w:val="FootnoteText"/>
      </w:pPr>
      <w:r>
        <w:rPr>
          <w:rStyle w:val="FootnoteReference"/>
        </w:rPr>
        <w:footnoteRef/>
      </w:r>
      <w:r>
        <w:t xml:space="preserve"> </w:t>
      </w:r>
      <w:r w:rsidR="00F948B5">
        <w:t>STA Request.</w:t>
      </w:r>
    </w:p>
  </w:footnote>
  <w:footnote w:id="34">
    <w:p w:rsidR="00BF1575" w:rsidP="006C37D9" w14:paraId="639D7864" w14:textId="18A8183F">
      <w:pPr>
        <w:pStyle w:val="FootnoteText"/>
      </w:pPr>
      <w:r>
        <w:rPr>
          <w:rStyle w:val="FootnoteReference"/>
        </w:rPr>
        <w:footnoteRef/>
      </w:r>
      <w:r>
        <w:t xml:space="preserve"> Of Future Voice’s 411 customers, 386 are Residential customers and 25 are Enterprise customers.  LOI Response at 13.  Upon approval by the Commission of the Future Voice assignment application and the Miami-Dade County Circuit Court, these customers will be fully integrated into the overall network of Etelix.  Presently, these customers are served by Etelix under management agreement approved by a Court Order issued when Future Voice closed under an Assignment for Benefit proceeding in Florida 2016.  </w:t>
      </w:r>
      <w:r w:rsidRPr="006C37D9">
        <w:rPr>
          <w:i/>
          <w:iCs/>
        </w:rPr>
        <w:t>Id.</w:t>
      </w:r>
    </w:p>
  </w:footnote>
  <w:footnote w:id="35">
    <w:p w:rsidR="00BF1575" w14:paraId="3F7A6784" w14:textId="0421B936">
      <w:pPr>
        <w:pStyle w:val="FootnoteText"/>
      </w:pPr>
      <w:r>
        <w:rPr>
          <w:rStyle w:val="FootnoteReference"/>
        </w:rPr>
        <w:footnoteRef/>
      </w:r>
      <w:r>
        <w:t xml:space="preserve"> LOI Response at 13.</w:t>
      </w:r>
    </w:p>
  </w:footnote>
  <w:footnote w:id="36">
    <w:p w:rsidR="00BF1575" w14:paraId="78CCBA4F" w14:textId="0260973C">
      <w:pPr>
        <w:pStyle w:val="FootnoteText"/>
      </w:pPr>
      <w:r>
        <w:rPr>
          <w:rStyle w:val="FootnoteReference"/>
        </w:rPr>
        <w:footnoteRef/>
      </w:r>
      <w:r>
        <w:t xml:space="preserve"> 47 CFR § 63.25(b); </w:t>
      </w:r>
      <w:r>
        <w:rPr>
          <w:i/>
          <w:iCs/>
        </w:rPr>
        <w:t>s</w:t>
      </w:r>
      <w:r w:rsidRPr="00A21EC4">
        <w:rPr>
          <w:i/>
          <w:iCs/>
        </w:rPr>
        <w:t>ee also</w:t>
      </w:r>
      <w:r>
        <w:t>, 47 CFR § 1.10016.</w:t>
      </w:r>
    </w:p>
  </w:footnote>
  <w:footnote w:id="37">
    <w:p w:rsidR="00BF1575" w14:paraId="27CDA54B" w14:textId="6FDE5960">
      <w:pPr>
        <w:pStyle w:val="FootnoteText"/>
      </w:pPr>
      <w:r>
        <w:rPr>
          <w:rStyle w:val="FootnoteReference"/>
        </w:rPr>
        <w:footnoteRef/>
      </w:r>
      <w:r>
        <w:t xml:space="preserve"> 47 CFR § 63.25(a).</w:t>
      </w:r>
    </w:p>
  </w:footnote>
  <w:footnote w:id="38">
    <w:p w:rsidR="006E0A6A" w14:paraId="64BE6035" w14:textId="273D992E">
      <w:pPr>
        <w:pStyle w:val="FootnoteText"/>
      </w:pPr>
      <w:r>
        <w:rPr>
          <w:rStyle w:val="FootnoteReference"/>
        </w:rPr>
        <w:footnoteRef/>
      </w:r>
      <w:r>
        <w:t xml:space="preserve"> </w:t>
      </w:r>
      <w:r w:rsidRPr="0070628D" w:rsidR="00FD0AA0">
        <w:rPr>
          <w:i/>
          <w:iCs/>
        </w:rPr>
        <w:t>See Mobile Radio of Kokomo, Inc.</w:t>
      </w:r>
      <w:r w:rsidR="00FD0AA0">
        <w:t>, 27 FCC Rcd 15015, 15021, para. 17 (MD-WTB 2012)</w:t>
      </w:r>
      <w:r w:rsidR="007578C0">
        <w:t xml:space="preserve"> </w:t>
      </w:r>
      <w:r w:rsidR="00FD0AA0">
        <w:t>(“If Mobile Radio does not request additional special temporary authority, it will no longer be authorized to provide further service and shall cease any and all operations . . .”)</w:t>
      </w:r>
      <w:r w:rsidR="000969EA">
        <w:t>.</w:t>
      </w:r>
    </w:p>
  </w:footnote>
  <w:footnote w:id="39">
    <w:p w:rsidR="00BF1575" w14:paraId="16F35CFB" w14:textId="611C3046">
      <w:pPr>
        <w:pStyle w:val="FootnoteText"/>
      </w:pPr>
      <w:r>
        <w:rPr>
          <w:rStyle w:val="FootnoteReference"/>
        </w:rPr>
        <w:footnoteRef/>
      </w:r>
      <w:r>
        <w:t xml:space="preserve"> Etelix.com USA, LLC, Application for Authority Pursuant to Section 214 of the Communications Act of 1934, IBFS File No. ITC-214-20090625-00303, p.2 (filed June 25, 2009).</w:t>
      </w:r>
    </w:p>
  </w:footnote>
  <w:footnote w:id="40">
    <w:p w:rsidR="00BF1575" w14:paraId="3E65CB79" w14:textId="7010F6CF">
      <w:pPr>
        <w:pStyle w:val="FootnoteText"/>
      </w:pPr>
      <w:r>
        <w:rPr>
          <w:rStyle w:val="FootnoteReference"/>
        </w:rPr>
        <w:footnoteRef/>
      </w:r>
      <w:r>
        <w:t xml:space="preserve"> Future Voice </w:t>
      </w:r>
      <w:r w:rsidR="00F948B5">
        <w:t>Application</w:t>
      </w:r>
      <w:r>
        <w:t>, Assignment Petition at 5.</w:t>
      </w:r>
    </w:p>
  </w:footnote>
  <w:footnote w:id="41">
    <w:p w:rsidR="00D34679" w14:paraId="2B0C9832" w14:textId="6ADAF5F7">
      <w:pPr>
        <w:pStyle w:val="FootnoteText"/>
      </w:pPr>
      <w:r>
        <w:rPr>
          <w:rStyle w:val="FootnoteReference"/>
        </w:rPr>
        <w:footnoteRef/>
      </w:r>
      <w:r>
        <w:t xml:space="preserve"> LOI Response at 5.</w:t>
      </w:r>
    </w:p>
  </w:footnote>
  <w:footnote w:id="42">
    <w:p w:rsidR="00D34679" w14:paraId="42F31CC8" w14:textId="1BF52949">
      <w:pPr>
        <w:pStyle w:val="FootnoteText"/>
      </w:pPr>
      <w:r>
        <w:rPr>
          <w:rStyle w:val="FootnoteReference"/>
        </w:rPr>
        <w:footnoteRef/>
      </w:r>
      <w:r>
        <w:t xml:space="preserve"> </w:t>
      </w:r>
      <w:r w:rsidR="007578C0">
        <w:rPr>
          <w:i/>
          <w:iCs/>
        </w:rPr>
        <w:t>Id.</w:t>
      </w:r>
    </w:p>
  </w:footnote>
  <w:footnote w:id="43">
    <w:p w:rsidR="00BF1575" w14:paraId="6A94030C" w14:textId="72362BEB">
      <w:pPr>
        <w:pStyle w:val="FootnoteText"/>
      </w:pPr>
      <w:r>
        <w:rPr>
          <w:rStyle w:val="FootnoteReference"/>
        </w:rPr>
        <w:footnoteRef/>
      </w:r>
      <w:r>
        <w:t xml:space="preserve"> LOI Response at 3, 6, 8, and 16; </w:t>
      </w:r>
      <w:r w:rsidRPr="000D6647">
        <w:rPr>
          <w:i/>
          <w:iCs/>
        </w:rPr>
        <w:t>see also</w:t>
      </w:r>
      <w:r>
        <w:t>, PureSnax International Inc., Current Report (Form 8K, Section 1) (June 25, 2018).</w:t>
      </w:r>
    </w:p>
  </w:footnote>
  <w:footnote w:id="44">
    <w:p w:rsidR="00BF1575" w14:paraId="73444C6F" w14:textId="666DBF83">
      <w:pPr>
        <w:pStyle w:val="FootnoteText"/>
      </w:pPr>
      <w:r>
        <w:rPr>
          <w:rStyle w:val="FootnoteReference"/>
        </w:rPr>
        <w:footnoteRef/>
      </w:r>
      <w:r>
        <w:t xml:space="preserve"> LOI Response at 3, 16; </w:t>
      </w:r>
      <w:r w:rsidRPr="009D4791">
        <w:rPr>
          <w:i/>
          <w:iCs/>
        </w:rPr>
        <w:t>see also</w:t>
      </w:r>
      <w:r>
        <w:t>, iQSTEL</w:t>
      </w:r>
      <w:r w:rsidR="00AE14CB">
        <w:t>,</w:t>
      </w:r>
      <w:r>
        <w:t xml:space="preserve"> Inc., Current Report (Form 8K) (Aug. 30, 2018).</w:t>
      </w:r>
    </w:p>
  </w:footnote>
  <w:footnote w:id="45">
    <w:p w:rsidR="00BF1575" w14:paraId="78C7C0C6" w14:textId="07899BEA">
      <w:pPr>
        <w:pStyle w:val="FootnoteText"/>
      </w:pPr>
      <w:r>
        <w:rPr>
          <w:rStyle w:val="FootnoteReference"/>
        </w:rPr>
        <w:footnoteRef/>
      </w:r>
      <w:r>
        <w:t xml:space="preserve"> LOI Response at 16-17.</w:t>
      </w:r>
    </w:p>
  </w:footnote>
  <w:footnote w:id="46">
    <w:p w:rsidR="005F284F" w14:paraId="041EAFBA" w14:textId="7F01B09F">
      <w:pPr>
        <w:pStyle w:val="FootnoteText"/>
      </w:pPr>
      <w:r>
        <w:rPr>
          <w:rStyle w:val="FootnoteReference"/>
        </w:rPr>
        <w:footnoteRef/>
      </w:r>
      <w:r>
        <w:t xml:space="preserve"> Transfers of control or assignments that do not result in a change in the actual controlling party are considered non-substantial or </w:t>
      </w:r>
      <w:r w:rsidRPr="00C63F2D">
        <w:rPr>
          <w:i/>
          <w:iCs/>
        </w:rPr>
        <w:t>pro forma</w:t>
      </w:r>
      <w:r>
        <w:t xml:space="preserve">.  47 CFR § 63.24(d).  Whether there has been a change in the actual controlling party must be determined on a case-by-case basis with reference to, but not limited to, the following factors: </w:t>
      </w:r>
      <w:r w:rsidR="000C510F">
        <w:t xml:space="preserve"> </w:t>
      </w:r>
      <w:r>
        <w:t xml:space="preserve">equity ownership, power to constitute or appoint more than </w:t>
      </w:r>
      <w:r w:rsidR="000C510F">
        <w:t>50%</w:t>
      </w:r>
      <w:r>
        <w:t xml:space="preserve"> of the board of directors or partnership management committee; authority to appoint, promote, demote and fire senior executives that control the day-to-day activities of the licensee; ability to play an integral role in major management decisions of the licensee; authority to pay financial obligations, including expenses arising out of operations; ability to receive monies and profits from the facility's operations; and unfettered use of all facilities and equipment.  47 CFR § 63.24(d), n</w:t>
      </w:r>
      <w:r w:rsidR="00EA4FD6">
        <w:t>.</w:t>
      </w:r>
      <w:r>
        <w:t>1.</w:t>
      </w:r>
    </w:p>
  </w:footnote>
  <w:footnote w:id="47">
    <w:p w:rsidR="005F284F" w14:paraId="7C36C21A" w14:textId="7EE1B3ED">
      <w:pPr>
        <w:pStyle w:val="FootnoteText"/>
      </w:pPr>
      <w:r>
        <w:rPr>
          <w:rStyle w:val="FootnoteReference"/>
        </w:rPr>
        <w:footnoteRef/>
      </w:r>
      <w:r>
        <w:t xml:space="preserve"> 47 CFR § 63.24(d), n</w:t>
      </w:r>
      <w:r w:rsidR="0015635D">
        <w:t>.</w:t>
      </w:r>
      <w:r>
        <w:t>2</w:t>
      </w:r>
      <w:r w:rsidR="006C5CB3">
        <w:t xml:space="preserve"> (Assignment from an individual to a corporation owned a</w:t>
      </w:r>
      <w:r w:rsidR="004D1FF9">
        <w:t>nd</w:t>
      </w:r>
      <w:r w:rsidR="006C5CB3">
        <w:t xml:space="preserve"> controlled by such individual without any substantial change in their relative interests is presumably </w:t>
      </w:r>
      <w:r w:rsidRPr="009672CA" w:rsidR="006C5CB3">
        <w:rPr>
          <w:i/>
          <w:iCs/>
        </w:rPr>
        <w:t>pro forma</w:t>
      </w:r>
      <w:r w:rsidR="006C5CB3">
        <w:t>).</w:t>
      </w:r>
    </w:p>
  </w:footnote>
  <w:footnote w:id="48">
    <w:p w:rsidR="009672CA" w14:paraId="3AD185CF" w14:textId="5363E55D">
      <w:pPr>
        <w:pStyle w:val="FootnoteText"/>
      </w:pPr>
      <w:r>
        <w:rPr>
          <w:rStyle w:val="FootnoteReference"/>
        </w:rPr>
        <w:footnoteRef/>
      </w:r>
      <w:r>
        <w:t xml:space="preserve"> LOI Response at 8.</w:t>
      </w:r>
    </w:p>
  </w:footnote>
  <w:footnote w:id="49">
    <w:p w:rsidR="00BF1575" w14:paraId="0ADCB128" w14:textId="040FA897">
      <w:pPr>
        <w:pStyle w:val="FootnoteText"/>
      </w:pPr>
      <w:r>
        <w:rPr>
          <w:rStyle w:val="FootnoteReference"/>
        </w:rPr>
        <w:footnoteRef/>
      </w:r>
      <w:r>
        <w:t xml:space="preserve"> LOI Response at 8.  </w:t>
      </w:r>
      <w:r w:rsidRPr="001E1DFB">
        <w:t>The holders of Series A Preferred Stock, voting separately as a class, have the right to vote on all shareholder matters equal to fifty-one (51%) percent of the total vote (i.e., if there are 10,000 shares of the Corporation’s common stock issued and outstanding at the time of a shareholder vote, the holders of the Series A Preferred Stock, voting separately as a class, will have the right to vote an aggregate of 10,410 shares, out of a total number of 20,410 shares voting).</w:t>
      </w:r>
      <w:r>
        <w:t xml:space="preserve">  </w:t>
      </w:r>
      <w:r w:rsidRPr="001E1DFB">
        <w:rPr>
          <w:i/>
          <w:iCs/>
        </w:rPr>
        <w:t>Id.</w:t>
      </w:r>
    </w:p>
  </w:footnote>
  <w:footnote w:id="50">
    <w:p w:rsidR="00BF1575" w14:paraId="4A1991E7" w14:textId="6A80D591">
      <w:pPr>
        <w:pStyle w:val="FootnoteText"/>
      </w:pPr>
      <w:r>
        <w:rPr>
          <w:rStyle w:val="FootnoteReference"/>
        </w:rPr>
        <w:footnoteRef/>
      </w:r>
      <w:r>
        <w:t xml:space="preserve"> LOI Response at 8.</w:t>
      </w:r>
    </w:p>
  </w:footnote>
  <w:footnote w:id="51">
    <w:p w:rsidR="0020244F" w14:paraId="14855A11" w14:textId="54E8A576">
      <w:pPr>
        <w:pStyle w:val="FootnoteText"/>
      </w:pPr>
      <w:r>
        <w:rPr>
          <w:rStyle w:val="FootnoteReference"/>
        </w:rPr>
        <w:footnoteRef/>
      </w:r>
      <w:r>
        <w:t xml:space="preserve"> LOI Response at 8.</w:t>
      </w:r>
      <w:r w:rsidR="0016776F">
        <w:t xml:space="preserve">  As with Mr. Iglesias, Mr. Quintana’s eligibility to hold an FCC license will need </w:t>
      </w:r>
      <w:r w:rsidR="009A02F4">
        <w:t xml:space="preserve">to be referred to the Committee for </w:t>
      </w:r>
      <w:r w:rsidR="0016776F">
        <w:t>review</w:t>
      </w:r>
      <w:r w:rsidR="001D1556">
        <w:t xml:space="preserve"> </w:t>
      </w:r>
      <w:r w:rsidR="0016776F">
        <w:t>as he is a foreign national.</w:t>
      </w:r>
      <w:r w:rsidR="001D1556">
        <w:t xml:space="preserve">  </w:t>
      </w:r>
      <w:r w:rsidRPr="001D1556" w:rsidR="001D1556">
        <w:rPr>
          <w:i/>
          <w:iCs/>
        </w:rPr>
        <w:t>See</w:t>
      </w:r>
      <w:r w:rsidR="001D1556">
        <w:t xml:space="preserve"> 47 U.S.C. § 310(b).</w:t>
      </w:r>
    </w:p>
  </w:footnote>
  <w:footnote w:id="52">
    <w:p w:rsidR="00BF1575" w14:paraId="3D8FEBCA" w14:textId="4B30B4EA">
      <w:pPr>
        <w:pStyle w:val="FootnoteText"/>
      </w:pPr>
      <w:r>
        <w:rPr>
          <w:rStyle w:val="FootnoteReference"/>
        </w:rPr>
        <w:footnoteRef/>
      </w:r>
      <w:r>
        <w:t xml:space="preserve"> iQSTEL</w:t>
      </w:r>
      <w:r w:rsidR="004B1A6D">
        <w:t>,</w:t>
      </w:r>
      <w:r>
        <w:t xml:space="preserve"> Inc., Current Report (Form 8K) (Nov. 6, 2020).</w:t>
      </w:r>
    </w:p>
  </w:footnote>
  <w:footnote w:id="53">
    <w:p w:rsidR="00BF1575" w14:paraId="5EF58F03" w14:textId="26994927">
      <w:pPr>
        <w:pStyle w:val="FootnoteText"/>
      </w:pPr>
      <w:r>
        <w:rPr>
          <w:rStyle w:val="FootnoteReference"/>
        </w:rPr>
        <w:footnoteRef/>
      </w:r>
      <w:r>
        <w:t xml:space="preserve"> iQSTEL</w:t>
      </w:r>
      <w:r w:rsidR="004B1A6D">
        <w:t>,</w:t>
      </w:r>
      <w:r>
        <w:t xml:space="preserve"> Inc., Current Report (Form 8K) (Dec. 10, 2020).</w:t>
      </w:r>
    </w:p>
  </w:footnote>
  <w:footnote w:id="54">
    <w:p w:rsidR="00BF1575" w14:paraId="7F41CB01" w14:textId="2E335E41">
      <w:pPr>
        <w:pStyle w:val="FootnoteText"/>
      </w:pPr>
      <w:r>
        <w:rPr>
          <w:rStyle w:val="FootnoteReference"/>
        </w:rPr>
        <w:footnoteRef/>
      </w:r>
      <w:r>
        <w:t xml:space="preserve"> </w:t>
      </w:r>
      <w:r w:rsidRPr="00C322FE" w:rsidR="00706A88">
        <w:rPr>
          <w:i/>
        </w:rPr>
        <w:t>See</w:t>
      </w:r>
      <w:r w:rsidRPr="004B1A6D" w:rsidR="00706A88">
        <w:t xml:space="preserve"> </w:t>
      </w:r>
      <w:r w:rsidR="00706A88">
        <w:t>E-mail from Edward Maldonado, Esq., counsel to Etelix.com USA, LLC to Georgina Feigen, Esq., Attorney Advisor, Investigations and Hearings Division, FCC Enforcement Bureau (Mar. 12, 2021, 21:03 EDT)</w:t>
      </w:r>
      <w:r w:rsidRPr="00706A88" w:rsidR="00706A88">
        <w:t xml:space="preserve"> </w:t>
      </w:r>
      <w:r w:rsidR="00706A88">
        <w:t xml:space="preserve">(on file in EB-IHD-20-00031637); </w:t>
      </w:r>
      <w:r>
        <w:t>E-mail from Edward Maldonado, Esq., counsel to Etelix.com USA, LLC to Georgina Feigen, Esq., Attorney Advisor, Investigations and Hearings Division, FCC Enforcement Bureau (Mar. 16, 2021, 13:39 EDT)</w:t>
      </w:r>
      <w:r w:rsidR="00706A88">
        <w:t xml:space="preserve"> (on file in EB-IHD-20-00031637) (collectively Maldonado E-mails)</w:t>
      </w:r>
      <w:r>
        <w:t>.</w:t>
      </w:r>
    </w:p>
  </w:footnote>
  <w:footnote w:id="55">
    <w:p w:rsidR="00BF1575" w14:paraId="0CC4E846" w14:textId="33C08827">
      <w:pPr>
        <w:pStyle w:val="FootnoteText"/>
      </w:pPr>
      <w:r>
        <w:rPr>
          <w:rStyle w:val="FootnoteReference"/>
        </w:rPr>
        <w:footnoteRef/>
      </w:r>
      <w:r>
        <w:t xml:space="preserve"> Pursuant to section 63.24(c) of the Commission’s rules, a change from 50% or more to less than 50% ownership, is always considered a transfer of control.  47 CFR § 63.24(c); </w:t>
      </w:r>
      <w:r w:rsidRPr="00C63F2D">
        <w:rPr>
          <w:i/>
          <w:iCs/>
        </w:rPr>
        <w:t>see Sandwich Isles Communications, Inc.</w:t>
      </w:r>
      <w:r>
        <w:t xml:space="preserve">, 31 FCC Rcd 12947, 12953, </w:t>
      </w:r>
      <w:r w:rsidR="00AE14CB">
        <w:t>n</w:t>
      </w:r>
      <w:r>
        <w:t xml:space="preserve">.48 (2016).   Transfers of control of International 214 authorizations that are not </w:t>
      </w:r>
      <w:r w:rsidRPr="00517678">
        <w:rPr>
          <w:i/>
          <w:iCs/>
        </w:rPr>
        <w:t>pro forma</w:t>
      </w:r>
      <w:r>
        <w:t xml:space="preserve"> require the proposed assignee or transferee to apply to the Commission for authority prior to the transfer. 47 CFR § 63.24(e).</w:t>
      </w:r>
    </w:p>
  </w:footnote>
  <w:footnote w:id="56">
    <w:p w:rsidR="00BF1575" w:rsidP="00597835" w14:paraId="009503BD" w14:textId="7EA436BF">
      <w:pPr>
        <w:pStyle w:val="FootnoteText"/>
      </w:pPr>
      <w:r>
        <w:rPr>
          <w:rStyle w:val="FootnoteReference"/>
        </w:rPr>
        <w:footnoteRef/>
      </w:r>
      <w:r>
        <w:t xml:space="preserve"> 47 CFR § 63.24(d), n.1.  The Commission defines control to include “actual working control in whatever manner exercised and is not limited to majority stock ownership.”  47 CFR § 63.09(b).</w:t>
      </w:r>
    </w:p>
  </w:footnote>
  <w:footnote w:id="57">
    <w:p w:rsidR="00DD0639" w14:paraId="61AC6D3D" w14:textId="7A4D89C6">
      <w:pPr>
        <w:pStyle w:val="FootnoteText"/>
      </w:pPr>
      <w:r>
        <w:rPr>
          <w:rStyle w:val="FootnoteReference"/>
        </w:rPr>
        <w:footnoteRef/>
      </w:r>
      <w:r>
        <w:t xml:space="preserve"> </w:t>
      </w:r>
      <w:r w:rsidR="004050EB">
        <w:t xml:space="preserve">iQSTEL, Current Report (Form </w:t>
      </w:r>
      <w:r w:rsidR="00352A52">
        <w:t>8K</w:t>
      </w:r>
      <w:r w:rsidR="004050EB">
        <w:t>), Exhibit 10.4 (</w:t>
      </w:r>
      <w:r w:rsidR="00352A52">
        <w:t>June 28, 2018</w:t>
      </w:r>
      <w:r w:rsidR="004050EB">
        <w:t>)</w:t>
      </w:r>
      <w:r w:rsidR="00352A52">
        <w:t>.</w:t>
      </w:r>
    </w:p>
  </w:footnote>
  <w:footnote w:id="58">
    <w:p w:rsidR="00F72EF1" w:rsidP="00F72EF1" w14:paraId="1CF5E06D" w14:textId="325B4525">
      <w:pPr>
        <w:pStyle w:val="FootnoteText"/>
      </w:pPr>
      <w:r>
        <w:rPr>
          <w:rStyle w:val="FootnoteReference"/>
        </w:rPr>
        <w:footnoteRef/>
      </w:r>
      <w:r>
        <w:t xml:space="preserve"> </w:t>
      </w:r>
      <w:r w:rsidR="003227A2">
        <w:rPr>
          <w:i/>
          <w:iCs/>
        </w:rPr>
        <w:t>Applications of Metromedia</w:t>
      </w:r>
      <w:r w:rsidR="003227A2">
        <w:t>, 98 FCC 2d 300,</w:t>
      </w:r>
      <w:r>
        <w:t xml:space="preserve"> 306, para.8</w:t>
      </w:r>
      <w:r w:rsidR="003227A2">
        <w:t xml:space="preserve"> </w:t>
      </w:r>
      <w:r w:rsidR="007C2DF6">
        <w:t>(1984).</w:t>
      </w:r>
    </w:p>
  </w:footnote>
  <w:footnote w:id="59">
    <w:p w:rsidR="009161AF" w14:paraId="4450B956" w14:textId="7C342026">
      <w:pPr>
        <w:pStyle w:val="FootnoteText"/>
      </w:pPr>
      <w:r>
        <w:rPr>
          <w:rStyle w:val="FootnoteReference"/>
        </w:rPr>
        <w:footnoteRef/>
      </w:r>
      <w:r>
        <w:t xml:space="preserve"> </w:t>
      </w:r>
      <w:r w:rsidRPr="0020244F" w:rsidR="00CB0F3F">
        <w:rPr>
          <w:i/>
          <w:iCs/>
        </w:rPr>
        <w:t>See</w:t>
      </w:r>
      <w:r w:rsidR="00CB0F3F">
        <w:t xml:space="preserve"> E-mail from Edward Maldonado, counsel to Etelix, to Georgina Feigen, Attorney Adviser, Investigations &amp; Hearings Division, FCC Enforcement Bureau (Mar. 16, 2021, 13:39 EDT)</w:t>
      </w:r>
      <w:r w:rsidRPr="00CB0F3F" w:rsidR="00CB0F3F">
        <w:t xml:space="preserve"> </w:t>
      </w:r>
      <w:r w:rsidR="00AE14CB">
        <w:t>(</w:t>
      </w:r>
      <w:r w:rsidR="00CB0F3F">
        <w:t>on file in EB-IHD-20-00031637</w:t>
      </w:r>
      <w:r w:rsidR="00AE14CB">
        <w:t>)</w:t>
      </w:r>
      <w:r w:rsidR="00CB0F3F">
        <w:t>.</w:t>
      </w:r>
    </w:p>
  </w:footnote>
  <w:footnote w:id="60">
    <w:p w:rsidR="004050EB" w14:paraId="6F6778CC" w14:textId="0337F213">
      <w:pPr>
        <w:pStyle w:val="FootnoteText"/>
      </w:pPr>
      <w:r>
        <w:rPr>
          <w:rStyle w:val="FootnoteReference"/>
        </w:rPr>
        <w:footnoteRef/>
      </w:r>
      <w:r>
        <w:t xml:space="preserve"> To further explain this matter, Etelix provided, “if there are 10,000 shares of the Corporation’s common stock issued and outstanding at the time of a shareholder vote, the holders of the Series A Preferred Stock, </w:t>
      </w:r>
      <w:r w:rsidR="00D048AD">
        <w:t xml:space="preserve">voting </w:t>
      </w:r>
      <w:r>
        <w:t>separately as a class, will have the right to vote an aggregate of 10,410 share out of a total of 20,410 shares voting.  Etelix LOI Response, at 8-9.</w:t>
      </w:r>
    </w:p>
  </w:footnote>
  <w:footnote w:id="61">
    <w:p w:rsidR="00BF1575" w14:paraId="666E786B" w14:textId="4F386FA8">
      <w:pPr>
        <w:pStyle w:val="FootnoteText"/>
      </w:pPr>
      <w:r>
        <w:rPr>
          <w:rStyle w:val="FootnoteReference"/>
        </w:rPr>
        <w:footnoteRef/>
      </w:r>
      <w:r>
        <w:t xml:space="preserve"> 47 CFR § 63.24(f);</w:t>
      </w:r>
      <w:r w:rsidRPr="00F36719">
        <w:rPr>
          <w:i/>
          <w:iCs/>
        </w:rPr>
        <w:t xml:space="preserve"> </w:t>
      </w:r>
      <w:r w:rsidRPr="00D26445">
        <w:rPr>
          <w:i/>
          <w:iCs/>
        </w:rPr>
        <w:t>One World Telecom, LLC</w:t>
      </w:r>
      <w:r>
        <w:t>, Order and Consent Decree, 27 FCC Rcd 16663, 16667 (EB 2012).</w:t>
      </w:r>
    </w:p>
  </w:footnote>
  <w:footnote w:id="62">
    <w:p w:rsidR="00BF1575" w14:paraId="62C64DB2" w14:textId="76C245CA">
      <w:pPr>
        <w:pStyle w:val="FootnoteText"/>
      </w:pPr>
      <w:r>
        <w:rPr>
          <w:rStyle w:val="FootnoteReference"/>
        </w:rPr>
        <w:footnoteRef/>
      </w:r>
      <w:r>
        <w:t xml:space="preserve"> </w:t>
      </w:r>
      <w:r w:rsidRPr="0038749A">
        <w:rPr>
          <w:i/>
          <w:iCs/>
        </w:rPr>
        <w:t>Pacific Networks Corp.</w:t>
      </w:r>
      <w:r>
        <w:t>, Order Instituting Proceeding on Revocation and Termination, FCC No. 21-38, 2021 WL 11</w:t>
      </w:r>
      <w:r w:rsidR="002C1F7A">
        <w:t>1</w:t>
      </w:r>
      <w:r>
        <w:t xml:space="preserve">6616, </w:t>
      </w:r>
      <w:r w:rsidR="002C1F7A">
        <w:t xml:space="preserve">at *26, </w:t>
      </w:r>
      <w:r>
        <w:t>para. 60 (Mar. 19, 2021).</w:t>
      </w:r>
    </w:p>
  </w:footnote>
  <w:footnote w:id="63">
    <w:p w:rsidR="00BF1575" w14:paraId="67D8AF7B" w14:textId="0A3D2BF9">
      <w:pPr>
        <w:pStyle w:val="FootnoteText"/>
      </w:pPr>
      <w:r>
        <w:rPr>
          <w:rStyle w:val="FootnoteReference"/>
        </w:rPr>
        <w:footnoteRef/>
      </w:r>
      <w:r>
        <w:t xml:space="preserve"> </w:t>
      </w:r>
      <w:r w:rsidRPr="00570E1B">
        <w:rPr>
          <w:i/>
          <w:iCs/>
        </w:rPr>
        <w:t>See Skyport Global Communications, Inc</w:t>
      </w:r>
      <w:r>
        <w:t xml:space="preserve">., Apparent Liability for Forfeiture, 23 FCC Rcd 16455, 16460 (IHD, Nov. 5, 2008).  </w:t>
      </w:r>
      <w:r w:rsidRPr="00B60681">
        <w:t xml:space="preserve">To date, neither Etelix </w:t>
      </w:r>
      <w:r>
        <w:t>n</w:t>
      </w:r>
      <w:r w:rsidRPr="00B60681">
        <w:t xml:space="preserve">or iQSTEL have reported any changes to </w:t>
      </w:r>
      <w:r>
        <w:t xml:space="preserve">Etelix’s </w:t>
      </w:r>
      <w:r w:rsidRPr="00B60681">
        <w:t>ownership.</w:t>
      </w:r>
      <w:r>
        <w:t xml:space="preserve"> </w:t>
      </w:r>
    </w:p>
  </w:footnote>
  <w:footnote w:id="64">
    <w:p w:rsidR="0040312C" w14:paraId="7DDCA150" w14:textId="10E4B46C">
      <w:pPr>
        <w:pStyle w:val="FootnoteText"/>
      </w:pPr>
      <w:r>
        <w:rPr>
          <w:rStyle w:val="FootnoteReference"/>
        </w:rPr>
        <w:footnoteRef/>
      </w:r>
      <w:r>
        <w:t xml:space="preserve"> 47 U.S.C. § 214; 47 CFR § 63.24(f).</w:t>
      </w:r>
    </w:p>
  </w:footnote>
  <w:footnote w:id="65">
    <w:p w:rsidR="00BF1575" w14:paraId="58FBC0E4" w14:textId="251C5165">
      <w:pPr>
        <w:pStyle w:val="FootnoteText"/>
      </w:pPr>
      <w:r>
        <w:rPr>
          <w:rStyle w:val="FootnoteReference"/>
        </w:rPr>
        <w:footnoteRef/>
      </w:r>
      <w:r>
        <w:t xml:space="preserve"> 47 U.S.C. § 214; 47 CFR § 63.24(f).</w:t>
      </w:r>
    </w:p>
  </w:footnote>
  <w:footnote w:id="66">
    <w:p w:rsidR="00BF1575" w14:paraId="08CC9286" w14:textId="711741CC">
      <w:pPr>
        <w:pStyle w:val="FootnoteText"/>
      </w:pPr>
      <w:r>
        <w:rPr>
          <w:rStyle w:val="FootnoteReference"/>
        </w:rPr>
        <w:footnoteRef/>
      </w:r>
      <w:r>
        <w:t xml:space="preserve"> 47 CFR § 1.65(a).  For purposes of section 1.65, “an application is ‘pending’ before the Commission from the time it is accepted for filing by the Commission until a Commission grant or denial of the application is no longer subject to reconsideration by the Commission or to review by any court.”  </w:t>
      </w:r>
      <w:r w:rsidRPr="009A2A1A">
        <w:rPr>
          <w:i/>
          <w:iCs/>
        </w:rPr>
        <w:t>Id.</w:t>
      </w:r>
    </w:p>
  </w:footnote>
  <w:footnote w:id="67">
    <w:p w:rsidR="00BF1575" w14:paraId="5D7D75E7" w14:textId="0EC0F040">
      <w:pPr>
        <w:pStyle w:val="FootnoteText"/>
      </w:pPr>
      <w:r>
        <w:rPr>
          <w:rStyle w:val="FootnoteReference"/>
        </w:rPr>
        <w:footnoteRef/>
      </w:r>
      <w:r>
        <w:t xml:space="preserve"> 47 U.S.C. § 503(b)(1)(A).</w:t>
      </w:r>
    </w:p>
  </w:footnote>
  <w:footnote w:id="68">
    <w:p w:rsidR="00BF1575" w14:paraId="7ABA54D6" w14:textId="2C104B30">
      <w:pPr>
        <w:pStyle w:val="FootnoteText"/>
      </w:pPr>
      <w:r>
        <w:rPr>
          <w:rStyle w:val="FootnoteReference"/>
        </w:rPr>
        <w:footnoteRef/>
      </w:r>
      <w:r>
        <w:t xml:space="preserve"> </w:t>
      </w:r>
      <w:r w:rsidRPr="005B0D28">
        <w:rPr>
          <w:i/>
          <w:iCs/>
        </w:rPr>
        <w:t>Id.</w:t>
      </w:r>
      <w:r>
        <w:t xml:space="preserve"> § 503(b)(1)(B).</w:t>
      </w:r>
    </w:p>
  </w:footnote>
  <w:footnote w:id="69">
    <w:p w:rsidR="00BF1575" w:rsidP="005B0D28" w14:paraId="32386EB3" w14:textId="0888FBDF">
      <w:pPr>
        <w:pStyle w:val="FootnoteText"/>
      </w:pPr>
      <w:r>
        <w:rPr>
          <w:rStyle w:val="FootnoteReference"/>
        </w:rPr>
        <w:footnoteRef/>
      </w:r>
      <w:r>
        <w:t xml:space="preserve"> 47 U.S.C. § 503(b)(2)(B); 47 CFR § 1.80(b)(2); </w:t>
      </w:r>
      <w:r>
        <w:rPr>
          <w:i/>
        </w:rPr>
        <w:t xml:space="preserve">see also Amendment of Section 1.80(b) of the Commission’s Rules, Adjustment of Civil Monetary Penalties to Reflect Inflation, </w:t>
      </w:r>
      <w:r>
        <w:t xml:space="preserve">Order, </w:t>
      </w:r>
      <w:r w:rsidR="00EA4FD6">
        <w:t>DA-21-1631 (EB Dec. 22, 2021);</w:t>
      </w:r>
      <w:r w:rsidRPr="00EA4FD6" w:rsidR="00EA4FD6">
        <w:t xml:space="preserve"> </w:t>
      </w:r>
      <w:r w:rsidRPr="007C51DF" w:rsidR="00EA4FD6">
        <w:rPr>
          <w:rStyle w:val="Emphasis"/>
        </w:rPr>
        <w:t>see also Annual Adjustment of Civil Monetary Penalties to Reflect Inflation</w:t>
      </w:r>
      <w:r w:rsidRPr="007C51DF" w:rsidR="00EA4FD6">
        <w:t xml:space="preserve">, </w:t>
      </w:r>
      <w:r w:rsidRPr="00172CC0" w:rsidR="00EA4FD6">
        <w:t>87 Fed. Reg. 396 (Jan. 5, 2022) (setting January 5, 2022, as the effective date for the increases)</w:t>
      </w:r>
      <w:r>
        <w:t xml:space="preserve">.  </w:t>
      </w:r>
    </w:p>
  </w:footnote>
  <w:footnote w:id="70">
    <w:p w:rsidR="00BF1575" w:rsidP="005B0D28" w14:paraId="39FB90E2" w14:textId="77777777">
      <w:pPr>
        <w:pStyle w:val="FootnoteText"/>
      </w:pPr>
      <w:r>
        <w:rPr>
          <w:rStyle w:val="FootnoteReference"/>
        </w:rPr>
        <w:footnoteRef/>
      </w:r>
      <w:r>
        <w:t xml:space="preserve"> 47 U.S.C. § 503(b)(2)(E).  </w:t>
      </w:r>
    </w:p>
  </w:footnote>
  <w:footnote w:id="71">
    <w:p w:rsidR="00BF1575" w14:paraId="6379D2C8" w14:textId="1EAFC3FC">
      <w:pPr>
        <w:pStyle w:val="FootnoteText"/>
      </w:pPr>
      <w:r>
        <w:rPr>
          <w:rStyle w:val="FootnoteReference"/>
        </w:rPr>
        <w:footnoteRef/>
      </w:r>
      <w:r>
        <w:t xml:space="preserve"> </w:t>
      </w:r>
      <w:r w:rsidRPr="00DD6E89" w:rsidR="00702F6D">
        <w:rPr>
          <w:i/>
          <w:iCs/>
        </w:rPr>
        <w:t>See Unipoint Technologies, Inc</w:t>
      </w:r>
      <w:r w:rsidR="00702F6D">
        <w:t>., 29 FCC Rcd 1633, 1635</w:t>
      </w:r>
      <w:r w:rsidR="00DF5B71">
        <w:t>,</w:t>
      </w:r>
      <w:r w:rsidR="00702F6D">
        <w:t xml:space="preserve"> para. 7 (2014)</w:t>
      </w:r>
      <w:r w:rsidR="0015635D">
        <w:t xml:space="preserve"> (</w:t>
      </w:r>
      <w:r w:rsidRPr="0015635D" w:rsidR="0015635D">
        <w:rPr>
          <w:i/>
          <w:iCs/>
        </w:rPr>
        <w:t>Unipoint</w:t>
      </w:r>
      <w:r w:rsidR="0015635D">
        <w:t>)</w:t>
      </w:r>
      <w:r w:rsidR="00702F6D">
        <w:t xml:space="preserve">; </w:t>
      </w:r>
      <w:r w:rsidRPr="00DD6E89" w:rsidR="00702F6D">
        <w:rPr>
          <w:i/>
          <w:iCs/>
        </w:rPr>
        <w:t>RB Communications, Inc</w:t>
      </w:r>
      <w:r w:rsidR="00702F6D">
        <w:t>., 29 FCC Rcd 5668, 5670</w:t>
      </w:r>
      <w:r w:rsidR="0015635D">
        <w:t>,</w:t>
      </w:r>
      <w:r w:rsidR="00702F6D">
        <w:t xml:space="preserve"> para.8 (2014); </w:t>
      </w:r>
      <w:r w:rsidRPr="000D5872">
        <w:rPr>
          <w:i/>
          <w:iCs/>
        </w:rPr>
        <w:t>Teleplus, LLC</w:t>
      </w:r>
      <w:r>
        <w:t xml:space="preserve">, Apparent Liability for Forfeiture, 24 FCC Rcd 7666, 7670 (EB 2009). </w:t>
      </w:r>
    </w:p>
  </w:footnote>
  <w:footnote w:id="72">
    <w:p w:rsidR="00BF1575" w14:paraId="7250ABEB" w14:textId="502337FC">
      <w:pPr>
        <w:pStyle w:val="FootnoteText"/>
      </w:pPr>
      <w:r>
        <w:rPr>
          <w:rStyle w:val="FootnoteReference"/>
        </w:rPr>
        <w:footnoteRef/>
      </w:r>
      <w:r>
        <w:t xml:space="preserve"> 47 U.S.C. § 214(a).</w:t>
      </w:r>
      <w:r w:rsidRPr="009C524D">
        <w:rPr>
          <w:i/>
        </w:rPr>
        <w:t xml:space="preserve"> </w:t>
      </w:r>
      <w:r w:rsidRPr="00557078">
        <w:rPr>
          <w:i/>
        </w:rPr>
        <w:t>See</w:t>
      </w:r>
      <w:r w:rsidRPr="00557078">
        <w:t xml:space="preserve">, </w:t>
      </w:r>
      <w:r w:rsidRPr="00557078">
        <w:rPr>
          <w:i/>
        </w:rPr>
        <w:t>e.g.</w:t>
      </w:r>
      <w:r w:rsidRPr="00557078">
        <w:t xml:space="preserve">, 47 CFR §§ 63.18, 63.21, 63.24, 63.25; </w:t>
      </w:r>
      <w:r w:rsidRPr="00557078">
        <w:rPr>
          <w:i/>
        </w:rPr>
        <w:t>see als</w:t>
      </w:r>
      <w:r>
        <w:rPr>
          <w:i/>
        </w:rPr>
        <w:t>o Teleplus, LLC</w:t>
      </w:r>
      <w:r>
        <w:rPr>
          <w:iCs/>
        </w:rPr>
        <w:t xml:space="preserve">, 24 FCC Rcd 7666 (EB 2009), </w:t>
      </w:r>
      <w:r w:rsidRPr="00557078">
        <w:rPr>
          <w:i/>
        </w:rPr>
        <w:t>FTTH Communications, LLC,</w:t>
      </w:r>
      <w:r>
        <w:rPr>
          <w:iCs/>
        </w:rPr>
        <w:t xml:space="preserve"> Notice of Apparent Liability, 26 FCC Rcd 12890 (EB 2011), </w:t>
      </w:r>
      <w:r w:rsidRPr="00557078">
        <w:rPr>
          <w:i/>
        </w:rPr>
        <w:t>Omniat International Telecom, LLC</w:t>
      </w:r>
      <w:r>
        <w:rPr>
          <w:iCs/>
        </w:rPr>
        <w:t>, Notice of Apparent Liability 24 FCC Rcd 4254 (2009).</w:t>
      </w:r>
    </w:p>
  </w:footnote>
  <w:footnote w:id="73">
    <w:p w:rsidR="00BF1575" w14:paraId="06626DDC" w14:textId="1368FD73">
      <w:pPr>
        <w:pStyle w:val="FootnoteText"/>
      </w:pPr>
      <w:r>
        <w:rPr>
          <w:rStyle w:val="FootnoteReference"/>
        </w:rPr>
        <w:footnoteRef/>
      </w:r>
      <w:r>
        <w:t xml:space="preserve"> 47 CFR § 1.80(b)(10).</w:t>
      </w:r>
    </w:p>
  </w:footnote>
  <w:footnote w:id="74">
    <w:p w:rsidR="00774247" w14:paraId="62A2DE14" w14:textId="2D070F50">
      <w:pPr>
        <w:pStyle w:val="FootnoteText"/>
      </w:pPr>
      <w:r>
        <w:rPr>
          <w:rStyle w:val="FootnoteReference"/>
        </w:rPr>
        <w:footnoteRef/>
      </w:r>
      <w:r>
        <w:t xml:space="preserve"> </w:t>
      </w:r>
      <w:r w:rsidRPr="00DD6E89">
        <w:rPr>
          <w:i/>
          <w:iCs/>
        </w:rPr>
        <w:t>See Unipoint</w:t>
      </w:r>
      <w:r>
        <w:t xml:space="preserve">, 29 FCC Rcd </w:t>
      </w:r>
      <w:r w:rsidR="0015635D">
        <w:t xml:space="preserve">at </w:t>
      </w:r>
      <w:r>
        <w:t xml:space="preserve">1635, para. 7 (2014); </w:t>
      </w:r>
      <w:r w:rsidRPr="00DD6E89">
        <w:rPr>
          <w:i/>
          <w:iCs/>
        </w:rPr>
        <w:t>see also Pinebrooke Corporation</w:t>
      </w:r>
      <w:r>
        <w:t xml:space="preserve">, 31 FCC Rcd 1176 (MB 2016).  </w:t>
      </w:r>
    </w:p>
  </w:footnote>
  <w:footnote w:id="75">
    <w:p w:rsidR="00BF1575" w14:paraId="17D3A194" w14:textId="2481211D">
      <w:pPr>
        <w:pStyle w:val="FootnoteText"/>
      </w:pPr>
      <w:r>
        <w:rPr>
          <w:rStyle w:val="FootnoteReference"/>
        </w:rPr>
        <w:footnoteRef/>
      </w:r>
      <w:r>
        <w:t xml:space="preserve"> 47 CFR § 1.80(b)(10).</w:t>
      </w:r>
    </w:p>
  </w:footnote>
  <w:footnote w:id="76">
    <w:p w:rsidR="00BF1575" w14:paraId="1523D468" w14:textId="34408FB5">
      <w:pPr>
        <w:pStyle w:val="FootnoteText"/>
      </w:pPr>
      <w:r>
        <w:rPr>
          <w:rStyle w:val="FootnoteReference"/>
        </w:rPr>
        <w:footnoteRef/>
      </w:r>
      <w:r>
        <w:t xml:space="preserve"> 47 CFR § 1.80(b)(10).</w:t>
      </w:r>
    </w:p>
  </w:footnote>
  <w:footnote w:id="77">
    <w:p w:rsidR="00BF1575" w14:paraId="3B7A2879" w14:textId="36183105">
      <w:pPr>
        <w:pStyle w:val="FootnoteText"/>
      </w:pPr>
      <w:r>
        <w:rPr>
          <w:rStyle w:val="FootnoteReference"/>
        </w:rPr>
        <w:footnoteRef/>
      </w:r>
      <w:r>
        <w:t xml:space="preserve"> 47 U.S.C. § 503(b)(2)(E); 47 CFR § 1.80(b)(10).</w:t>
      </w:r>
    </w:p>
  </w:footnote>
  <w:footnote w:id="78">
    <w:p w:rsidR="009869FD" w14:paraId="2A99B78C" w14:textId="7C20732F">
      <w:pPr>
        <w:pStyle w:val="FootnoteText"/>
      </w:pPr>
      <w:r>
        <w:rPr>
          <w:rStyle w:val="FootnoteReference"/>
        </w:rPr>
        <w:footnoteRef/>
      </w:r>
      <w:r>
        <w:t xml:space="preserve"> </w:t>
      </w:r>
      <w:r w:rsidRPr="00DD6E89">
        <w:rPr>
          <w:i/>
          <w:iCs/>
        </w:rPr>
        <w:t xml:space="preserve">See </w:t>
      </w:r>
      <w:r w:rsidRPr="00FD52D3">
        <w:rPr>
          <w:i/>
          <w:iCs/>
        </w:rPr>
        <w:t>supra</w:t>
      </w:r>
      <w:r w:rsidRPr="00FD52D3">
        <w:t xml:space="preserve"> para</w:t>
      </w:r>
      <w:r w:rsidRPr="00FD52D3" w:rsidR="00D048AD">
        <w:t>.</w:t>
      </w:r>
      <w:r w:rsidRPr="00FD52D3">
        <w:t xml:space="preserve"> 1</w:t>
      </w:r>
      <w:r w:rsidRPr="00FD52D3" w:rsidR="00E268C8">
        <w:t>3</w:t>
      </w:r>
      <w:r w:rsidRPr="00FD52D3">
        <w:t>.</w:t>
      </w:r>
    </w:p>
  </w:footnote>
  <w:footnote w:id="79">
    <w:p w:rsidR="00BF1575" w:rsidP="00EB09B3" w14:paraId="28332403" w14:textId="77FBC39A">
      <w:pPr>
        <w:pStyle w:val="FootnoteText"/>
      </w:pPr>
      <w:r>
        <w:rPr>
          <w:rStyle w:val="FootnoteReference"/>
        </w:rPr>
        <w:footnoteRef/>
      </w:r>
      <w:r>
        <w:t xml:space="preserve"> </w:t>
      </w:r>
      <w:r w:rsidRPr="00EB09B3">
        <w:rPr>
          <w:i/>
          <w:iCs/>
        </w:rPr>
        <w:t>See Barrier Communications Corporation</w:t>
      </w:r>
      <w:r>
        <w:t>, 2020 WL 5346893 (Sept. 2, 2020)</w:t>
      </w:r>
      <w:r w:rsidR="0015635D">
        <w:t xml:space="preserve"> (</w:t>
      </w:r>
      <w:r w:rsidRPr="0015635D" w:rsidR="0015635D">
        <w:rPr>
          <w:i/>
          <w:iCs/>
        </w:rPr>
        <w:t>Barrier Communications</w:t>
      </w:r>
      <w:r w:rsidR="0015635D">
        <w:t>)</w:t>
      </w:r>
      <w:r>
        <w:t>.</w:t>
      </w:r>
    </w:p>
  </w:footnote>
  <w:footnote w:id="80">
    <w:p w:rsidR="00706A88" w14:paraId="203ED76C" w14:textId="41A2F797">
      <w:pPr>
        <w:pStyle w:val="FootnoteText"/>
      </w:pPr>
      <w:r>
        <w:rPr>
          <w:rStyle w:val="FootnoteReference"/>
        </w:rPr>
        <w:footnoteRef/>
      </w:r>
      <w:r>
        <w:t xml:space="preserve"> </w:t>
      </w:r>
      <w:r w:rsidRPr="00706A88">
        <w:rPr>
          <w:i/>
          <w:iCs/>
        </w:rPr>
        <w:t>See</w:t>
      </w:r>
      <w:r>
        <w:t xml:space="preserve"> LOI Response at 8; </w:t>
      </w:r>
      <w:r w:rsidRPr="00706A88">
        <w:rPr>
          <w:i/>
          <w:iCs/>
        </w:rPr>
        <w:t>see also</w:t>
      </w:r>
      <w:r>
        <w:t xml:space="preserve"> Maldonado E-mails.</w:t>
      </w:r>
    </w:p>
  </w:footnote>
  <w:footnote w:id="81">
    <w:p w:rsidR="00BF1575" w14:paraId="79DCFD89" w14:textId="0323F5FD">
      <w:pPr>
        <w:pStyle w:val="FootnoteText"/>
      </w:pPr>
      <w:r>
        <w:rPr>
          <w:rStyle w:val="FootnoteReference"/>
        </w:rPr>
        <w:footnoteRef/>
      </w:r>
      <w:r>
        <w:t xml:space="preserve"> </w:t>
      </w:r>
      <w:r w:rsidR="00706A88">
        <w:rPr>
          <w:i/>
          <w:iCs/>
        </w:rPr>
        <w:t>See Barrier Communications Corporation</w:t>
      </w:r>
      <w:r w:rsidR="00706A88">
        <w:t>,</w:t>
      </w:r>
      <w:r>
        <w:t xml:space="preserve"> </w:t>
      </w:r>
      <w:r w:rsidR="002C1F7A">
        <w:t xml:space="preserve">2020 WL 5746893 at *11, </w:t>
      </w:r>
      <w:r>
        <w:t>para. 37.</w:t>
      </w:r>
    </w:p>
  </w:footnote>
  <w:footnote w:id="82">
    <w:p w:rsidR="00FC35A5" w14:paraId="1E1DE20B" w14:textId="555DEF45">
      <w:pPr>
        <w:pStyle w:val="FootnoteText"/>
      </w:pPr>
      <w:r>
        <w:rPr>
          <w:rStyle w:val="FootnoteReference"/>
        </w:rPr>
        <w:footnoteRef/>
      </w:r>
      <w:r>
        <w:t xml:space="preserve"> </w:t>
      </w:r>
      <w:r w:rsidRPr="00DD6E89">
        <w:rPr>
          <w:i/>
          <w:iCs/>
        </w:rPr>
        <w:t>See Carrera Communications, L.P.</w:t>
      </w:r>
      <w:r>
        <w:t>, 20 FCC Rcd 13307, 13319, para. 31 (2005).</w:t>
      </w:r>
    </w:p>
  </w:footnote>
  <w:footnote w:id="83">
    <w:p w:rsidR="008E7364" w14:paraId="0536EB8F" w14:textId="1382A58E">
      <w:pPr>
        <w:pStyle w:val="FootnoteText"/>
      </w:pPr>
      <w:r>
        <w:rPr>
          <w:rStyle w:val="FootnoteReference"/>
        </w:rPr>
        <w:footnoteRef/>
      </w:r>
      <w:r>
        <w:t xml:space="preserve"> </w:t>
      </w:r>
      <w:r w:rsidRPr="00DD6E89">
        <w:rPr>
          <w:i/>
          <w:iCs/>
        </w:rPr>
        <w:t>See Global NAPS California, Inc</w:t>
      </w:r>
      <w:r>
        <w:t>., 24 FCC Rcd 13545, 13557</w:t>
      </w:r>
      <w:r w:rsidR="00DF5B71">
        <w:t>,</w:t>
      </w:r>
      <w:r>
        <w:t xml:space="preserve"> para. 29 (EB 2009); </w:t>
      </w:r>
      <w:r w:rsidRPr="00DD6E89">
        <w:rPr>
          <w:i/>
          <w:iCs/>
        </w:rPr>
        <w:t>ABC Fulfillment Services, LLC</w:t>
      </w:r>
      <w:r>
        <w:t>, 33 FCC Rcd 5530, 5542 para. 25 (2018).</w:t>
      </w:r>
    </w:p>
  </w:footnote>
  <w:footnote w:id="84">
    <w:p w:rsidR="00FC35A5" w14:paraId="13F2B856" w14:textId="40781C55">
      <w:pPr>
        <w:pStyle w:val="FootnoteText"/>
      </w:pPr>
      <w:r>
        <w:rPr>
          <w:rStyle w:val="FootnoteReference"/>
        </w:rPr>
        <w:footnoteRef/>
      </w:r>
      <w:r>
        <w:t xml:space="preserve"> 47 CFR § 1.80.</w:t>
      </w:r>
    </w:p>
  </w:footnote>
  <w:footnote w:id="85">
    <w:p w:rsidR="00D70880" w14:paraId="6D9B01AF" w14:textId="7FCCD809">
      <w:pPr>
        <w:pStyle w:val="FootnoteText"/>
      </w:pPr>
      <w:r>
        <w:rPr>
          <w:rStyle w:val="FootnoteReference"/>
        </w:rPr>
        <w:footnoteRef/>
      </w:r>
      <w:r>
        <w:t xml:space="preserve"> 47 CFR § 1.80.</w:t>
      </w:r>
    </w:p>
  </w:footnote>
  <w:footnote w:id="86">
    <w:p w:rsidR="00D70880" w14:paraId="4AABEEC9" w14:textId="12228AB9">
      <w:pPr>
        <w:pStyle w:val="FootnoteText"/>
      </w:pPr>
      <w:r>
        <w:rPr>
          <w:rStyle w:val="FootnoteReference"/>
        </w:rPr>
        <w:footnoteRef/>
      </w:r>
      <w:r>
        <w:t xml:space="preserve"> </w:t>
      </w:r>
      <w:r w:rsidRPr="009716F7">
        <w:t xml:space="preserve">For questions </w:t>
      </w:r>
      <w:r w:rsidRPr="003433FA">
        <w:t>regarding payment procedures, please contact the Financial Operations Group Help Desk by phone at 1-877-480-3201 (option #</w:t>
      </w:r>
      <w:r w:rsidR="0026792F">
        <w:t>1</w:t>
      </w:r>
      <w:r w:rsidRPr="003433FA">
        <w:t>).</w:t>
      </w:r>
    </w:p>
  </w:footnote>
  <w:footnote w:id="87">
    <w:p w:rsidR="004C3B84" w:rsidRPr="003433FA" w:rsidP="004C3B84" w14:paraId="00A09CCE" w14:textId="77777777">
      <w:pPr>
        <w:pStyle w:val="FootnoteText"/>
      </w:pPr>
      <w:r w:rsidRPr="003433FA">
        <w:rPr>
          <w:rStyle w:val="FootnoteReference"/>
        </w:rPr>
        <w:footnoteRef/>
      </w:r>
      <w:r w:rsidRPr="003433FA">
        <w:t xml:space="preserve"> FCC Form 159 is accessible at </w:t>
      </w:r>
      <w:hyperlink r:id="rId1" w:history="1">
        <w:r w:rsidRPr="003433FA">
          <w:rPr>
            <w:rStyle w:val="Hyperlink"/>
          </w:rPr>
          <w:t>https://www.fcc.gov/licensing-databases/fees/fcc-remittance-advice-form-159</w:t>
        </w:r>
      </w:hyperlink>
      <w:r w:rsidRPr="003433FA">
        <w:rPr>
          <w:rStyle w:val="Hyperlink"/>
        </w:rPr>
        <w:t>.</w:t>
      </w:r>
    </w:p>
  </w:footnote>
  <w:footnote w:id="88">
    <w:p w:rsidR="004C3B84" w:rsidRPr="009716F7" w:rsidP="004C3B84" w14:paraId="2CAC34B9" w14:textId="77777777">
      <w:pPr>
        <w:pStyle w:val="FootnoteText"/>
      </w:pPr>
      <w:r w:rsidRPr="009716F7">
        <w:rPr>
          <w:rStyle w:val="FootnoteReference"/>
        </w:rPr>
        <w:footnoteRef/>
      </w:r>
      <w:r w:rsidRPr="009716F7">
        <w:t xml:space="preserve"> </w:t>
      </w:r>
      <w:r>
        <w:t>Information completed</w:t>
      </w:r>
      <w:r w:rsidRPr="009716F7">
        <w:t xml:space="preserve"> using </w:t>
      </w:r>
      <w:r>
        <w:t>t</w:t>
      </w:r>
      <w:r w:rsidRPr="009716F7">
        <w:t xml:space="preserve">he Commission’s </w:t>
      </w:r>
      <w:r w:rsidRPr="004B6755">
        <w:t>Registration System (CORES)</w:t>
      </w:r>
      <w:r w:rsidRPr="009716F7">
        <w:t xml:space="preserve"> do</w:t>
      </w:r>
      <w:r>
        <w:t>es</w:t>
      </w:r>
      <w:r w:rsidRPr="009716F7">
        <w:t xml:space="preserve"> not require the submission of an FCC Form 159.</w:t>
      </w:r>
      <w:r>
        <w:t xml:space="preserve">  </w:t>
      </w:r>
      <w:r w:rsidRPr="009716F7">
        <w:t xml:space="preserve">CORES </w:t>
      </w:r>
      <w:r>
        <w:t>is accessible</w:t>
      </w:r>
      <w:r w:rsidRPr="004B6755">
        <w:t xml:space="preserve"> at </w:t>
      </w:r>
      <w:hyperlink r:id="rId2" w:history="1">
        <w:r w:rsidRPr="00D76723">
          <w:rPr>
            <w:rStyle w:val="Hyperlink"/>
          </w:rPr>
          <w:t>h</w:t>
        </w:r>
        <w:r w:rsidRPr="00DF5B5C">
          <w:rPr>
            <w:rStyle w:val="Hyperlink"/>
          </w:rPr>
          <w:t>ttps://apps.fcc.gov/cores/userLogin.do</w:t>
        </w:r>
      </w:hyperlink>
      <w:r w:rsidRPr="004B6755">
        <w:t>.</w:t>
      </w:r>
    </w:p>
  </w:footnote>
  <w:footnote w:id="89">
    <w:p w:rsidR="008F76DD" w14:paraId="25026F0C" w14:textId="316BDA97">
      <w:pPr>
        <w:pStyle w:val="FootnoteText"/>
      </w:pPr>
      <w:r>
        <w:rPr>
          <w:rStyle w:val="FootnoteReference"/>
        </w:rPr>
        <w:footnoteRef/>
      </w:r>
      <w:r>
        <w:t xml:space="preserve"> </w:t>
      </w:r>
      <w:r w:rsidRPr="009716F7">
        <w:t xml:space="preserve">Instructions for completing the form may be obtained at </w:t>
      </w:r>
      <w:hyperlink r:id="rId3" w:history="1">
        <w:r w:rsidRPr="009716F7">
          <w:rPr>
            <w:rStyle w:val="Hyperlink"/>
          </w:rPr>
          <w:t>http://www.fcc.gov/Forms/Form159/159.pdf</w:t>
        </w:r>
      </w:hyperlink>
      <w:r w:rsidRPr="009716F7">
        <w:t>.</w:t>
      </w:r>
    </w:p>
  </w:footnote>
  <w:footnote w:id="90">
    <w:p w:rsidR="00E45755" w14:paraId="78543BD1" w14:textId="1003F2CF">
      <w:pPr>
        <w:pStyle w:val="FootnoteText"/>
      </w:pPr>
      <w:r>
        <w:rPr>
          <w:rStyle w:val="FootnoteReference"/>
        </w:rPr>
        <w:footnoteRef/>
      </w:r>
      <w:r>
        <w:t xml:space="preserve"> </w:t>
      </w:r>
      <w:r w:rsidRPr="00ED20AC">
        <w:rPr>
          <w:i/>
          <w:iCs/>
        </w:rPr>
        <w:t>See</w:t>
      </w:r>
      <w:r>
        <w:t xml:space="preserve"> 47 CFR § 1.1914.</w:t>
      </w:r>
    </w:p>
  </w:footnote>
  <w:footnote w:id="91">
    <w:p w:rsidR="00DB5E86" w14:paraId="667BD29C" w14:textId="7B78837B">
      <w:pPr>
        <w:pStyle w:val="FootnoteText"/>
      </w:pPr>
      <w:r>
        <w:rPr>
          <w:rStyle w:val="FootnoteReference"/>
        </w:rPr>
        <w:footnoteRef/>
      </w:r>
      <w:r>
        <w:t xml:space="preserve"> 47 CFR §§ 1.16, 1.80(g)(3).</w:t>
      </w:r>
    </w:p>
  </w:footnote>
  <w:footnote w:id="92">
    <w:p w:rsidR="00DB5E86" w14:paraId="6531900D" w14:textId="606AF334">
      <w:pPr>
        <w:pStyle w:val="FootnoteText"/>
      </w:pPr>
      <w:r>
        <w:rPr>
          <w:rStyle w:val="FootnoteReference"/>
        </w:rPr>
        <w:footnoteRef/>
      </w:r>
      <w:r>
        <w:t xml:space="preserve"> </w:t>
      </w:r>
      <w:r w:rsidRPr="00724C5B">
        <w:rPr>
          <w:i/>
          <w:iCs/>
        </w:rPr>
        <w:t>Adrian Abramovich</w:t>
      </w:r>
      <w:r w:rsidRPr="00724C5B">
        <w:t>, Forfeiture Order, 33 FCC Rcd 4663, 4678-79, paras. 44-45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7FD7" w:rsidRPr="00EB3BFA" w:rsidP="00B77FD7" w14:paraId="49A98C6F" w14:textId="04A289CC">
    <w:pPr>
      <w:pBdr>
        <w:bottom w:val="single" w:sz="12" w:space="1" w:color="auto"/>
      </w:pBdr>
      <w:tabs>
        <w:tab w:val="center" w:pos="4680"/>
        <w:tab w:val="right" w:pos="9360"/>
      </w:tabs>
      <w:jc w:val="center"/>
      <w:rPr>
        <w:b/>
      </w:rPr>
    </w:pPr>
    <w:r w:rsidRPr="00EB3BFA">
      <w:rPr>
        <w:bCs/>
      </w:rPr>
      <w:tab/>
    </w:r>
    <w:r w:rsidRPr="00EB3BFA">
      <w:rPr>
        <w:b/>
      </w:rPr>
      <w:t>Federal Communications Commission</w:t>
    </w:r>
    <w:r w:rsidRPr="00EB3BFA">
      <w:rPr>
        <w:b/>
      </w:rPr>
      <w:tab/>
      <w:t>DA 2</w:t>
    </w:r>
    <w:r>
      <w:rPr>
        <w:b/>
      </w:rPr>
      <w:t>2</w:t>
    </w:r>
    <w:r w:rsidRPr="00EB3BFA">
      <w:rPr>
        <w:b/>
      </w:rPr>
      <w:t>-</w:t>
    </w:r>
    <w:r w:rsidR="00600B5E">
      <w:rPr>
        <w:b/>
      </w:rPr>
      <w:t>779</w:t>
    </w:r>
  </w:p>
  <w:p w:rsidR="00BF1575" w:rsidRPr="00B77FD7" w:rsidP="00B77FD7" w14:paraId="1FC5622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1575" w:rsidRPr="00B77FD7" w:rsidP="00B77FD7" w14:paraId="5B616B61" w14:textId="5CC82CE9">
    <w:pPr>
      <w:pBdr>
        <w:bottom w:val="single" w:sz="12" w:space="1" w:color="auto"/>
      </w:pBdr>
      <w:tabs>
        <w:tab w:val="center" w:pos="4680"/>
        <w:tab w:val="right" w:pos="9360"/>
      </w:tabs>
      <w:jc w:val="center"/>
      <w:rPr>
        <w:b/>
      </w:rPr>
    </w:pPr>
    <w:r w:rsidRPr="00EB3BFA">
      <w:rPr>
        <w:bCs/>
      </w:rPr>
      <w:tab/>
    </w:r>
    <w:r w:rsidRPr="00EB3BFA">
      <w:rPr>
        <w:b/>
      </w:rPr>
      <w:t>Federal Communications Commission</w:t>
    </w:r>
    <w:r w:rsidRPr="00EB3BFA">
      <w:rPr>
        <w:b/>
      </w:rPr>
      <w:tab/>
      <w:t>DA 2</w:t>
    </w:r>
    <w:r>
      <w:rPr>
        <w:b/>
      </w:rPr>
      <w:t>2</w:t>
    </w:r>
    <w:r w:rsidRPr="00EB3BFA">
      <w:rPr>
        <w:b/>
      </w:rPr>
      <w:t>-</w:t>
    </w: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rsidR="00960723">
      <w:rPr>
        <w:b/>
      </w:rPr>
      <w:t>779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1DE0428"/>
    <w:multiLevelType w:val="hybridMultilevel"/>
    <w:tmpl w:val="DAB87F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61182925"/>
    <w:multiLevelType w:val="singleLevel"/>
    <w:tmpl w:val="A9EE9842"/>
    <w:lvl w:ilvl="0">
      <w:start w:val="1"/>
      <w:numFmt w:val="decimal"/>
      <w:lvlText w:val="%1."/>
      <w:lvlJc w:val="left"/>
      <w:pPr>
        <w:tabs>
          <w:tab w:val="num" w:pos="1080"/>
        </w:tabs>
        <w:ind w:left="0" w:firstLine="720"/>
      </w:pPr>
    </w:lvl>
  </w:abstractNum>
  <w:abstractNum w:abstractNumId="7">
    <w:nsid w:val="628E1E95"/>
    <w:multiLevelType w:val="singleLevel"/>
    <w:tmpl w:val="4184B1AE"/>
    <w:lvl w:ilvl="0">
      <w:start w:val="1"/>
      <w:numFmt w:val="decimal"/>
      <w:pStyle w:val="par1"/>
      <w:lvlText w:val="%1."/>
      <w:lvlJc w:val="left"/>
      <w:pPr>
        <w:tabs>
          <w:tab w:val="num" w:pos="990"/>
        </w:tabs>
        <w:ind w:left="-90" w:firstLine="720"/>
      </w:pPr>
    </w:lvl>
  </w:abstractNum>
  <w:abstractNum w:abstractNumId="8">
    <w:nsid w:val="635A4B48"/>
    <w:multiLevelType w:val="hybridMultilevel"/>
    <w:tmpl w:val="947E2AA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7C3669C1"/>
    <w:multiLevelType w:val="hybridMultilevel"/>
    <w:tmpl w:val="1EE8EDD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6"/>
    <w:lvlOverride w:ilvl="0">
      <w:startOverride w:val="1"/>
    </w:lvlOverride>
  </w:num>
  <w:num w:numId="8">
    <w:abstractNumId w:val="6"/>
  </w:num>
  <w:num w:numId="9">
    <w:abstractNumId w:val="6"/>
  </w:num>
  <w:num w:numId="10">
    <w:abstractNumId w:val="7"/>
  </w:num>
  <w:num w:numId="11">
    <w:abstractNumId w:val="6"/>
  </w:num>
  <w:num w:numId="12">
    <w:abstractNumId w:val="5"/>
  </w:num>
  <w:num w:numId="13">
    <w:abstractNumId w:val="8"/>
  </w:num>
  <w:num w:numId="14">
    <w:abstractNumId w:val="6"/>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3E7"/>
    <w:rsid w:val="000039DE"/>
    <w:rsid w:val="00011349"/>
    <w:rsid w:val="00012952"/>
    <w:rsid w:val="00014E47"/>
    <w:rsid w:val="00021BB0"/>
    <w:rsid w:val="00023545"/>
    <w:rsid w:val="00026672"/>
    <w:rsid w:val="000276C7"/>
    <w:rsid w:val="00027E45"/>
    <w:rsid w:val="00032306"/>
    <w:rsid w:val="00035237"/>
    <w:rsid w:val="00036039"/>
    <w:rsid w:val="00036425"/>
    <w:rsid w:val="00037F90"/>
    <w:rsid w:val="00040163"/>
    <w:rsid w:val="00042E9A"/>
    <w:rsid w:val="00043465"/>
    <w:rsid w:val="00043FFC"/>
    <w:rsid w:val="000449D6"/>
    <w:rsid w:val="00050014"/>
    <w:rsid w:val="00052306"/>
    <w:rsid w:val="00066060"/>
    <w:rsid w:val="00071520"/>
    <w:rsid w:val="0007272D"/>
    <w:rsid w:val="00074016"/>
    <w:rsid w:val="00076CC3"/>
    <w:rsid w:val="0007743A"/>
    <w:rsid w:val="00077C3E"/>
    <w:rsid w:val="000814CE"/>
    <w:rsid w:val="000875BF"/>
    <w:rsid w:val="00090D87"/>
    <w:rsid w:val="0009150F"/>
    <w:rsid w:val="000969EA"/>
    <w:rsid w:val="00096D8C"/>
    <w:rsid w:val="000A541D"/>
    <w:rsid w:val="000A60BD"/>
    <w:rsid w:val="000B072C"/>
    <w:rsid w:val="000B4D52"/>
    <w:rsid w:val="000B5020"/>
    <w:rsid w:val="000C0B65"/>
    <w:rsid w:val="000C122E"/>
    <w:rsid w:val="000C4BF7"/>
    <w:rsid w:val="000C510F"/>
    <w:rsid w:val="000C6E20"/>
    <w:rsid w:val="000D06DB"/>
    <w:rsid w:val="000D159E"/>
    <w:rsid w:val="000D5872"/>
    <w:rsid w:val="000D6647"/>
    <w:rsid w:val="000D7348"/>
    <w:rsid w:val="000E05FE"/>
    <w:rsid w:val="000E3D42"/>
    <w:rsid w:val="000E7B1A"/>
    <w:rsid w:val="000F0C23"/>
    <w:rsid w:val="000F1FD9"/>
    <w:rsid w:val="000F5BBD"/>
    <w:rsid w:val="00101C7C"/>
    <w:rsid w:val="0010549E"/>
    <w:rsid w:val="00107DD7"/>
    <w:rsid w:val="00110CE7"/>
    <w:rsid w:val="00110E01"/>
    <w:rsid w:val="00112EED"/>
    <w:rsid w:val="00114365"/>
    <w:rsid w:val="00115825"/>
    <w:rsid w:val="0012007E"/>
    <w:rsid w:val="00122BD5"/>
    <w:rsid w:val="001244A4"/>
    <w:rsid w:val="00127034"/>
    <w:rsid w:val="00130F1D"/>
    <w:rsid w:val="00131669"/>
    <w:rsid w:val="00133F79"/>
    <w:rsid w:val="00134011"/>
    <w:rsid w:val="0014105B"/>
    <w:rsid w:val="00154D0C"/>
    <w:rsid w:val="00155547"/>
    <w:rsid w:val="0015635D"/>
    <w:rsid w:val="001613CF"/>
    <w:rsid w:val="00162014"/>
    <w:rsid w:val="00164FDD"/>
    <w:rsid w:val="00166C9F"/>
    <w:rsid w:val="0016776F"/>
    <w:rsid w:val="00172CC0"/>
    <w:rsid w:val="00173A0D"/>
    <w:rsid w:val="001748A5"/>
    <w:rsid w:val="00174C67"/>
    <w:rsid w:val="00177012"/>
    <w:rsid w:val="00177A18"/>
    <w:rsid w:val="00180EA8"/>
    <w:rsid w:val="00186678"/>
    <w:rsid w:val="0018749B"/>
    <w:rsid w:val="00190081"/>
    <w:rsid w:val="00194A66"/>
    <w:rsid w:val="001A5FD4"/>
    <w:rsid w:val="001B0BE8"/>
    <w:rsid w:val="001B5306"/>
    <w:rsid w:val="001B65B7"/>
    <w:rsid w:val="001C7697"/>
    <w:rsid w:val="001D1556"/>
    <w:rsid w:val="001D5202"/>
    <w:rsid w:val="001D60EC"/>
    <w:rsid w:val="001D66CC"/>
    <w:rsid w:val="001D6BCF"/>
    <w:rsid w:val="001E01CA"/>
    <w:rsid w:val="001E1DFB"/>
    <w:rsid w:val="001E4BB9"/>
    <w:rsid w:val="001E5359"/>
    <w:rsid w:val="001E7DF0"/>
    <w:rsid w:val="001F094A"/>
    <w:rsid w:val="001F2E6E"/>
    <w:rsid w:val="001F3D9C"/>
    <w:rsid w:val="001F67C3"/>
    <w:rsid w:val="00200831"/>
    <w:rsid w:val="0020179B"/>
    <w:rsid w:val="0020244F"/>
    <w:rsid w:val="002028DB"/>
    <w:rsid w:val="00203921"/>
    <w:rsid w:val="00203EC5"/>
    <w:rsid w:val="0020764D"/>
    <w:rsid w:val="00213A28"/>
    <w:rsid w:val="00222452"/>
    <w:rsid w:val="00223001"/>
    <w:rsid w:val="00225CEA"/>
    <w:rsid w:val="0023190E"/>
    <w:rsid w:val="002421F5"/>
    <w:rsid w:val="00262BE0"/>
    <w:rsid w:val="00266CD3"/>
    <w:rsid w:val="0026712B"/>
    <w:rsid w:val="0026792F"/>
    <w:rsid w:val="00267DF4"/>
    <w:rsid w:val="00267E86"/>
    <w:rsid w:val="00270AA6"/>
    <w:rsid w:val="00270AAE"/>
    <w:rsid w:val="00274794"/>
    <w:rsid w:val="00275CF5"/>
    <w:rsid w:val="002768BB"/>
    <w:rsid w:val="002769A0"/>
    <w:rsid w:val="002771BF"/>
    <w:rsid w:val="002776F6"/>
    <w:rsid w:val="0028301F"/>
    <w:rsid w:val="00285017"/>
    <w:rsid w:val="002906B7"/>
    <w:rsid w:val="00291D5E"/>
    <w:rsid w:val="00293661"/>
    <w:rsid w:val="00293DCB"/>
    <w:rsid w:val="00296D20"/>
    <w:rsid w:val="002A1C43"/>
    <w:rsid w:val="002A2D2E"/>
    <w:rsid w:val="002A427B"/>
    <w:rsid w:val="002A6054"/>
    <w:rsid w:val="002B5FF7"/>
    <w:rsid w:val="002B674F"/>
    <w:rsid w:val="002C00E8"/>
    <w:rsid w:val="002C0A40"/>
    <w:rsid w:val="002C1E2E"/>
    <w:rsid w:val="002C1F7A"/>
    <w:rsid w:val="002C4EA1"/>
    <w:rsid w:val="002C5313"/>
    <w:rsid w:val="002D010B"/>
    <w:rsid w:val="002D1D6D"/>
    <w:rsid w:val="002D422A"/>
    <w:rsid w:val="002E09A5"/>
    <w:rsid w:val="002F2207"/>
    <w:rsid w:val="003032F5"/>
    <w:rsid w:val="003071B4"/>
    <w:rsid w:val="003227A2"/>
    <w:rsid w:val="00322D2C"/>
    <w:rsid w:val="003248E1"/>
    <w:rsid w:val="00324C2B"/>
    <w:rsid w:val="003259A9"/>
    <w:rsid w:val="00325A45"/>
    <w:rsid w:val="003303F7"/>
    <w:rsid w:val="00330614"/>
    <w:rsid w:val="00334F41"/>
    <w:rsid w:val="00335089"/>
    <w:rsid w:val="003433FA"/>
    <w:rsid w:val="00343749"/>
    <w:rsid w:val="00343DC3"/>
    <w:rsid w:val="00350663"/>
    <w:rsid w:val="003520FB"/>
    <w:rsid w:val="00352A52"/>
    <w:rsid w:val="00352C2D"/>
    <w:rsid w:val="003563FD"/>
    <w:rsid w:val="00356AA1"/>
    <w:rsid w:val="00357D7A"/>
    <w:rsid w:val="00362D53"/>
    <w:rsid w:val="003660ED"/>
    <w:rsid w:val="003662C1"/>
    <w:rsid w:val="00374AB9"/>
    <w:rsid w:val="00382061"/>
    <w:rsid w:val="00385258"/>
    <w:rsid w:val="00387156"/>
    <w:rsid w:val="0038749A"/>
    <w:rsid w:val="00391BB6"/>
    <w:rsid w:val="00392991"/>
    <w:rsid w:val="00392BAA"/>
    <w:rsid w:val="00392DA1"/>
    <w:rsid w:val="0039611B"/>
    <w:rsid w:val="00396121"/>
    <w:rsid w:val="003A4F63"/>
    <w:rsid w:val="003B0550"/>
    <w:rsid w:val="003B5D2C"/>
    <w:rsid w:val="003B694F"/>
    <w:rsid w:val="003B6AEE"/>
    <w:rsid w:val="003D5DCE"/>
    <w:rsid w:val="003D6940"/>
    <w:rsid w:val="003D74E7"/>
    <w:rsid w:val="003E0361"/>
    <w:rsid w:val="003E70C3"/>
    <w:rsid w:val="003F171C"/>
    <w:rsid w:val="003F6E68"/>
    <w:rsid w:val="00400743"/>
    <w:rsid w:val="0040312C"/>
    <w:rsid w:val="00404D0C"/>
    <w:rsid w:val="004050EB"/>
    <w:rsid w:val="00407F41"/>
    <w:rsid w:val="00412FC5"/>
    <w:rsid w:val="0041360D"/>
    <w:rsid w:val="0041422D"/>
    <w:rsid w:val="00415F66"/>
    <w:rsid w:val="00421A13"/>
    <w:rsid w:val="00421E47"/>
    <w:rsid w:val="00422276"/>
    <w:rsid w:val="00423F0B"/>
    <w:rsid w:val="004242F1"/>
    <w:rsid w:val="00424ADB"/>
    <w:rsid w:val="00427BC4"/>
    <w:rsid w:val="00442368"/>
    <w:rsid w:val="00445A00"/>
    <w:rsid w:val="00447ED4"/>
    <w:rsid w:val="00451B0F"/>
    <w:rsid w:val="0045564F"/>
    <w:rsid w:val="00466EA0"/>
    <w:rsid w:val="004676FB"/>
    <w:rsid w:val="00470F18"/>
    <w:rsid w:val="004717A2"/>
    <w:rsid w:val="004735D5"/>
    <w:rsid w:val="00486947"/>
    <w:rsid w:val="00491718"/>
    <w:rsid w:val="00491F8C"/>
    <w:rsid w:val="004941E7"/>
    <w:rsid w:val="00495CBF"/>
    <w:rsid w:val="00496C22"/>
    <w:rsid w:val="004A0BCB"/>
    <w:rsid w:val="004A5837"/>
    <w:rsid w:val="004A5C60"/>
    <w:rsid w:val="004A749E"/>
    <w:rsid w:val="004A7C0F"/>
    <w:rsid w:val="004B1A6D"/>
    <w:rsid w:val="004B5867"/>
    <w:rsid w:val="004B6755"/>
    <w:rsid w:val="004C288E"/>
    <w:rsid w:val="004C2EE3"/>
    <w:rsid w:val="004C3B84"/>
    <w:rsid w:val="004D1FF9"/>
    <w:rsid w:val="004E4A22"/>
    <w:rsid w:val="004F47B2"/>
    <w:rsid w:val="00500A93"/>
    <w:rsid w:val="00507D9E"/>
    <w:rsid w:val="00510934"/>
    <w:rsid w:val="00510B1E"/>
    <w:rsid w:val="00511968"/>
    <w:rsid w:val="00512D1E"/>
    <w:rsid w:val="00517678"/>
    <w:rsid w:val="00524A26"/>
    <w:rsid w:val="00524A3A"/>
    <w:rsid w:val="005251A6"/>
    <w:rsid w:val="00530085"/>
    <w:rsid w:val="005313F7"/>
    <w:rsid w:val="00545261"/>
    <w:rsid w:val="00546034"/>
    <w:rsid w:val="00552806"/>
    <w:rsid w:val="0055614C"/>
    <w:rsid w:val="00557078"/>
    <w:rsid w:val="00560470"/>
    <w:rsid w:val="005617E0"/>
    <w:rsid w:val="00561BBF"/>
    <w:rsid w:val="00561C99"/>
    <w:rsid w:val="00561D85"/>
    <w:rsid w:val="00562499"/>
    <w:rsid w:val="00563D68"/>
    <w:rsid w:val="00566D06"/>
    <w:rsid w:val="00566E1C"/>
    <w:rsid w:val="005672AE"/>
    <w:rsid w:val="00567837"/>
    <w:rsid w:val="0057039B"/>
    <w:rsid w:val="00570DF9"/>
    <w:rsid w:val="00570E1B"/>
    <w:rsid w:val="005717C8"/>
    <w:rsid w:val="00573F5C"/>
    <w:rsid w:val="00575715"/>
    <w:rsid w:val="00577A79"/>
    <w:rsid w:val="005849C9"/>
    <w:rsid w:val="00590365"/>
    <w:rsid w:val="00592EC9"/>
    <w:rsid w:val="00597835"/>
    <w:rsid w:val="00597E7C"/>
    <w:rsid w:val="005B0D28"/>
    <w:rsid w:val="005B7E5F"/>
    <w:rsid w:val="005C45DB"/>
    <w:rsid w:val="005C7369"/>
    <w:rsid w:val="005C76D2"/>
    <w:rsid w:val="005D6094"/>
    <w:rsid w:val="005E14C2"/>
    <w:rsid w:val="005E7141"/>
    <w:rsid w:val="005F1601"/>
    <w:rsid w:val="005F284F"/>
    <w:rsid w:val="005F2CE4"/>
    <w:rsid w:val="005F2DA1"/>
    <w:rsid w:val="005F3D6B"/>
    <w:rsid w:val="005F7482"/>
    <w:rsid w:val="0060077F"/>
    <w:rsid w:val="00600B5E"/>
    <w:rsid w:val="00601174"/>
    <w:rsid w:val="006059D3"/>
    <w:rsid w:val="006077C0"/>
    <w:rsid w:val="00607BA5"/>
    <w:rsid w:val="0061180A"/>
    <w:rsid w:val="006123D3"/>
    <w:rsid w:val="006125C5"/>
    <w:rsid w:val="00620DA0"/>
    <w:rsid w:val="00622447"/>
    <w:rsid w:val="0062430D"/>
    <w:rsid w:val="00626EB6"/>
    <w:rsid w:val="00633610"/>
    <w:rsid w:val="006412E4"/>
    <w:rsid w:val="00644F4C"/>
    <w:rsid w:val="0064536F"/>
    <w:rsid w:val="00645A37"/>
    <w:rsid w:val="006463DE"/>
    <w:rsid w:val="0064675E"/>
    <w:rsid w:val="006515B5"/>
    <w:rsid w:val="006558AB"/>
    <w:rsid w:val="00655D03"/>
    <w:rsid w:val="00661066"/>
    <w:rsid w:val="00661670"/>
    <w:rsid w:val="006618F0"/>
    <w:rsid w:val="00674471"/>
    <w:rsid w:val="00675219"/>
    <w:rsid w:val="0067557E"/>
    <w:rsid w:val="006804C3"/>
    <w:rsid w:val="00682C5B"/>
    <w:rsid w:val="00683388"/>
    <w:rsid w:val="00683F84"/>
    <w:rsid w:val="00684128"/>
    <w:rsid w:val="0068537D"/>
    <w:rsid w:val="00687D62"/>
    <w:rsid w:val="006901B5"/>
    <w:rsid w:val="00697F74"/>
    <w:rsid w:val="006A54A0"/>
    <w:rsid w:val="006A661D"/>
    <w:rsid w:val="006A674F"/>
    <w:rsid w:val="006A6A81"/>
    <w:rsid w:val="006B03EC"/>
    <w:rsid w:val="006B5F67"/>
    <w:rsid w:val="006C0181"/>
    <w:rsid w:val="006C2327"/>
    <w:rsid w:val="006C37D9"/>
    <w:rsid w:val="006C5CB3"/>
    <w:rsid w:val="006D1329"/>
    <w:rsid w:val="006D2CDD"/>
    <w:rsid w:val="006D47DA"/>
    <w:rsid w:val="006D4B46"/>
    <w:rsid w:val="006D5326"/>
    <w:rsid w:val="006D6020"/>
    <w:rsid w:val="006D7362"/>
    <w:rsid w:val="006E0A6A"/>
    <w:rsid w:val="006E4F82"/>
    <w:rsid w:val="006F00D3"/>
    <w:rsid w:val="006F7393"/>
    <w:rsid w:val="00701F7B"/>
    <w:rsid w:val="0070224F"/>
    <w:rsid w:val="00702DA4"/>
    <w:rsid w:val="00702F6D"/>
    <w:rsid w:val="00704FD6"/>
    <w:rsid w:val="0070628D"/>
    <w:rsid w:val="00706A88"/>
    <w:rsid w:val="00706EC2"/>
    <w:rsid w:val="00711081"/>
    <w:rsid w:val="00711160"/>
    <w:rsid w:val="007115F7"/>
    <w:rsid w:val="007150FE"/>
    <w:rsid w:val="00716F76"/>
    <w:rsid w:val="00724C5B"/>
    <w:rsid w:val="0072712B"/>
    <w:rsid w:val="00727DE7"/>
    <w:rsid w:val="00731687"/>
    <w:rsid w:val="00731BE6"/>
    <w:rsid w:val="0075581A"/>
    <w:rsid w:val="0075667C"/>
    <w:rsid w:val="007578C0"/>
    <w:rsid w:val="0076086D"/>
    <w:rsid w:val="00763399"/>
    <w:rsid w:val="00774247"/>
    <w:rsid w:val="007742A4"/>
    <w:rsid w:val="00774947"/>
    <w:rsid w:val="00777E36"/>
    <w:rsid w:val="0078064E"/>
    <w:rsid w:val="00782E76"/>
    <w:rsid w:val="00783872"/>
    <w:rsid w:val="00785689"/>
    <w:rsid w:val="007865A5"/>
    <w:rsid w:val="00787017"/>
    <w:rsid w:val="00787580"/>
    <w:rsid w:val="007901D6"/>
    <w:rsid w:val="007914F1"/>
    <w:rsid w:val="0079738B"/>
    <w:rsid w:val="0079754B"/>
    <w:rsid w:val="007A1E6D"/>
    <w:rsid w:val="007A5315"/>
    <w:rsid w:val="007A56A3"/>
    <w:rsid w:val="007A7F08"/>
    <w:rsid w:val="007B0EB2"/>
    <w:rsid w:val="007B3029"/>
    <w:rsid w:val="007B330C"/>
    <w:rsid w:val="007B3B13"/>
    <w:rsid w:val="007B424B"/>
    <w:rsid w:val="007C01C2"/>
    <w:rsid w:val="007C0BD7"/>
    <w:rsid w:val="007C2DF6"/>
    <w:rsid w:val="007C51DF"/>
    <w:rsid w:val="007C7032"/>
    <w:rsid w:val="007D2F26"/>
    <w:rsid w:val="007D460E"/>
    <w:rsid w:val="007D5D1F"/>
    <w:rsid w:val="007E395E"/>
    <w:rsid w:val="007E40ED"/>
    <w:rsid w:val="007E570F"/>
    <w:rsid w:val="007E7B9E"/>
    <w:rsid w:val="007F2660"/>
    <w:rsid w:val="007F75DB"/>
    <w:rsid w:val="00800EEF"/>
    <w:rsid w:val="00803BB1"/>
    <w:rsid w:val="00805350"/>
    <w:rsid w:val="00810B6F"/>
    <w:rsid w:val="00811644"/>
    <w:rsid w:val="008156C9"/>
    <w:rsid w:val="00820E7B"/>
    <w:rsid w:val="008216A7"/>
    <w:rsid w:val="00821928"/>
    <w:rsid w:val="00822733"/>
    <w:rsid w:val="00822CE0"/>
    <w:rsid w:val="00826E84"/>
    <w:rsid w:val="00832B1C"/>
    <w:rsid w:val="00837D95"/>
    <w:rsid w:val="00841AB1"/>
    <w:rsid w:val="0084229D"/>
    <w:rsid w:val="00842E2D"/>
    <w:rsid w:val="00843418"/>
    <w:rsid w:val="00844032"/>
    <w:rsid w:val="008471BA"/>
    <w:rsid w:val="00850546"/>
    <w:rsid w:val="008515CC"/>
    <w:rsid w:val="0086053D"/>
    <w:rsid w:val="0086103D"/>
    <w:rsid w:val="0086328D"/>
    <w:rsid w:val="00863EAC"/>
    <w:rsid w:val="00864A8C"/>
    <w:rsid w:val="00873E52"/>
    <w:rsid w:val="008751D9"/>
    <w:rsid w:val="008757AE"/>
    <w:rsid w:val="00877D30"/>
    <w:rsid w:val="00886287"/>
    <w:rsid w:val="00893CD0"/>
    <w:rsid w:val="0089747B"/>
    <w:rsid w:val="008A080F"/>
    <w:rsid w:val="008A3B10"/>
    <w:rsid w:val="008A4E3F"/>
    <w:rsid w:val="008A5A71"/>
    <w:rsid w:val="008B6906"/>
    <w:rsid w:val="008C1083"/>
    <w:rsid w:val="008C14AE"/>
    <w:rsid w:val="008C68B7"/>
    <w:rsid w:val="008C68F1"/>
    <w:rsid w:val="008D35AA"/>
    <w:rsid w:val="008D4835"/>
    <w:rsid w:val="008D5E84"/>
    <w:rsid w:val="008E0D2E"/>
    <w:rsid w:val="008E2B93"/>
    <w:rsid w:val="008E7364"/>
    <w:rsid w:val="008E7883"/>
    <w:rsid w:val="008F40CC"/>
    <w:rsid w:val="008F4297"/>
    <w:rsid w:val="008F432A"/>
    <w:rsid w:val="008F47C5"/>
    <w:rsid w:val="008F557B"/>
    <w:rsid w:val="008F76DD"/>
    <w:rsid w:val="009020A3"/>
    <w:rsid w:val="00902778"/>
    <w:rsid w:val="009058D1"/>
    <w:rsid w:val="009070DF"/>
    <w:rsid w:val="009161AF"/>
    <w:rsid w:val="00917209"/>
    <w:rsid w:val="00920C78"/>
    <w:rsid w:val="00921803"/>
    <w:rsid w:val="00926503"/>
    <w:rsid w:val="00931038"/>
    <w:rsid w:val="00934039"/>
    <w:rsid w:val="00940E4A"/>
    <w:rsid w:val="00941048"/>
    <w:rsid w:val="00941BC7"/>
    <w:rsid w:val="00952DE1"/>
    <w:rsid w:val="00956ABB"/>
    <w:rsid w:val="00957024"/>
    <w:rsid w:val="00960723"/>
    <w:rsid w:val="009672CA"/>
    <w:rsid w:val="009716F7"/>
    <w:rsid w:val="009726D8"/>
    <w:rsid w:val="00980B5C"/>
    <w:rsid w:val="00983F6C"/>
    <w:rsid w:val="00985DAD"/>
    <w:rsid w:val="009869FD"/>
    <w:rsid w:val="00990BE7"/>
    <w:rsid w:val="00991D62"/>
    <w:rsid w:val="00993E5B"/>
    <w:rsid w:val="009A02F4"/>
    <w:rsid w:val="009A2A1A"/>
    <w:rsid w:val="009A45D2"/>
    <w:rsid w:val="009A65EB"/>
    <w:rsid w:val="009A672E"/>
    <w:rsid w:val="009A6820"/>
    <w:rsid w:val="009B2C2E"/>
    <w:rsid w:val="009B6EDE"/>
    <w:rsid w:val="009C068A"/>
    <w:rsid w:val="009C1521"/>
    <w:rsid w:val="009C4E71"/>
    <w:rsid w:val="009C524D"/>
    <w:rsid w:val="009C6DB2"/>
    <w:rsid w:val="009D02BA"/>
    <w:rsid w:val="009D1453"/>
    <w:rsid w:val="009D4791"/>
    <w:rsid w:val="009D7308"/>
    <w:rsid w:val="009D7EA8"/>
    <w:rsid w:val="009E3C81"/>
    <w:rsid w:val="009E5C63"/>
    <w:rsid w:val="009E6B7A"/>
    <w:rsid w:val="009F1E71"/>
    <w:rsid w:val="009F5DA8"/>
    <w:rsid w:val="009F60A9"/>
    <w:rsid w:val="009F63D2"/>
    <w:rsid w:val="009F76DB"/>
    <w:rsid w:val="009F7FB2"/>
    <w:rsid w:val="00A00C8C"/>
    <w:rsid w:val="00A037A0"/>
    <w:rsid w:val="00A05057"/>
    <w:rsid w:val="00A07156"/>
    <w:rsid w:val="00A07A8C"/>
    <w:rsid w:val="00A07E21"/>
    <w:rsid w:val="00A11936"/>
    <w:rsid w:val="00A12E81"/>
    <w:rsid w:val="00A20E55"/>
    <w:rsid w:val="00A21EC4"/>
    <w:rsid w:val="00A23531"/>
    <w:rsid w:val="00A25F83"/>
    <w:rsid w:val="00A260A7"/>
    <w:rsid w:val="00A30600"/>
    <w:rsid w:val="00A32C3B"/>
    <w:rsid w:val="00A330D7"/>
    <w:rsid w:val="00A336F4"/>
    <w:rsid w:val="00A422C4"/>
    <w:rsid w:val="00A44935"/>
    <w:rsid w:val="00A45F4F"/>
    <w:rsid w:val="00A4644C"/>
    <w:rsid w:val="00A5142E"/>
    <w:rsid w:val="00A5425B"/>
    <w:rsid w:val="00A55FA1"/>
    <w:rsid w:val="00A5765F"/>
    <w:rsid w:val="00A600A9"/>
    <w:rsid w:val="00A60C47"/>
    <w:rsid w:val="00A665CB"/>
    <w:rsid w:val="00A665F6"/>
    <w:rsid w:val="00A700D9"/>
    <w:rsid w:val="00A705DD"/>
    <w:rsid w:val="00A7435B"/>
    <w:rsid w:val="00A75123"/>
    <w:rsid w:val="00A75834"/>
    <w:rsid w:val="00A82C09"/>
    <w:rsid w:val="00A85B74"/>
    <w:rsid w:val="00A862F8"/>
    <w:rsid w:val="00A86DCC"/>
    <w:rsid w:val="00A951BD"/>
    <w:rsid w:val="00AA0104"/>
    <w:rsid w:val="00AA55B7"/>
    <w:rsid w:val="00AA5B9E"/>
    <w:rsid w:val="00AA5C8F"/>
    <w:rsid w:val="00AA7E47"/>
    <w:rsid w:val="00AB0D6A"/>
    <w:rsid w:val="00AB13F4"/>
    <w:rsid w:val="00AB2407"/>
    <w:rsid w:val="00AB2EA0"/>
    <w:rsid w:val="00AB428C"/>
    <w:rsid w:val="00AB53DF"/>
    <w:rsid w:val="00AC0438"/>
    <w:rsid w:val="00AC04A9"/>
    <w:rsid w:val="00AC1D3B"/>
    <w:rsid w:val="00AC4BE0"/>
    <w:rsid w:val="00AC7048"/>
    <w:rsid w:val="00AD2F58"/>
    <w:rsid w:val="00AD7325"/>
    <w:rsid w:val="00AE14CB"/>
    <w:rsid w:val="00AE3CC0"/>
    <w:rsid w:val="00AE481B"/>
    <w:rsid w:val="00AE61DA"/>
    <w:rsid w:val="00AE6AF7"/>
    <w:rsid w:val="00AF1491"/>
    <w:rsid w:val="00AF6205"/>
    <w:rsid w:val="00B03087"/>
    <w:rsid w:val="00B03242"/>
    <w:rsid w:val="00B04634"/>
    <w:rsid w:val="00B0769C"/>
    <w:rsid w:val="00B07E5C"/>
    <w:rsid w:val="00B106BA"/>
    <w:rsid w:val="00B12DC6"/>
    <w:rsid w:val="00B1304C"/>
    <w:rsid w:val="00B14172"/>
    <w:rsid w:val="00B210F5"/>
    <w:rsid w:val="00B402B5"/>
    <w:rsid w:val="00B40F98"/>
    <w:rsid w:val="00B415F1"/>
    <w:rsid w:val="00B418C8"/>
    <w:rsid w:val="00B5104A"/>
    <w:rsid w:val="00B534B2"/>
    <w:rsid w:val="00B56351"/>
    <w:rsid w:val="00B57F36"/>
    <w:rsid w:val="00B60681"/>
    <w:rsid w:val="00B607FE"/>
    <w:rsid w:val="00B60F51"/>
    <w:rsid w:val="00B61281"/>
    <w:rsid w:val="00B641CE"/>
    <w:rsid w:val="00B7067C"/>
    <w:rsid w:val="00B74644"/>
    <w:rsid w:val="00B76C73"/>
    <w:rsid w:val="00B770E0"/>
    <w:rsid w:val="00B77FD7"/>
    <w:rsid w:val="00B805D8"/>
    <w:rsid w:val="00B811F7"/>
    <w:rsid w:val="00BA069F"/>
    <w:rsid w:val="00BA1F8C"/>
    <w:rsid w:val="00BA2B3D"/>
    <w:rsid w:val="00BA33B4"/>
    <w:rsid w:val="00BA5DC6"/>
    <w:rsid w:val="00BA6196"/>
    <w:rsid w:val="00BB5865"/>
    <w:rsid w:val="00BC01B0"/>
    <w:rsid w:val="00BC1825"/>
    <w:rsid w:val="00BC6D8C"/>
    <w:rsid w:val="00BD4439"/>
    <w:rsid w:val="00BE113B"/>
    <w:rsid w:val="00BE661A"/>
    <w:rsid w:val="00BE7DDC"/>
    <w:rsid w:val="00BE7E44"/>
    <w:rsid w:val="00BF1575"/>
    <w:rsid w:val="00BF282B"/>
    <w:rsid w:val="00BF2D36"/>
    <w:rsid w:val="00BF3C72"/>
    <w:rsid w:val="00BF5152"/>
    <w:rsid w:val="00BF5B37"/>
    <w:rsid w:val="00C028B0"/>
    <w:rsid w:val="00C0545F"/>
    <w:rsid w:val="00C06BE5"/>
    <w:rsid w:val="00C21114"/>
    <w:rsid w:val="00C21B45"/>
    <w:rsid w:val="00C23A4A"/>
    <w:rsid w:val="00C322FE"/>
    <w:rsid w:val="00C34006"/>
    <w:rsid w:val="00C3597A"/>
    <w:rsid w:val="00C36A8A"/>
    <w:rsid w:val="00C36B4C"/>
    <w:rsid w:val="00C426B1"/>
    <w:rsid w:val="00C42CCC"/>
    <w:rsid w:val="00C4591D"/>
    <w:rsid w:val="00C47996"/>
    <w:rsid w:val="00C5124D"/>
    <w:rsid w:val="00C52743"/>
    <w:rsid w:val="00C60295"/>
    <w:rsid w:val="00C61AB5"/>
    <w:rsid w:val="00C61C60"/>
    <w:rsid w:val="00C632A5"/>
    <w:rsid w:val="00C63F2D"/>
    <w:rsid w:val="00C64817"/>
    <w:rsid w:val="00C64D57"/>
    <w:rsid w:val="00C66160"/>
    <w:rsid w:val="00C721AC"/>
    <w:rsid w:val="00C73B10"/>
    <w:rsid w:val="00C7523D"/>
    <w:rsid w:val="00C860F1"/>
    <w:rsid w:val="00C90D6A"/>
    <w:rsid w:val="00C9401A"/>
    <w:rsid w:val="00CA247E"/>
    <w:rsid w:val="00CA347E"/>
    <w:rsid w:val="00CA34DD"/>
    <w:rsid w:val="00CA3DC2"/>
    <w:rsid w:val="00CA64BB"/>
    <w:rsid w:val="00CA64C3"/>
    <w:rsid w:val="00CA6D21"/>
    <w:rsid w:val="00CA7F1A"/>
    <w:rsid w:val="00CB0F3F"/>
    <w:rsid w:val="00CB4558"/>
    <w:rsid w:val="00CC1EB2"/>
    <w:rsid w:val="00CC3369"/>
    <w:rsid w:val="00CC72B6"/>
    <w:rsid w:val="00CD0FFF"/>
    <w:rsid w:val="00CD3C4D"/>
    <w:rsid w:val="00CD40EE"/>
    <w:rsid w:val="00CD497E"/>
    <w:rsid w:val="00CE046B"/>
    <w:rsid w:val="00CE094A"/>
    <w:rsid w:val="00CE198F"/>
    <w:rsid w:val="00CE22E9"/>
    <w:rsid w:val="00CE5A95"/>
    <w:rsid w:val="00CE7BCF"/>
    <w:rsid w:val="00CF2F99"/>
    <w:rsid w:val="00CF6040"/>
    <w:rsid w:val="00CF63C1"/>
    <w:rsid w:val="00CF6E9F"/>
    <w:rsid w:val="00CF720D"/>
    <w:rsid w:val="00CF7D77"/>
    <w:rsid w:val="00D01ECC"/>
    <w:rsid w:val="00D0218D"/>
    <w:rsid w:val="00D048AD"/>
    <w:rsid w:val="00D11E97"/>
    <w:rsid w:val="00D1427A"/>
    <w:rsid w:val="00D14AA1"/>
    <w:rsid w:val="00D14BC0"/>
    <w:rsid w:val="00D1746B"/>
    <w:rsid w:val="00D203D8"/>
    <w:rsid w:val="00D24E03"/>
    <w:rsid w:val="00D25FB5"/>
    <w:rsid w:val="00D26445"/>
    <w:rsid w:val="00D26F46"/>
    <w:rsid w:val="00D31507"/>
    <w:rsid w:val="00D32338"/>
    <w:rsid w:val="00D33F09"/>
    <w:rsid w:val="00D3420B"/>
    <w:rsid w:val="00D34679"/>
    <w:rsid w:val="00D35073"/>
    <w:rsid w:val="00D35AC9"/>
    <w:rsid w:val="00D41A0B"/>
    <w:rsid w:val="00D44223"/>
    <w:rsid w:val="00D45801"/>
    <w:rsid w:val="00D45A4E"/>
    <w:rsid w:val="00D5008E"/>
    <w:rsid w:val="00D50B46"/>
    <w:rsid w:val="00D50B69"/>
    <w:rsid w:val="00D51131"/>
    <w:rsid w:val="00D512E6"/>
    <w:rsid w:val="00D51ADC"/>
    <w:rsid w:val="00D557B3"/>
    <w:rsid w:val="00D55E16"/>
    <w:rsid w:val="00D57DD8"/>
    <w:rsid w:val="00D57ECC"/>
    <w:rsid w:val="00D61336"/>
    <w:rsid w:val="00D61E22"/>
    <w:rsid w:val="00D64D55"/>
    <w:rsid w:val="00D67B43"/>
    <w:rsid w:val="00D70880"/>
    <w:rsid w:val="00D72837"/>
    <w:rsid w:val="00D76723"/>
    <w:rsid w:val="00D80A03"/>
    <w:rsid w:val="00D8133E"/>
    <w:rsid w:val="00D84F68"/>
    <w:rsid w:val="00D90D55"/>
    <w:rsid w:val="00D93394"/>
    <w:rsid w:val="00DA011D"/>
    <w:rsid w:val="00DA15C6"/>
    <w:rsid w:val="00DA2529"/>
    <w:rsid w:val="00DA2D8C"/>
    <w:rsid w:val="00DA4354"/>
    <w:rsid w:val="00DA4F3D"/>
    <w:rsid w:val="00DA5259"/>
    <w:rsid w:val="00DA5F07"/>
    <w:rsid w:val="00DB130A"/>
    <w:rsid w:val="00DB211E"/>
    <w:rsid w:val="00DB2EBB"/>
    <w:rsid w:val="00DB5E86"/>
    <w:rsid w:val="00DB6B6C"/>
    <w:rsid w:val="00DC10A1"/>
    <w:rsid w:val="00DC5B3F"/>
    <w:rsid w:val="00DC655F"/>
    <w:rsid w:val="00DC65B4"/>
    <w:rsid w:val="00DC7A92"/>
    <w:rsid w:val="00DD0639"/>
    <w:rsid w:val="00DD0B59"/>
    <w:rsid w:val="00DD6E89"/>
    <w:rsid w:val="00DD7EBD"/>
    <w:rsid w:val="00DE048F"/>
    <w:rsid w:val="00DE44D6"/>
    <w:rsid w:val="00DE7D00"/>
    <w:rsid w:val="00DF085B"/>
    <w:rsid w:val="00DF232B"/>
    <w:rsid w:val="00DF2C3D"/>
    <w:rsid w:val="00DF3014"/>
    <w:rsid w:val="00DF4D64"/>
    <w:rsid w:val="00DF5B5C"/>
    <w:rsid w:val="00DF5B71"/>
    <w:rsid w:val="00DF62B6"/>
    <w:rsid w:val="00DF6E6E"/>
    <w:rsid w:val="00E0155F"/>
    <w:rsid w:val="00E027AD"/>
    <w:rsid w:val="00E04457"/>
    <w:rsid w:val="00E06FB6"/>
    <w:rsid w:val="00E07225"/>
    <w:rsid w:val="00E13D15"/>
    <w:rsid w:val="00E15273"/>
    <w:rsid w:val="00E170AF"/>
    <w:rsid w:val="00E179B2"/>
    <w:rsid w:val="00E2561D"/>
    <w:rsid w:val="00E268C8"/>
    <w:rsid w:val="00E33FDA"/>
    <w:rsid w:val="00E344EB"/>
    <w:rsid w:val="00E359B6"/>
    <w:rsid w:val="00E36F6E"/>
    <w:rsid w:val="00E425B5"/>
    <w:rsid w:val="00E45755"/>
    <w:rsid w:val="00E45FBC"/>
    <w:rsid w:val="00E46866"/>
    <w:rsid w:val="00E477C7"/>
    <w:rsid w:val="00E512F1"/>
    <w:rsid w:val="00E5195F"/>
    <w:rsid w:val="00E5347D"/>
    <w:rsid w:val="00E536BE"/>
    <w:rsid w:val="00E5409F"/>
    <w:rsid w:val="00E55ADC"/>
    <w:rsid w:val="00E6268E"/>
    <w:rsid w:val="00E64FD5"/>
    <w:rsid w:val="00E716DD"/>
    <w:rsid w:val="00E723E7"/>
    <w:rsid w:val="00E73E59"/>
    <w:rsid w:val="00E745D0"/>
    <w:rsid w:val="00E74A01"/>
    <w:rsid w:val="00E7604B"/>
    <w:rsid w:val="00E83DC9"/>
    <w:rsid w:val="00E85E4F"/>
    <w:rsid w:val="00E93A23"/>
    <w:rsid w:val="00EA3BCB"/>
    <w:rsid w:val="00EA465B"/>
    <w:rsid w:val="00EA4FB4"/>
    <w:rsid w:val="00EA4FD6"/>
    <w:rsid w:val="00EA4FF0"/>
    <w:rsid w:val="00EA6920"/>
    <w:rsid w:val="00EB09B3"/>
    <w:rsid w:val="00EB0FED"/>
    <w:rsid w:val="00EB3305"/>
    <w:rsid w:val="00EB3BFA"/>
    <w:rsid w:val="00EB7CB7"/>
    <w:rsid w:val="00EC4645"/>
    <w:rsid w:val="00EC4647"/>
    <w:rsid w:val="00EC6FC3"/>
    <w:rsid w:val="00ED20AC"/>
    <w:rsid w:val="00ED3DB4"/>
    <w:rsid w:val="00ED48EB"/>
    <w:rsid w:val="00EE3D8B"/>
    <w:rsid w:val="00EE42FF"/>
    <w:rsid w:val="00EE6488"/>
    <w:rsid w:val="00EE6865"/>
    <w:rsid w:val="00EF7137"/>
    <w:rsid w:val="00F021FA"/>
    <w:rsid w:val="00F110EF"/>
    <w:rsid w:val="00F14B26"/>
    <w:rsid w:val="00F16EF6"/>
    <w:rsid w:val="00F17845"/>
    <w:rsid w:val="00F20415"/>
    <w:rsid w:val="00F20511"/>
    <w:rsid w:val="00F209FB"/>
    <w:rsid w:val="00F26280"/>
    <w:rsid w:val="00F304DF"/>
    <w:rsid w:val="00F35557"/>
    <w:rsid w:val="00F36719"/>
    <w:rsid w:val="00F373C4"/>
    <w:rsid w:val="00F4547A"/>
    <w:rsid w:val="00F514C2"/>
    <w:rsid w:val="00F555AB"/>
    <w:rsid w:val="00F57D71"/>
    <w:rsid w:val="00F60F6D"/>
    <w:rsid w:val="00F62E97"/>
    <w:rsid w:val="00F64209"/>
    <w:rsid w:val="00F64C45"/>
    <w:rsid w:val="00F6527C"/>
    <w:rsid w:val="00F673E7"/>
    <w:rsid w:val="00F709D8"/>
    <w:rsid w:val="00F72EF1"/>
    <w:rsid w:val="00F73769"/>
    <w:rsid w:val="00F82C8E"/>
    <w:rsid w:val="00F82F3F"/>
    <w:rsid w:val="00F9013E"/>
    <w:rsid w:val="00F9172C"/>
    <w:rsid w:val="00F93A80"/>
    <w:rsid w:val="00F93BF5"/>
    <w:rsid w:val="00F948B5"/>
    <w:rsid w:val="00FA0A37"/>
    <w:rsid w:val="00FA0F21"/>
    <w:rsid w:val="00FA2950"/>
    <w:rsid w:val="00FA7384"/>
    <w:rsid w:val="00FB04F9"/>
    <w:rsid w:val="00FB27A7"/>
    <w:rsid w:val="00FB58E4"/>
    <w:rsid w:val="00FC35A5"/>
    <w:rsid w:val="00FD0AA0"/>
    <w:rsid w:val="00FD3862"/>
    <w:rsid w:val="00FD52D3"/>
    <w:rsid w:val="00FD5733"/>
    <w:rsid w:val="00FD6386"/>
    <w:rsid w:val="00FE103F"/>
    <w:rsid w:val="00FE3212"/>
    <w:rsid w:val="00FE4313"/>
    <w:rsid w:val="00FE6BBE"/>
    <w:rsid w:val="00FF295C"/>
    <w:rsid w:val="00FF2BA4"/>
    <w:rsid w:val="00FF3817"/>
    <w:rsid w:val="00FF4BB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BB025DD"/>
  <w15:chartTrackingRefBased/>
  <w15:docId w15:val="{0BA7D97E-BCAB-4C58-BAA7-E0AD2E4B0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 Char Char Char,Footnote Text Char1 Char Char,Footnote Text Char1 Char2 Char Char Char Char,Footnote Text Char2,Footnote Text Char2 Char Char Char Char,Styl,fn,rrfootnote Char Char,rrfootnote Char1"/>
    <w:link w:val="FootnoteTextChar"/>
    <w:rsid w:val="000E3D42"/>
    <w:pPr>
      <w:spacing w:after="120"/>
    </w:pPr>
  </w:style>
  <w:style w:type="character" w:styleId="FootnoteReference">
    <w:name w:val="footnote reference"/>
    <w:aliases w:val="(N... + 11 pt,(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D50B69"/>
    <w:pPr>
      <w:tabs>
        <w:tab w:val="center" w:pos="4680"/>
        <w:tab w:val="right" w:pos="9360"/>
      </w:tabs>
      <w:jc w:val="right"/>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customStyle="1" w:styleId="Default">
    <w:name w:val="Default"/>
    <w:rsid w:val="00D14AA1"/>
    <w:pPr>
      <w:autoSpaceDE w:val="0"/>
      <w:autoSpaceDN w:val="0"/>
      <w:adjustRightInd w:val="0"/>
    </w:pPr>
    <w:rPr>
      <w:color w:val="000000"/>
      <w:sz w:val="24"/>
      <w:szCs w:val="24"/>
    </w:rPr>
  </w:style>
  <w:style w:type="character" w:customStyle="1" w:styleId="stdref">
    <w:name w:val="stdref"/>
    <w:rsid w:val="00DF232B"/>
  </w:style>
  <w:style w:type="paragraph" w:customStyle="1" w:styleId="par1">
    <w:name w:val="par1"/>
    <w:basedOn w:val="Normal"/>
    <w:rsid w:val="00021BB0"/>
    <w:pPr>
      <w:numPr>
        <w:numId w:val="10"/>
      </w:numPr>
      <w:tabs>
        <w:tab w:val="left" w:pos="1440"/>
      </w:tabs>
    </w:pPr>
  </w:style>
  <w:style w:type="character" w:customStyle="1" w:styleId="FootnoteTextChar">
    <w:name w:val="Footnote Text Char"/>
    <w:aliases w:val="Footnote Text Char Char Char,Footnote Text Char Char Char Char Char,Footnote Text Char1 Char Char Char,Footnote Text Char2 Char,Footnote Text Char2 Char Char Char Char Char,fn Char,rrfootnote Char Char Char,rrfootnote Char1 Char"/>
    <w:basedOn w:val="DefaultParagraphFont"/>
    <w:link w:val="FootnoteText"/>
    <w:rsid w:val="00021BB0"/>
  </w:style>
  <w:style w:type="paragraph" w:styleId="ListParagraph">
    <w:name w:val="List Paragraph"/>
    <w:basedOn w:val="Normal"/>
    <w:uiPriority w:val="34"/>
    <w:qFormat/>
    <w:rsid w:val="003E0361"/>
    <w:pPr>
      <w:widowControl/>
      <w:spacing w:after="160" w:line="259" w:lineRule="auto"/>
      <w:ind w:left="720"/>
      <w:contextualSpacing/>
    </w:pPr>
    <w:rPr>
      <w:rFonts w:ascii="Calibri" w:eastAsia="Calibri" w:hAnsi="Calibri"/>
      <w:snapToGrid/>
      <w:kern w:val="0"/>
      <w:szCs w:val="22"/>
    </w:rPr>
  </w:style>
  <w:style w:type="paragraph" w:styleId="BalloonText">
    <w:name w:val="Balloon Text"/>
    <w:basedOn w:val="Normal"/>
    <w:link w:val="BalloonTextChar"/>
    <w:rsid w:val="00F514C2"/>
    <w:rPr>
      <w:rFonts w:ascii="Segoe UI" w:hAnsi="Segoe UI" w:cs="Segoe UI"/>
      <w:sz w:val="18"/>
      <w:szCs w:val="18"/>
    </w:rPr>
  </w:style>
  <w:style w:type="character" w:customStyle="1" w:styleId="BalloonTextChar">
    <w:name w:val="Balloon Text Char"/>
    <w:basedOn w:val="DefaultParagraphFont"/>
    <w:link w:val="BalloonText"/>
    <w:rsid w:val="00F514C2"/>
    <w:rPr>
      <w:rFonts w:ascii="Segoe UI" w:hAnsi="Segoe UI" w:cs="Segoe UI"/>
      <w:snapToGrid w:val="0"/>
      <w:kern w:val="28"/>
      <w:sz w:val="18"/>
      <w:szCs w:val="18"/>
    </w:rPr>
  </w:style>
  <w:style w:type="character" w:styleId="CommentReference">
    <w:name w:val="annotation reference"/>
    <w:basedOn w:val="DefaultParagraphFont"/>
    <w:rsid w:val="005F1601"/>
    <w:rPr>
      <w:sz w:val="16"/>
      <w:szCs w:val="16"/>
    </w:rPr>
  </w:style>
  <w:style w:type="paragraph" w:styleId="CommentText">
    <w:name w:val="annotation text"/>
    <w:basedOn w:val="Normal"/>
    <w:link w:val="CommentTextChar"/>
    <w:rsid w:val="005F1601"/>
    <w:rPr>
      <w:sz w:val="20"/>
    </w:rPr>
  </w:style>
  <w:style w:type="character" w:customStyle="1" w:styleId="CommentTextChar">
    <w:name w:val="Comment Text Char"/>
    <w:basedOn w:val="DefaultParagraphFont"/>
    <w:link w:val="CommentText"/>
    <w:rsid w:val="005F1601"/>
    <w:rPr>
      <w:snapToGrid w:val="0"/>
      <w:kern w:val="28"/>
    </w:rPr>
  </w:style>
  <w:style w:type="paragraph" w:styleId="CommentSubject">
    <w:name w:val="annotation subject"/>
    <w:basedOn w:val="CommentText"/>
    <w:next w:val="CommentText"/>
    <w:link w:val="CommentSubjectChar"/>
    <w:rsid w:val="005F1601"/>
    <w:rPr>
      <w:b/>
      <w:bCs/>
    </w:rPr>
  </w:style>
  <w:style w:type="character" w:customStyle="1" w:styleId="CommentSubjectChar">
    <w:name w:val="Comment Subject Char"/>
    <w:basedOn w:val="CommentTextChar"/>
    <w:link w:val="CommentSubject"/>
    <w:rsid w:val="005F1601"/>
    <w:rPr>
      <w:b/>
      <w:bCs/>
      <w:snapToGrid w:val="0"/>
      <w:kern w:val="28"/>
    </w:rPr>
  </w:style>
  <w:style w:type="character" w:customStyle="1" w:styleId="UnresolvedMention">
    <w:name w:val="Unresolved Mention"/>
    <w:basedOn w:val="DefaultParagraphFont"/>
    <w:uiPriority w:val="99"/>
    <w:semiHidden/>
    <w:unhideWhenUsed/>
    <w:rsid w:val="00DF6E6E"/>
    <w:rPr>
      <w:color w:val="605E5C"/>
      <w:shd w:val="clear" w:color="auto" w:fill="E1DFDD"/>
    </w:rPr>
  </w:style>
  <w:style w:type="paragraph" w:styleId="Revision">
    <w:name w:val="Revision"/>
    <w:hidden/>
    <w:uiPriority w:val="99"/>
    <w:semiHidden/>
    <w:rsid w:val="00622447"/>
    <w:rPr>
      <w:snapToGrid w:val="0"/>
      <w:kern w:val="28"/>
      <w:sz w:val="22"/>
    </w:rPr>
  </w:style>
  <w:style w:type="character" w:styleId="Emphasis">
    <w:name w:val="Emphasis"/>
    <w:basedOn w:val="DefaultParagraphFont"/>
    <w:uiPriority w:val="20"/>
    <w:qFormat/>
    <w:rsid w:val="00186678"/>
    <w:rPr>
      <w:i/>
      <w:iCs/>
    </w:rPr>
  </w:style>
  <w:style w:type="character" w:customStyle="1" w:styleId="cosearchterm">
    <w:name w:val="co_searchterm"/>
    <w:basedOn w:val="DefaultParagraphFont"/>
    <w:rsid w:val="00186678"/>
  </w:style>
  <w:style w:type="character" w:customStyle="1" w:styleId="FootnoteTextCharChar1">
    <w:name w:val="Footnote Text Char Char1"/>
    <w:aliases w:val="Footnote Text Char Char Char Char Char Char1,Footnote Text Char Char Char Char1,Footnote Text Char1 Char Char Char Char1,Footnote Text Char1 Char Char1,Style 5 Char Char Char1,rrfootnote Char Char Char1"/>
    <w:locked/>
    <w:rsid w:val="004C3B8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effrey.Gee@fcc.gov" TargetMode="External" /><Relationship Id="rId11" Type="http://schemas.openxmlformats.org/officeDocument/2006/relationships/hyperlink" Target="file:///C:\Users\Raphael.Sznajder\AppData\Local\Microsoft\Windows\INetCache\Content.Outlook\1URALPEM\eam@maldonado-group.com" TargetMode="External" /><Relationship Id="rId12" Type="http://schemas.openxmlformats.org/officeDocument/2006/relationships/image" Target="media/image1.jpeg"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2.xml" /><Relationship Id="rId17" Type="http://schemas.openxmlformats.org/officeDocument/2006/relationships/footer" Target="footer3.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Georgina.Feigen@fcc.gov" TargetMode="External" /><Relationship Id="rId6" Type="http://schemas.openxmlformats.org/officeDocument/2006/relationships/hyperlink" Target="https://apps.fcc.gov/cores/userLogin.do" TargetMode="External" /><Relationship Id="rId7" Type="http://schemas.openxmlformats.org/officeDocument/2006/relationships/hyperlink" Target="mailto:RROGWireFaxes@fcc.gov" TargetMode="External" /><Relationship Id="rId8" Type="http://schemas.openxmlformats.org/officeDocument/2006/relationships/hyperlink" Target="https://www.fcc.gov/licensingdatabases/fees/wire-transfer" TargetMode="External" /><Relationship Id="rId9" Type="http://schemas.openxmlformats.org/officeDocument/2006/relationships/hyperlink" Target="mailto:ARINQUIRIE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licensing-databases/fees/fcc-remittance-advice-form-159" TargetMode="External" /><Relationship Id="rId2" Type="http://schemas.openxmlformats.org/officeDocument/2006/relationships/hyperlink" Target="https://apps.fcc.gov/cores/userLogin.do" TargetMode="External" /><Relationship Id="rId3" Type="http://schemas.openxmlformats.org/officeDocument/2006/relationships/hyperlink" Target="http://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