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9576" w:type="dxa"/>
        <w:tblLayout w:type="fixed"/>
        <w:tblLook w:val="0000"/>
      </w:tblPr>
      <w:tblGrid>
        <w:gridCol w:w="4698"/>
        <w:gridCol w:w="630"/>
        <w:gridCol w:w="4248"/>
      </w:tblGrid>
      <w:tr w14:paraId="1E651C41" w14:textId="77777777" w:rsidTr="00442324">
        <w:tblPrEx>
          <w:tblW w:w="9576" w:type="dxa"/>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66F70D58">
            <w:pPr>
              <w:rPr>
                <w:szCs w:val="22"/>
              </w:rPr>
            </w:pPr>
            <w:r>
              <w:rPr>
                <w:szCs w:val="22"/>
              </w:rPr>
              <w:t>C</w:t>
            </w:r>
            <w:r w:rsidR="00104663">
              <w:rPr>
                <w:szCs w:val="22"/>
              </w:rPr>
              <w:t>lear Rate</w:t>
            </w:r>
            <w:r>
              <w:rPr>
                <w:szCs w:val="22"/>
              </w:rPr>
              <w:t xml:space="preserve"> Communication</w:t>
            </w:r>
            <w:r w:rsidR="00442324">
              <w:rPr>
                <w:szCs w:val="22"/>
              </w:rPr>
              <w:t>s</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4F447719">
            <w:pPr>
              <w:pStyle w:val="TOAHeading"/>
              <w:rPr>
                <w:szCs w:val="22"/>
              </w:rPr>
            </w:pPr>
            <w:r>
              <w:rPr>
                <w:szCs w:val="22"/>
              </w:rPr>
              <w:t>Complaint No</w:t>
            </w:r>
            <w:r w:rsidRPr="00EF2C5A">
              <w:rPr>
                <w:szCs w:val="22"/>
              </w:rPr>
              <w:t>.</w:t>
            </w:r>
            <w:r w:rsidR="006F2F56">
              <w:rPr>
                <w:szCs w:val="22"/>
              </w:rPr>
              <w:t xml:space="preserve"> </w:t>
            </w:r>
            <w:r w:rsidR="00104663">
              <w:rPr>
                <w:szCs w:val="22"/>
              </w:rPr>
              <w:t>5</w:t>
            </w:r>
            <w:r w:rsidR="00AB1C84">
              <w:rPr>
                <w:szCs w:val="22"/>
              </w:rPr>
              <w:t>576625</w:t>
            </w:r>
          </w:p>
          <w:p w:rsidR="00E87EC4" w:rsidRPr="005F7CD1" w:rsidP="00CE1F45" w14:paraId="5BD1E5AE" w14:textId="77777777"/>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442324" w14:paraId="1ED2A3D8" w14:textId="0AC977B7">
      <w:pPr>
        <w:tabs>
          <w:tab w:val="left" w:pos="0"/>
          <w:tab w:val="left" w:pos="5760"/>
          <w:tab w:val="left" w:pos="6390"/>
        </w:tabs>
        <w:suppressAutoHyphens/>
        <w:spacing w:line="227" w:lineRule="auto"/>
        <w:rPr>
          <w:spacing w:val="-2"/>
        </w:rPr>
      </w:pPr>
      <w:r w:rsidRPr="00142D97">
        <w:rPr>
          <w:b/>
          <w:spacing w:val="-2"/>
        </w:rPr>
        <w:t>Adopted:</w:t>
      </w:r>
      <w:r w:rsidR="00442324">
        <w:rPr>
          <w:b/>
          <w:spacing w:val="-2"/>
        </w:rPr>
        <w:t xml:space="preserve">  </w:t>
      </w:r>
      <w:r w:rsidR="002410F0">
        <w:rPr>
          <w:b/>
          <w:spacing w:val="-2"/>
        </w:rPr>
        <w:t>July 20</w:t>
      </w:r>
      <w:r w:rsidRPr="00142D97">
        <w:rPr>
          <w:b/>
          <w:spacing w:val="-2"/>
        </w:rPr>
        <w:t>, 20</w:t>
      </w:r>
      <w:r w:rsidR="006D6CC3">
        <w:rPr>
          <w:b/>
          <w:spacing w:val="-2"/>
        </w:rPr>
        <w:t>2</w:t>
      </w:r>
      <w:r w:rsidR="00126D53">
        <w:rPr>
          <w:b/>
          <w:spacing w:val="-2"/>
        </w:rPr>
        <w:t>2</w:t>
      </w:r>
      <w:r w:rsidRPr="00142D97">
        <w:rPr>
          <w:b/>
          <w:spacing w:val="-2"/>
        </w:rPr>
        <w:tab/>
      </w:r>
      <w:r w:rsidR="006F24F5">
        <w:rPr>
          <w:b/>
          <w:spacing w:val="-2"/>
        </w:rPr>
        <w:tab/>
      </w:r>
      <w:r w:rsidRPr="00142D97">
        <w:rPr>
          <w:b/>
          <w:spacing w:val="-2"/>
        </w:rPr>
        <w:t xml:space="preserve">Released: </w:t>
      </w:r>
      <w:r w:rsidR="00EB0A91">
        <w:rPr>
          <w:b/>
          <w:spacing w:val="-2"/>
        </w:rPr>
        <w:t xml:space="preserve"> </w:t>
      </w:r>
      <w:r w:rsidR="002410F0">
        <w:rPr>
          <w:b/>
          <w:spacing w:val="-2"/>
        </w:rPr>
        <w:t>July 20</w:t>
      </w:r>
      <w:r w:rsidRPr="00142D97">
        <w:rPr>
          <w:b/>
          <w:spacing w:val="-2"/>
        </w:rPr>
        <w:t>, 20</w:t>
      </w:r>
      <w:r w:rsidR="006D6CC3">
        <w:rPr>
          <w:b/>
          <w:spacing w:val="-2"/>
        </w:rPr>
        <w:t>2</w:t>
      </w:r>
      <w:r w:rsidR="00126D53">
        <w:rPr>
          <w:b/>
          <w:spacing w:val="-2"/>
        </w:rPr>
        <w:t>2</w:t>
      </w:r>
    </w:p>
    <w:p w:rsidR="00E87EC4" w:rsidRPr="00142D97" w:rsidP="00E87EC4" w14:paraId="11E45323" w14:textId="77777777"/>
    <w:p w:rsidR="00E87EC4" w:rsidRPr="00142D97" w:rsidP="00440166" w14:paraId="27E2BE03" w14:textId="0538E0F4">
      <w:pPr>
        <w:spacing w:after="120"/>
      </w:pPr>
      <w:r w:rsidRPr="00142D97">
        <w:t xml:space="preserve">By the </w:t>
      </w:r>
      <w:r w:rsidR="00442324">
        <w:t xml:space="preserve">Acting </w:t>
      </w:r>
      <w:r w:rsidRPr="00142D97">
        <w:t xml:space="preserve">Chief, Consumer Policy Division, Consumer </w:t>
      </w:r>
      <w:r>
        <w:t>and</w:t>
      </w:r>
      <w:r w:rsidRPr="00142D97">
        <w:t xml:space="preserve"> Governmental Affairs Bureau:</w:t>
      </w:r>
    </w:p>
    <w:p w:rsidR="00E87EC4" w:rsidRPr="00142D97" w:rsidP="00440166" w14:paraId="40A053FA" w14:textId="0A1F9AA8">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rsidR="003D262D">
        <w:t xml:space="preserve"> </w:t>
      </w:r>
      <w:r w:rsidR="00104663">
        <w:t>Clear Rate</w:t>
      </w:r>
      <w:r w:rsidR="003D262D">
        <w:t xml:space="preserve"> Communication</w:t>
      </w:r>
      <w:r w:rsidR="00442324">
        <w:t>s</w:t>
      </w:r>
      <w:r w:rsidR="006D6CC3">
        <w:t xml:space="preserve"> </w:t>
      </w:r>
      <w:r>
        <w:t>(</w:t>
      </w:r>
      <w:r w:rsidR="00104663">
        <w:t>Clear Rate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00104663">
        <w:t>Clear Rate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B82B45" w:rsidRPr="00142D97" w:rsidP="00440166" w14:paraId="59CAB3A0" w14:textId="71B00EF8">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440166" w:rsidRPr="00440166" w:rsidP="00440166" w14:paraId="07E792E2" w14:textId="757E61DC">
      <w:pPr>
        <w:pStyle w:val="ListParagraph"/>
        <w:widowControl/>
        <w:numPr>
          <w:ilvl w:val="0"/>
          <w:numId w:val="7"/>
        </w:numPr>
        <w:tabs>
          <w:tab w:val="clear" w:pos="1440"/>
        </w:tabs>
        <w:snapToGrid w:val="0"/>
        <w:spacing w:after="120"/>
        <w:ind w:left="0" w:firstLine="720"/>
        <w:contextualSpacing w:val="0"/>
        <w:rPr>
          <w:szCs w:val="22"/>
        </w:rPr>
      </w:pPr>
      <w:r w:rsidRPr="00B82B45">
        <w:rPr>
          <w:szCs w:val="22"/>
        </w:rPr>
        <w:t>In 2018, the Commission codified a rule to prohibit misrepresentations on sales calls to further reduce the incidence of slamming.</w:t>
      </w:r>
      <w:r>
        <w:rPr>
          <w:rStyle w:val="FootnoteReference"/>
          <w:szCs w:val="22"/>
        </w:rPr>
        <w:footnoteReference w:id="8"/>
      </w:r>
      <w:r w:rsidRPr="00B82B45">
        <w:rPr>
          <w:rStyle w:val="FootnoteReference"/>
          <w:szCs w:val="22"/>
        </w:rPr>
        <w:t xml:space="preserve"> </w:t>
      </w:r>
      <w:r w:rsidRPr="00B82B45">
        <w:rPr>
          <w:szCs w:val="22"/>
        </w:rPr>
        <w:t xml:space="preserve"> Under the revised rule, upon a finding of material </w:t>
      </w:r>
      <w:r w:rsidRPr="00B82B45">
        <w:rPr>
          <w:szCs w:val="22"/>
        </w:rPr>
        <w:t>misrepresentation during the sales call, the consumer’s authorization to change carriers will be deemed invalid even if the carrier has some evidence of consumer authorization of a carrier switch, e.g., a third-party verification (TPV) recording.  Sales misrepresentations may not be cured by a facially valid TPV.</w:t>
      </w:r>
      <w:r>
        <w:rPr>
          <w:rStyle w:val="FootnoteReference"/>
          <w:szCs w:val="22"/>
        </w:rPr>
        <w:footnoteReference w:id="9"/>
      </w:r>
      <w:r w:rsidRPr="00B82B45">
        <w:rPr>
          <w:szCs w:val="22"/>
        </w:rPr>
        <w:t xml:space="preserve">  The rule provides that a consumer’s credible allegation of misrepresentation shifts the burden of proof to the carrier to provide evidence to rebut the consumer’s claim regarding misrepresentation.  The Commission made clear that an accurate and complete recording of the sales call may be the carrier’s best</w:t>
      </w:r>
      <w:r>
        <w:rPr>
          <w:szCs w:val="22"/>
        </w:rPr>
        <w:t xml:space="preserve"> </w:t>
      </w:r>
      <w:r w:rsidRPr="00B82B45">
        <w:rPr>
          <w:szCs w:val="22"/>
        </w:rPr>
        <w:t>persuasive evidence to rebut the consumer’s claim that a misrepresentation was made on the sales call.</w:t>
      </w:r>
      <w:r>
        <w:rPr>
          <w:rStyle w:val="FootnoteReference"/>
          <w:szCs w:val="22"/>
        </w:rPr>
        <w:footnoteReference w:id="10"/>
      </w:r>
    </w:p>
    <w:p w:rsidR="005F3ED0" w:rsidRPr="00126D53" w:rsidP="00440166" w14:paraId="5292A789" w14:textId="011F412C">
      <w:pPr>
        <w:pStyle w:val="ListParagraph"/>
        <w:widowControl/>
        <w:numPr>
          <w:ilvl w:val="0"/>
          <w:numId w:val="7"/>
        </w:numPr>
        <w:tabs>
          <w:tab w:val="clear" w:pos="1440"/>
        </w:tabs>
        <w:snapToGrid w:val="0"/>
        <w:spacing w:after="120"/>
        <w:ind w:left="0" w:firstLine="720"/>
        <w:contextualSpacing w:val="0"/>
        <w:rPr>
          <w:snapToGrid/>
          <w:szCs w:val="22"/>
        </w:rPr>
      </w:pPr>
      <w:r w:rsidRPr="00142D97">
        <w:t xml:space="preserve">We </w:t>
      </w:r>
      <w:r w:rsidRPr="00440166">
        <w:rPr>
          <w:szCs w:val="22"/>
        </w:rPr>
        <w:t>received</w:t>
      </w:r>
      <w:r w:rsidRPr="00142D97">
        <w:t xml:space="preserve">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11"/>
      </w:r>
      <w:r w:rsidRPr="00142D97">
        <w:t xml:space="preserve">  </w:t>
      </w:r>
      <w:r>
        <w:rPr>
          <w:szCs w:val="22"/>
        </w:rPr>
        <w:t xml:space="preserve">In the complaint, </w:t>
      </w:r>
      <w:r w:rsidRPr="00126D53">
        <w:rPr>
          <w:szCs w:val="22"/>
        </w:rPr>
        <w:t xml:space="preserve">Complainant also alleges </w:t>
      </w:r>
      <w:r w:rsidRPr="00BB15BE" w:rsidR="00BB15BE">
        <w:rPr>
          <w:szCs w:val="22"/>
          <w:shd w:val="clear" w:color="auto" w:fill="FFFFFF"/>
        </w:rPr>
        <w:t xml:space="preserve">that “Clear Rate Communications called our office saying they were calling on behalf of Century Link and needed to confirm some billing information. </w:t>
      </w:r>
      <w:r w:rsidR="00BB15BE">
        <w:rPr>
          <w:szCs w:val="22"/>
          <w:shd w:val="clear" w:color="auto" w:fill="FFFFFF"/>
        </w:rPr>
        <w:t xml:space="preserve"> </w:t>
      </w:r>
      <w:r w:rsidRPr="00BB15BE" w:rsidR="00BB15BE">
        <w:rPr>
          <w:szCs w:val="22"/>
          <w:shd w:val="clear" w:color="auto" w:fill="FFFFFF"/>
        </w:rPr>
        <w:t>Our accountant provided them with our address only, thinking she was speaking to Century Link.</w:t>
      </w:r>
      <w:r w:rsidR="00BB15BE">
        <w:rPr>
          <w:szCs w:val="22"/>
          <w:shd w:val="clear" w:color="auto" w:fill="FFFFFF"/>
        </w:rPr>
        <w:t>”</w:t>
      </w:r>
      <w:r>
        <w:rPr>
          <w:rStyle w:val="FootnoteReference"/>
          <w:szCs w:val="22"/>
          <w:shd w:val="clear" w:color="auto" w:fill="FFFFFF"/>
        </w:rPr>
        <w:footnoteReference w:id="12"/>
      </w:r>
      <w:r w:rsidR="00BB15BE">
        <w:rPr>
          <w:szCs w:val="22"/>
          <w:shd w:val="clear" w:color="auto" w:fill="FFFFFF"/>
        </w:rPr>
        <w:t xml:space="preserve">  Complainant states that “[a]</w:t>
      </w:r>
      <w:r w:rsidRPr="00BB15BE" w:rsidR="00BB15BE">
        <w:rPr>
          <w:szCs w:val="22"/>
          <w:shd w:val="clear" w:color="auto" w:fill="FFFFFF"/>
        </w:rPr>
        <w:t>t no time did anyone give authorization to move our phone account.</w:t>
      </w:r>
      <w:r w:rsidR="00BB15BE">
        <w:rPr>
          <w:szCs w:val="22"/>
          <w:shd w:val="clear" w:color="auto" w:fill="FFFFFF"/>
        </w:rPr>
        <w:t>”</w:t>
      </w:r>
      <w:r>
        <w:rPr>
          <w:rStyle w:val="FootnoteReference"/>
          <w:szCs w:val="22"/>
        </w:rPr>
        <w:footnoteReference w:id="13"/>
      </w:r>
      <w:r w:rsidR="00111F8E">
        <w:rPr>
          <w:szCs w:val="22"/>
        </w:rPr>
        <w:t xml:space="preserve">  </w:t>
      </w:r>
    </w:p>
    <w:p w:rsidR="005F1322" w:rsidRPr="005F1322" w:rsidP="00A23350" w14:paraId="3C72DB56" w14:textId="77777777">
      <w:pPr>
        <w:numPr>
          <w:ilvl w:val="0"/>
          <w:numId w:val="7"/>
        </w:numPr>
        <w:tabs>
          <w:tab w:val="clear" w:pos="1440"/>
        </w:tabs>
        <w:spacing w:after="120"/>
        <w:ind w:left="0" w:firstLine="720"/>
      </w:pPr>
      <w:r w:rsidRPr="00126D53">
        <w:t xml:space="preserve">Pursuant to our rules, we notified </w:t>
      </w:r>
      <w:r w:rsidRPr="00126D53" w:rsidR="00104663">
        <w:t>Clear Rate</w:t>
      </w:r>
      <w:r w:rsidRPr="00126D53">
        <w:t xml:space="preserve"> of the complaint.</w:t>
      </w:r>
      <w:r>
        <w:rPr>
          <w:rStyle w:val="FootnoteReference"/>
        </w:rPr>
        <w:footnoteReference w:id="14"/>
      </w:r>
      <w:r w:rsidRPr="00126D53">
        <w:t xml:space="preserve">  </w:t>
      </w:r>
      <w:r w:rsidR="00FF5368">
        <w:t>In its response, Clear Rate did not address the allegation of misrepresentation, stating only that it has</w:t>
      </w:r>
      <w:r w:rsidRPr="00126D53" w:rsidR="008A4A8D">
        <w:t xml:space="preserve"> a </w:t>
      </w:r>
      <w:r w:rsidR="00FF5368">
        <w:t>“</w:t>
      </w:r>
      <w:r w:rsidRPr="00126D53" w:rsidR="008A4A8D">
        <w:t>three part sales process</w:t>
      </w:r>
      <w:r w:rsidR="00FF5368">
        <w:t>”</w:t>
      </w:r>
      <w:r w:rsidRPr="00126D53" w:rsidR="00A8283A">
        <w:t xml:space="preserve"> that includes the initial sale</w:t>
      </w:r>
      <w:r w:rsidR="00FF5368">
        <w:t>s call</w:t>
      </w:r>
      <w:r w:rsidRPr="00126D53" w:rsidR="00A8283A">
        <w:t>,</w:t>
      </w:r>
      <w:r w:rsidR="00FF5368">
        <w:t xml:space="preserve"> a third</w:t>
      </w:r>
      <w:r w:rsidR="00F26CC7">
        <w:t>-</w:t>
      </w:r>
      <w:r w:rsidR="00FF5368">
        <w:t>party verification call,</w:t>
      </w:r>
      <w:r w:rsidRPr="00126D53" w:rsidR="001211C2">
        <w:t xml:space="preserve"> and a quality assurance call</w:t>
      </w:r>
      <w:r w:rsidRPr="00126D53" w:rsidR="008A4A8D">
        <w:t xml:space="preserve"> that </w:t>
      </w:r>
      <w:r w:rsidR="00462CB1">
        <w:t>“</w:t>
      </w:r>
      <w:r w:rsidRPr="00126D53" w:rsidR="008A4A8D">
        <w:t xml:space="preserve">ensures </w:t>
      </w:r>
      <w:r w:rsidR="00462CB1">
        <w:t>our</w:t>
      </w:r>
      <w:r w:rsidRPr="00126D53" w:rsidR="008A4A8D">
        <w:t xml:space="preserve"> customers are not </w:t>
      </w:r>
      <w:r w:rsidR="00462CB1">
        <w:t>‘</w:t>
      </w:r>
      <w:r w:rsidRPr="00126D53" w:rsidR="008A4A8D">
        <w:t>slammed</w:t>
      </w:r>
      <w:r w:rsidR="00462CB1">
        <w:t>’</w:t>
      </w:r>
      <w:r w:rsidR="00941E09">
        <w:t>”</w:t>
      </w:r>
      <w:r w:rsidRPr="00126D53" w:rsidR="008A4A8D">
        <w:t xml:space="preserve"> </w:t>
      </w:r>
      <w:r w:rsidRPr="00126D53" w:rsidR="00A8283A">
        <w:t xml:space="preserve">and are </w:t>
      </w:r>
      <w:r w:rsidR="00462CB1">
        <w:t xml:space="preserve">“aware and </w:t>
      </w:r>
      <w:r w:rsidRPr="00126D53" w:rsidR="00A8283A">
        <w:t>informed of the transfer of service</w:t>
      </w:r>
      <w:r w:rsidR="00462CB1">
        <w:t>s.”</w:t>
      </w:r>
      <w:r>
        <w:rPr>
          <w:rStyle w:val="FootnoteReference"/>
        </w:rPr>
        <w:footnoteReference w:id="15"/>
      </w:r>
      <w:r w:rsidRPr="00126D53" w:rsidR="0044528B">
        <w:t xml:space="preserve">  </w:t>
      </w:r>
      <w:r w:rsidRPr="00126D53" w:rsidR="00104663">
        <w:rPr>
          <w:szCs w:val="24"/>
        </w:rPr>
        <w:t>Clear Rate</w:t>
      </w:r>
      <w:r w:rsidRPr="00126D53" w:rsidR="00B82B45">
        <w:rPr>
          <w:szCs w:val="24"/>
        </w:rPr>
        <w:t xml:space="preserve"> </w:t>
      </w:r>
      <w:r w:rsidRPr="00126D53" w:rsidR="00440166">
        <w:rPr>
          <w:szCs w:val="24"/>
        </w:rPr>
        <w:t xml:space="preserve">provided </w:t>
      </w:r>
      <w:r w:rsidR="00B33290">
        <w:rPr>
          <w:szCs w:val="24"/>
        </w:rPr>
        <w:t>the</w:t>
      </w:r>
      <w:r w:rsidRPr="00126D53" w:rsidR="00440166">
        <w:rPr>
          <w:szCs w:val="24"/>
        </w:rPr>
        <w:t xml:space="preserve"> TPV recording</w:t>
      </w:r>
      <w:r w:rsidR="00BB15BE">
        <w:rPr>
          <w:szCs w:val="24"/>
        </w:rPr>
        <w:t xml:space="preserve"> an</w:t>
      </w:r>
      <w:r w:rsidR="00B33290">
        <w:rPr>
          <w:szCs w:val="24"/>
        </w:rPr>
        <w:t xml:space="preserve">d the </w:t>
      </w:r>
      <w:r w:rsidR="00BB15BE">
        <w:rPr>
          <w:szCs w:val="24"/>
        </w:rPr>
        <w:t>“quality</w:t>
      </w:r>
      <w:r w:rsidR="00835963">
        <w:rPr>
          <w:szCs w:val="24"/>
        </w:rPr>
        <w:t xml:space="preserve"> assurance call.”</w:t>
      </w:r>
      <w:r>
        <w:rPr>
          <w:rStyle w:val="FootnoteReference"/>
          <w:szCs w:val="24"/>
        </w:rPr>
        <w:footnoteReference w:id="16"/>
      </w:r>
      <w:r w:rsidR="00835963">
        <w:rPr>
          <w:szCs w:val="24"/>
        </w:rPr>
        <w:t xml:space="preserve">  It did not, however, provide</w:t>
      </w:r>
      <w:r w:rsidR="00BB15BE">
        <w:rPr>
          <w:szCs w:val="24"/>
        </w:rPr>
        <w:t xml:space="preserve"> </w:t>
      </w:r>
      <w:r w:rsidRPr="00126D53" w:rsidR="00B82B45">
        <w:rPr>
          <w:szCs w:val="24"/>
        </w:rPr>
        <w:t>the sales call recording or any other evidence related to t</w:t>
      </w:r>
      <w:r w:rsidR="00030E44">
        <w:rPr>
          <w:szCs w:val="24"/>
        </w:rPr>
        <w:t xml:space="preserve">he sales call </w:t>
      </w:r>
      <w:r w:rsidRPr="00126D53" w:rsidR="00B82B45">
        <w:rPr>
          <w:szCs w:val="24"/>
        </w:rPr>
        <w:t xml:space="preserve">to rebut Complainant’s claim of misrepresentation.  </w:t>
      </w:r>
    </w:p>
    <w:p w:rsidR="00E87EC4" w:rsidP="005F1322" w14:paraId="7E5B2A35" w14:textId="0D9E3F8F">
      <w:pPr>
        <w:numPr>
          <w:ilvl w:val="0"/>
          <w:numId w:val="7"/>
        </w:numPr>
        <w:tabs>
          <w:tab w:val="clear" w:pos="1440"/>
        </w:tabs>
        <w:spacing w:after="120"/>
        <w:ind w:left="0" w:firstLine="720"/>
      </w:pPr>
      <w:r>
        <w:rPr>
          <w:szCs w:val="24"/>
        </w:rPr>
        <w:t>T</w:t>
      </w:r>
      <w:r w:rsidRPr="00126D53" w:rsidR="006D7D9E">
        <w:rPr>
          <w:szCs w:val="24"/>
        </w:rPr>
        <w:t>he Division thoroughly</w:t>
      </w:r>
      <w:r w:rsidRPr="00CB7D2F" w:rsidR="006D7D9E">
        <w:rPr>
          <w:szCs w:val="24"/>
        </w:rPr>
        <w:t xml:space="preserve"> reviewed all the evidence in the record provided by both the Complainant and </w:t>
      </w:r>
      <w:r w:rsidR="00104663">
        <w:rPr>
          <w:szCs w:val="24"/>
        </w:rPr>
        <w:t>Clear Rate</w:t>
      </w:r>
      <w:r w:rsidRPr="00CB7D2F" w:rsidR="006D7D9E">
        <w:rPr>
          <w:szCs w:val="24"/>
        </w:rPr>
        <w:t xml:space="preserve">. </w:t>
      </w:r>
      <w:r w:rsidRPr="00CB7D2F" w:rsidR="006D7D9E">
        <w:rPr>
          <w:szCs w:val="22"/>
        </w:rPr>
        <w:t xml:space="preserve"> </w:t>
      </w:r>
      <w:r w:rsidRPr="005F1322" w:rsidR="006D7D9E">
        <w:rPr>
          <w:szCs w:val="22"/>
        </w:rPr>
        <w:t xml:space="preserve">Based on the evidence, we find Complainant’s allegation of a sales call misrepresentation to be credible.  </w:t>
      </w:r>
      <w:r w:rsidRPr="005F1322" w:rsidR="0059509C">
        <w:rPr>
          <w:szCs w:val="22"/>
        </w:rPr>
        <w:t xml:space="preserve">We further find that </w:t>
      </w:r>
      <w:r w:rsidRPr="005F1322" w:rsidR="00104663">
        <w:rPr>
          <w:szCs w:val="22"/>
        </w:rPr>
        <w:t>Clear Rate</w:t>
      </w:r>
      <w:r w:rsidRPr="005F1322" w:rsidR="0059509C">
        <w:rPr>
          <w:szCs w:val="22"/>
        </w:rPr>
        <w:t xml:space="preserve"> has failed to provide persuasive evidence to rebut Complainant’s misrepresentation claim and therefore that Complainant’s authorization to change carriers is invalid.</w:t>
      </w:r>
      <w:r w:rsidRPr="005F1322" w:rsidR="001211C2">
        <w:rPr>
          <w:szCs w:val="22"/>
        </w:rPr>
        <w:t xml:space="preserve">  </w:t>
      </w:r>
      <w:r w:rsidRPr="005F1322" w:rsidR="006D7D9E">
        <w:rPr>
          <w:szCs w:val="22"/>
        </w:rPr>
        <w:t xml:space="preserve">As the Commission stated in the </w:t>
      </w:r>
      <w:r w:rsidRPr="005F1322" w:rsidR="006D7D9E">
        <w:rPr>
          <w:i/>
          <w:szCs w:val="22"/>
        </w:rPr>
        <w:t>2018 Slamming Order</w:t>
      </w:r>
      <w:r w:rsidRPr="005F1322" w:rsidR="006D7D9E">
        <w:rPr>
          <w:szCs w:val="22"/>
        </w:rPr>
        <w:t>, “[w]hen a consumer’s decision to switch carriers is predicated on false information provided in a sales call, that consumer’s authorization to switch carriers can no longer be considered binding.”</w:t>
      </w:r>
      <w:r>
        <w:rPr>
          <w:rStyle w:val="FootnoteReference"/>
          <w:szCs w:val="22"/>
        </w:rPr>
        <w:footnoteReference w:id="17"/>
      </w:r>
      <w:r w:rsidRPr="005F1322" w:rsidR="006D7D9E">
        <w:rPr>
          <w:szCs w:val="22"/>
        </w:rPr>
        <w:t xml:space="preserve">  We therefore find </w:t>
      </w:r>
      <w:r w:rsidRPr="005F1322" w:rsidR="006D7D9E">
        <w:rPr>
          <w:szCs w:val="22"/>
        </w:rPr>
        <w:t xml:space="preserve">that </w:t>
      </w:r>
      <w:r w:rsidRPr="005F1322" w:rsidR="00104663">
        <w:rPr>
          <w:szCs w:val="22"/>
        </w:rPr>
        <w:t>Clear Rate</w:t>
      </w:r>
      <w:r w:rsidRPr="005F1322" w:rsidR="006D7D9E">
        <w:rPr>
          <w:szCs w:val="22"/>
        </w:rPr>
        <w:t xml:space="preserve">’s actions resulted in an unauthorized change in Complainant’s telecommunications service provider, as defined by the rules, and we discuss </w:t>
      </w:r>
      <w:r w:rsidRPr="005F1322" w:rsidR="00104663">
        <w:rPr>
          <w:szCs w:val="22"/>
        </w:rPr>
        <w:t>Clear Rate</w:t>
      </w:r>
      <w:r w:rsidRPr="005F1322" w:rsidR="006D7D9E">
        <w:rPr>
          <w:szCs w:val="22"/>
        </w:rPr>
        <w:t>’s liability below.</w:t>
      </w:r>
      <w:r>
        <w:rPr>
          <w:rStyle w:val="FootnoteReference"/>
          <w:szCs w:val="22"/>
        </w:rPr>
        <w:footnoteReference w:id="18"/>
      </w:r>
      <w:r w:rsidRPr="005F1322" w:rsidR="00FD5F16">
        <w:rPr>
          <w:szCs w:val="24"/>
        </w:rPr>
        <w:t xml:space="preserve">      </w:t>
      </w:r>
    </w:p>
    <w:p w:rsidR="00E87EC4" w:rsidP="004A1870" w14:paraId="0A6F2D17" w14:textId="1269D977">
      <w:pPr>
        <w:widowControl/>
        <w:numPr>
          <w:ilvl w:val="0"/>
          <w:numId w:val="7"/>
        </w:numPr>
        <w:tabs>
          <w:tab w:val="clear" w:pos="1440"/>
        </w:tabs>
        <w:spacing w:after="120"/>
        <w:ind w:left="0" w:firstLine="720"/>
      </w:pPr>
      <w:r>
        <w:t>Clear Rate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9"/>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t>Clear Rate</w:t>
      </w:r>
      <w:r>
        <w:t xml:space="preserve"> may pursue any collection against Complainant for those charges.</w:t>
      </w:r>
      <w:r>
        <w:rPr>
          <w:rStyle w:val="FootnoteReference"/>
        </w:rPr>
        <w:footnoteReference w:id="20"/>
      </w:r>
      <w:r>
        <w:t xml:space="preserve">  Any charges imposed by </w:t>
      </w:r>
      <w:r>
        <w:t>Clear Rate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21"/>
      </w:r>
    </w:p>
    <w:p w:rsidR="00E87EC4" w:rsidP="008A32BF" w14:paraId="66218C51" w14:textId="0D98FA9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104663">
        <w:t>Clear Rate</w:t>
      </w:r>
      <w:r w:rsidR="00FD5F16">
        <w:t xml:space="preserve"> Communication</w:t>
      </w:r>
      <w:r w:rsidR="00F2035B">
        <w:t>s</w:t>
      </w:r>
      <w:r w:rsidRPr="006D6CC3">
        <w:t xml:space="preserve"> </w:t>
      </w:r>
      <w:r w:rsidR="004B41C6">
        <w:t>IS</w:t>
      </w:r>
      <w:r>
        <w:t xml:space="preserve"> GRANTED</w:t>
      </w:r>
      <w:r w:rsidRPr="00142D97">
        <w:t>.</w:t>
      </w:r>
    </w:p>
    <w:p w:rsidR="004B41C6" w:rsidRPr="00FD5F16" w:rsidP="00FD5F16" w14:paraId="7FDD1154" w14:textId="3F77E708">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104663">
        <w:rPr>
          <w:szCs w:val="22"/>
        </w:rPr>
        <w:t>Clear Rate</w:t>
      </w:r>
      <w:r w:rsidR="0044528B">
        <w:rPr>
          <w:szCs w:val="22"/>
        </w:rPr>
        <w:t xml:space="preserve"> </w:t>
      </w:r>
      <w:r w:rsidR="00FD5F16">
        <w:rPr>
          <w:szCs w:val="22"/>
        </w:rPr>
        <w:t>Communication</w:t>
      </w:r>
      <w:r w:rsidR="00F2035B">
        <w:rPr>
          <w:szCs w:val="22"/>
        </w:rPr>
        <w:t>s</w:t>
      </w:r>
      <w:r w:rsidR="002F77BE">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F2035B" w:rsidP="00384F89" w14:paraId="1F6C4CAC" w14:textId="77777777">
      <w:pPr>
        <w:ind w:left="3600" w:right="270" w:firstLine="720"/>
        <w:outlineLvl w:val="0"/>
      </w:pPr>
    </w:p>
    <w:p w:rsidR="00E87EC4" w:rsidP="00384F89" w14:paraId="72BF37A8" w14:textId="2199AC1B">
      <w:pPr>
        <w:ind w:left="3600" w:right="270" w:firstLine="720"/>
        <w:outlineLvl w:val="0"/>
        <w:rPr>
          <w:szCs w:val="22"/>
        </w:rPr>
      </w:pPr>
      <w:r>
        <w:t>K</w:t>
      </w:r>
      <w:r w:rsidR="003D262D">
        <w:t>risti Thornton</w:t>
      </w:r>
      <w:r w:rsidR="003D262D">
        <w:tab/>
      </w:r>
      <w:r w:rsidRPr="00EF2C5A">
        <w:rPr>
          <w:szCs w:val="22"/>
        </w:rPr>
        <w:t xml:space="preserve"> </w:t>
      </w:r>
    </w:p>
    <w:p w:rsidR="00E87EC4" w:rsidRPr="00142D97" w:rsidP="0037166F" w14:paraId="2CC72A68" w14:textId="329070CC">
      <w:pPr>
        <w:ind w:left="3600" w:right="270" w:firstLine="720"/>
      </w:pPr>
      <w:r>
        <w:t xml:space="preserve">Acting </w:t>
      </w: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5DAF5C33">
      <w:pPr>
        <w:pStyle w:val="FootnoteText"/>
      </w:pPr>
      <w:r>
        <w:rPr>
          <w:rStyle w:val="FootnoteReference"/>
        </w:rPr>
        <w:footnoteRef/>
      </w:r>
      <w:bookmarkStart w:id="0" w:name="_Hlk515530738"/>
      <w:r>
        <w:rPr>
          <w:i/>
        </w:rPr>
        <w:t xml:space="preserve"> </w:t>
      </w:r>
      <w:bookmarkEnd w:id="0"/>
      <w:r>
        <w:rPr>
          <w:i/>
        </w:rPr>
        <w:t xml:space="preserve">See </w:t>
      </w:r>
      <w:r>
        <w:t xml:space="preserve">Informal Complaint No. </w:t>
      </w:r>
      <w:r w:rsidR="00EB0A91">
        <w:t>5</w:t>
      </w:r>
      <w:r w:rsidR="00AB1C84">
        <w:t>576625</w:t>
      </w:r>
      <w:r>
        <w:t xml:space="preserve"> (filed </w:t>
      </w:r>
      <w:r w:rsidR="00AB1C84">
        <w:t>June 30</w:t>
      </w:r>
      <w:r>
        <w:t>, 202</w:t>
      </w:r>
      <w:r w:rsidR="00126D53">
        <w:t>2</w:t>
      </w:r>
      <w:r>
        <w:t xml:space="preserve">);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B82B45" w:rsidP="00B82B45" w14:paraId="066A2918" w14:textId="77777777">
      <w:pPr>
        <w:pStyle w:val="FootnoteText"/>
      </w:pPr>
      <w:r>
        <w:rPr>
          <w:rStyle w:val="FootnoteReference"/>
        </w:rPr>
        <w:footnoteRef/>
      </w:r>
      <w:r>
        <w:t xml:space="preserve"> </w:t>
      </w:r>
      <w:r w:rsidRPr="009F6F0E">
        <w:rPr>
          <w:i/>
        </w:rPr>
        <w:t>Id</w:t>
      </w:r>
      <w:r>
        <w:t>. § 64.1120(a)(1)(</w:t>
      </w:r>
      <w:r>
        <w:t>i</w:t>
      </w:r>
      <w:r>
        <w:t xml:space="preserve">)(A).  </w:t>
      </w:r>
    </w:p>
  </w:footnote>
  <w:footnote w:id="9">
    <w:p w:rsidR="00B82B45" w:rsidP="00B82B45" w14:paraId="31B74068" w14:textId="0DB647F7">
      <w:pPr>
        <w:pStyle w:val="FootnoteText"/>
      </w:pPr>
      <w:r>
        <w:rPr>
          <w:rStyle w:val="FootnoteReference"/>
        </w:rPr>
        <w:footnoteRef/>
      </w:r>
      <w:r>
        <w:t xml:space="preserve"> </w:t>
      </w:r>
      <w:r>
        <w:rPr>
          <w:i/>
        </w:rPr>
        <w:t>See Protecting Consumers from Unauthorized Carrier Changes and Related Unauthorized Charges</w:t>
      </w:r>
      <w:r>
        <w:t xml:space="preserve">, 33 FCC </w:t>
      </w:r>
      <w:r>
        <w:t>Rcd</w:t>
      </w:r>
      <w:r>
        <w:t xml:space="preserve"> 5773, 5778-80, paras. 17-19 (2018) (</w:t>
      </w:r>
      <w:r w:rsidRPr="00305DCB">
        <w:rPr>
          <w:i/>
        </w:rPr>
        <w:t>2018 Slamming Order</w:t>
      </w:r>
      <w:r>
        <w:t>); 47 CFR § 64.1120(a)(1)(</w:t>
      </w:r>
      <w:r>
        <w:t>i</w:t>
      </w:r>
      <w:r>
        <w:t xml:space="preserve">)(A).  </w:t>
      </w:r>
    </w:p>
  </w:footnote>
  <w:footnote w:id="10">
    <w:p w:rsidR="00B82B45" w:rsidP="00B82B45" w14:paraId="5E2EA295" w14:textId="77777777">
      <w:pPr>
        <w:pStyle w:val="FootnoteText"/>
      </w:pPr>
      <w:r>
        <w:rPr>
          <w:rStyle w:val="FootnoteReference"/>
        </w:rPr>
        <w:footnoteRef/>
      </w:r>
      <w:r>
        <w:t xml:space="preserve"> </w:t>
      </w:r>
      <w:r w:rsidRPr="000237AB">
        <w:rPr>
          <w:i/>
        </w:rPr>
        <w:t>See 2018 Slamming Order</w:t>
      </w:r>
      <w:r>
        <w:t xml:space="preserve">, 33 FCC </w:t>
      </w:r>
      <w:r>
        <w:t>Rcd</w:t>
      </w:r>
      <w:r>
        <w:t xml:space="preserve"> at 5781, para. 23.  The Commission also stated that a carrier is uniquely positioned via its access to sales scripts, recordings, training, and other relevant materials relating to sales calls to proffer evidence to rebut a consumer’s claims.  </w:t>
      </w:r>
      <w:r w:rsidRPr="00CE5BF4">
        <w:rPr>
          <w:i/>
        </w:rPr>
        <w:t>Id</w:t>
      </w:r>
      <w:r>
        <w:t>.</w:t>
      </w:r>
    </w:p>
  </w:footnote>
  <w:footnote w:id="11">
    <w:p w:rsidR="000C7E88" w14:paraId="778CD5ED" w14:textId="4277E223">
      <w:pPr>
        <w:pStyle w:val="FootnoteText"/>
      </w:pPr>
      <w:r>
        <w:rPr>
          <w:rStyle w:val="FootnoteReference"/>
        </w:rPr>
        <w:footnoteRef/>
      </w:r>
      <w:r>
        <w:t xml:space="preserve"> </w:t>
      </w:r>
      <w:r w:rsidRPr="000C7E88">
        <w:rPr>
          <w:i/>
          <w:iCs/>
        </w:rPr>
        <w:t>See</w:t>
      </w:r>
      <w:r>
        <w:t xml:space="preserve"> Informal Complaint No. </w:t>
      </w:r>
      <w:r w:rsidR="009C2538">
        <w:t>5576625</w:t>
      </w:r>
      <w:r>
        <w:t>.</w:t>
      </w:r>
    </w:p>
  </w:footnote>
  <w:footnote w:id="12">
    <w:p w:rsidR="00EB657C" w:rsidRPr="00EB657C" w14:paraId="2713D8A7" w14:textId="768A8F2A">
      <w:pPr>
        <w:pStyle w:val="FootnoteText"/>
        <w:rPr>
          <w:i/>
          <w:iCs/>
        </w:rPr>
      </w:pPr>
      <w:r>
        <w:rPr>
          <w:rStyle w:val="FootnoteReference"/>
        </w:rPr>
        <w:footnoteRef/>
      </w:r>
      <w:r>
        <w:t xml:space="preserve"> </w:t>
      </w:r>
      <w:r w:rsidRPr="00EB657C">
        <w:rPr>
          <w:i/>
          <w:iCs/>
        </w:rPr>
        <w:t>Id.</w:t>
      </w:r>
    </w:p>
  </w:footnote>
  <w:footnote w:id="13">
    <w:p w:rsidR="00941E09" w:rsidP="00941E09" w14:paraId="0E05B72C" w14:textId="77777777">
      <w:pPr>
        <w:pStyle w:val="FootnoteText"/>
      </w:pPr>
      <w:r>
        <w:rPr>
          <w:rStyle w:val="FootnoteReference"/>
        </w:rPr>
        <w:footnoteRef/>
      </w:r>
      <w:r>
        <w:t xml:space="preserve"> </w:t>
      </w:r>
      <w:r w:rsidRPr="002C43CB">
        <w:rPr>
          <w:i/>
          <w:iCs/>
        </w:rPr>
        <w:t>Id.</w:t>
      </w:r>
    </w:p>
  </w:footnote>
  <w:footnote w:id="14">
    <w:p w:rsidR="00E87EC4" w:rsidP="00E87EC4" w14:paraId="3B3D0754" w14:textId="077EA8AF">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p>
  </w:footnote>
  <w:footnote w:id="15">
    <w:p w:rsidR="00996AA4" w14:paraId="4022C8EC" w14:textId="3E195DD1">
      <w:pPr>
        <w:pStyle w:val="FootnoteText"/>
      </w:pPr>
      <w:r>
        <w:rPr>
          <w:rStyle w:val="FootnoteReference"/>
        </w:rPr>
        <w:footnoteRef/>
      </w:r>
      <w:r>
        <w:t xml:space="preserve"> </w:t>
      </w:r>
      <w:r w:rsidRPr="00996AA4">
        <w:rPr>
          <w:i/>
          <w:iCs/>
        </w:rPr>
        <w:t>See</w:t>
      </w:r>
      <w:r>
        <w:t xml:space="preserve"> </w:t>
      </w:r>
      <w:r w:rsidR="00104663">
        <w:t>Clear Rate</w:t>
      </w:r>
      <w:r>
        <w:t xml:space="preserve"> Response to Informal Complaint No. </w:t>
      </w:r>
      <w:r w:rsidR="00EB0A91">
        <w:t>5</w:t>
      </w:r>
      <w:r w:rsidR="009C2538">
        <w:t>576625</w:t>
      </w:r>
      <w:r>
        <w:t xml:space="preserve"> (filed </w:t>
      </w:r>
      <w:r w:rsidR="009C2538">
        <w:t>July 8</w:t>
      </w:r>
      <w:r>
        <w:t>, 202</w:t>
      </w:r>
      <w:r w:rsidR="007257B8">
        <w:t>2).</w:t>
      </w:r>
      <w:r w:rsidR="002F77BE">
        <w:t xml:space="preserve"> </w:t>
      </w:r>
    </w:p>
  </w:footnote>
  <w:footnote w:id="16">
    <w:p w:rsidR="00B33290" w:rsidRPr="00B33290" w:rsidP="00B33290" w14:paraId="4A8624F5" w14:textId="58C1CC2B">
      <w:pPr>
        <w:pStyle w:val="Default"/>
        <w:spacing w:after="120"/>
        <w:rPr>
          <w:rFonts w:ascii="Times New Roman" w:hAnsi="Times New Roman" w:cs="Times New Roman"/>
          <w:sz w:val="20"/>
          <w:szCs w:val="20"/>
        </w:rPr>
      </w:pPr>
      <w:r>
        <w:rPr>
          <w:rStyle w:val="FootnoteReference"/>
        </w:rPr>
        <w:footnoteRef/>
      </w:r>
      <w:r>
        <w:t xml:space="preserve"> </w:t>
      </w:r>
      <w:r w:rsidRPr="00116A80" w:rsidR="00116A80">
        <w:rPr>
          <w:rFonts w:ascii="Times New Roman" w:hAnsi="Times New Roman" w:cs="Times New Roman"/>
          <w:i/>
          <w:iCs/>
          <w:sz w:val="20"/>
          <w:szCs w:val="20"/>
        </w:rPr>
        <w:t>Id.</w:t>
      </w:r>
      <w:r w:rsidR="00116A80">
        <w:rPr>
          <w:rFonts w:ascii="Times New Roman" w:hAnsi="Times New Roman" w:cs="Times New Roman"/>
          <w:sz w:val="20"/>
          <w:szCs w:val="20"/>
        </w:rPr>
        <w:t xml:space="preserve">  </w:t>
      </w:r>
      <w:r w:rsidRPr="00835963">
        <w:rPr>
          <w:rFonts w:ascii="Times New Roman" w:hAnsi="Times New Roman" w:cs="Times New Roman"/>
          <w:sz w:val="20"/>
          <w:szCs w:val="20"/>
        </w:rPr>
        <w:t xml:space="preserve">Clear Rate states that </w:t>
      </w:r>
      <w:r>
        <w:rPr>
          <w:rFonts w:ascii="Times New Roman" w:hAnsi="Times New Roman" w:cs="Times New Roman"/>
          <w:sz w:val="20"/>
          <w:szCs w:val="20"/>
        </w:rPr>
        <w:t>the “quality assurance call” is a “</w:t>
      </w:r>
      <w:r w:rsidRPr="00835963">
        <w:rPr>
          <w:rFonts w:ascii="Times New Roman" w:hAnsi="Times New Roman" w:cs="Times New Roman"/>
          <w:sz w:val="20"/>
          <w:szCs w:val="20"/>
        </w:rPr>
        <w:t xml:space="preserve">follow up call </w:t>
      </w:r>
      <w:r w:rsidRPr="00835963">
        <w:rPr>
          <w:rFonts w:ascii="Times New Roman" w:hAnsi="Times New Roman" w:cs="Times New Roman"/>
          <w:sz w:val="20"/>
          <w:szCs w:val="20"/>
        </w:rPr>
        <w:t>i</w:t>
      </w:r>
      <w:r>
        <w:rPr>
          <w:rFonts w:ascii="Times New Roman" w:hAnsi="Times New Roman" w:cs="Times New Roman"/>
          <w:sz w:val="20"/>
          <w:szCs w:val="20"/>
        </w:rPr>
        <w:t>[n]</w:t>
      </w:r>
      <w:r w:rsidRPr="00835963">
        <w:rPr>
          <w:rFonts w:ascii="Times New Roman" w:hAnsi="Times New Roman" w:cs="Times New Roman"/>
          <w:sz w:val="20"/>
          <w:szCs w:val="20"/>
        </w:rPr>
        <w:t xml:space="preserve"> an effort to ensure </w:t>
      </w:r>
      <w:r>
        <w:rPr>
          <w:rFonts w:ascii="Times New Roman" w:hAnsi="Times New Roman" w:cs="Times New Roman"/>
          <w:sz w:val="20"/>
          <w:szCs w:val="20"/>
        </w:rPr>
        <w:t>[Complainant]</w:t>
      </w:r>
      <w:r w:rsidRPr="00835963">
        <w:rPr>
          <w:rFonts w:ascii="Times New Roman" w:hAnsi="Times New Roman" w:cs="Times New Roman"/>
          <w:sz w:val="20"/>
          <w:szCs w:val="20"/>
        </w:rPr>
        <w:t xml:space="preserve"> was fully aware of the changes being made to the business telephone service as well as the package price including the taxes and surcharges.</w:t>
      </w:r>
      <w:r>
        <w:rPr>
          <w:rFonts w:ascii="Times New Roman" w:hAnsi="Times New Roman" w:cs="Times New Roman"/>
          <w:sz w:val="20"/>
          <w:szCs w:val="20"/>
        </w:rPr>
        <w:t>”</w:t>
      </w:r>
      <w:r w:rsidRPr="00835963">
        <w:rPr>
          <w:rFonts w:ascii="Times New Roman" w:hAnsi="Times New Roman" w:cs="Times New Roman"/>
          <w:sz w:val="20"/>
          <w:szCs w:val="20"/>
        </w:rPr>
        <w:t xml:space="preserve"> </w:t>
      </w:r>
      <w:r w:rsidR="005F1322">
        <w:rPr>
          <w:rFonts w:ascii="Times New Roman" w:hAnsi="Times New Roman" w:cs="Times New Roman"/>
          <w:sz w:val="20"/>
          <w:szCs w:val="20"/>
        </w:rPr>
        <w:t xml:space="preserve"> On the quality assurance call, Clear Rate’s representative states that “</w:t>
      </w:r>
      <w:r w:rsidR="00877A03">
        <w:rPr>
          <w:rFonts w:ascii="Times New Roman" w:hAnsi="Times New Roman" w:cs="Times New Roman"/>
          <w:sz w:val="20"/>
          <w:szCs w:val="20"/>
        </w:rPr>
        <w:t xml:space="preserve">we cannot and do not change your service provider…if you ever did choose a different service provider other than CenturyLink, these rates would not apply.”  </w:t>
      </w:r>
    </w:p>
  </w:footnote>
  <w:footnote w:id="17">
    <w:p w:rsidR="006D7D9E" w:rsidP="00B33290" w14:paraId="53B236F8" w14:textId="77777777">
      <w:pPr>
        <w:pStyle w:val="FootnoteText"/>
      </w:pPr>
      <w:r>
        <w:rPr>
          <w:rStyle w:val="FootnoteReference"/>
        </w:rPr>
        <w:footnoteRef/>
      </w:r>
      <w:r>
        <w:t xml:space="preserve"> </w:t>
      </w:r>
      <w:r w:rsidRPr="002F09DF">
        <w:rPr>
          <w:i/>
        </w:rPr>
        <w:t>2018 Slamming Order</w:t>
      </w:r>
      <w:r>
        <w:t xml:space="preserve">, 33 FCC </w:t>
      </w:r>
      <w:r>
        <w:t>Rcd</w:t>
      </w:r>
      <w:r>
        <w:t xml:space="preserve"> at 5779, para. 18 (citing </w:t>
      </w:r>
      <w:r w:rsidRPr="002F09DF">
        <w:rPr>
          <w:i/>
        </w:rPr>
        <w:t>Advantage Forfeiture Order</w:t>
      </w:r>
      <w:r>
        <w:t xml:space="preserve">, 32 FCC </w:t>
      </w:r>
      <w:r>
        <w:t>Rcd</w:t>
      </w:r>
      <w:r>
        <w:t xml:space="preserve"> 3723, 3725-30, paras. 7-13 (2017) (finding that the carrier’s TPV recordings did not disprove that unlawful misrepresentations were made during the telemarketing calls and further, that questions posed during the separate TPV calls did not cure those misrepresentations)).  </w:t>
      </w:r>
    </w:p>
  </w:footnote>
  <w:footnote w:id="18">
    <w:p w:rsidR="006D7D9E" w:rsidP="006D7D9E" w14:paraId="76F398F1" w14:textId="77777777">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9">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20">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21">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25C38368">
    <w:pPr>
      <w:pStyle w:val="Header"/>
      <w:rPr>
        <w:b w:val="0"/>
      </w:rPr>
    </w:pPr>
    <w:r>
      <w:tab/>
      <w:t>Federal Communications Commission</w:t>
    </w:r>
    <w:r>
      <w:tab/>
    </w:r>
    <w:r w:rsidR="00AE241C">
      <w:t xml:space="preserve">DA </w:t>
    </w:r>
    <w:r w:rsidR="003D262D">
      <w:t>2</w:t>
    </w:r>
    <w:r w:rsidR="00126D53">
      <w:t>2</w:t>
    </w:r>
    <w:r w:rsidR="003D262D">
      <w:t>-</w:t>
    </w:r>
    <w:r w:rsidR="002410F0">
      <w:t>780</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3CE4C7D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w:t>
    </w:r>
    <w:r w:rsidR="00126D53">
      <w:rPr>
        <w:spacing w:val="-2"/>
      </w:rPr>
      <w:t>2</w:t>
    </w:r>
    <w:r w:rsidR="003D262D">
      <w:rPr>
        <w:spacing w:val="-2"/>
      </w:rPr>
      <w:t>-</w:t>
    </w:r>
    <w:r w:rsidR="002410F0">
      <w:rPr>
        <w:spacing w:val="-2"/>
      </w:rPr>
      <w:t>780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37AB"/>
    <w:rsid w:val="000267DE"/>
    <w:rsid w:val="00030E44"/>
    <w:rsid w:val="00036039"/>
    <w:rsid w:val="00037F90"/>
    <w:rsid w:val="000409FA"/>
    <w:rsid w:val="00056F0B"/>
    <w:rsid w:val="000875BF"/>
    <w:rsid w:val="00096D8C"/>
    <w:rsid w:val="000A1D19"/>
    <w:rsid w:val="000C0B65"/>
    <w:rsid w:val="000C7E88"/>
    <w:rsid w:val="000E05FE"/>
    <w:rsid w:val="000E3D42"/>
    <w:rsid w:val="00104663"/>
    <w:rsid w:val="00111F8E"/>
    <w:rsid w:val="00116A80"/>
    <w:rsid w:val="001211C2"/>
    <w:rsid w:val="00122BD5"/>
    <w:rsid w:val="00126D53"/>
    <w:rsid w:val="00133F79"/>
    <w:rsid w:val="00142D97"/>
    <w:rsid w:val="00194A66"/>
    <w:rsid w:val="001C1F54"/>
    <w:rsid w:val="001D6BCF"/>
    <w:rsid w:val="001E01CA"/>
    <w:rsid w:val="001F3959"/>
    <w:rsid w:val="00210356"/>
    <w:rsid w:val="002410F0"/>
    <w:rsid w:val="00275CF5"/>
    <w:rsid w:val="0028301F"/>
    <w:rsid w:val="0028304E"/>
    <w:rsid w:val="00285017"/>
    <w:rsid w:val="002A2D2E"/>
    <w:rsid w:val="002B60BC"/>
    <w:rsid w:val="002C00E8"/>
    <w:rsid w:val="002C43CB"/>
    <w:rsid w:val="002F09DF"/>
    <w:rsid w:val="002F77BE"/>
    <w:rsid w:val="00305DCB"/>
    <w:rsid w:val="00343749"/>
    <w:rsid w:val="003605AE"/>
    <w:rsid w:val="003660ED"/>
    <w:rsid w:val="0037166F"/>
    <w:rsid w:val="00384F89"/>
    <w:rsid w:val="003B0550"/>
    <w:rsid w:val="003B341C"/>
    <w:rsid w:val="003B694F"/>
    <w:rsid w:val="003C2295"/>
    <w:rsid w:val="003D1861"/>
    <w:rsid w:val="003D262D"/>
    <w:rsid w:val="003F171C"/>
    <w:rsid w:val="00412FC5"/>
    <w:rsid w:val="00422276"/>
    <w:rsid w:val="004242F1"/>
    <w:rsid w:val="00424582"/>
    <w:rsid w:val="00440166"/>
    <w:rsid w:val="00442324"/>
    <w:rsid w:val="0044528B"/>
    <w:rsid w:val="00445A00"/>
    <w:rsid w:val="00451B0F"/>
    <w:rsid w:val="00462CB1"/>
    <w:rsid w:val="00484334"/>
    <w:rsid w:val="004A1870"/>
    <w:rsid w:val="004A7371"/>
    <w:rsid w:val="004B41C6"/>
    <w:rsid w:val="004C2EE3"/>
    <w:rsid w:val="004E4A22"/>
    <w:rsid w:val="005029C9"/>
    <w:rsid w:val="00511968"/>
    <w:rsid w:val="0055614C"/>
    <w:rsid w:val="00566D06"/>
    <w:rsid w:val="0059509C"/>
    <w:rsid w:val="005E14C2"/>
    <w:rsid w:val="005F1322"/>
    <w:rsid w:val="005F3ED0"/>
    <w:rsid w:val="005F7CD1"/>
    <w:rsid w:val="00607BA5"/>
    <w:rsid w:val="0061180A"/>
    <w:rsid w:val="00626EB6"/>
    <w:rsid w:val="00653ADB"/>
    <w:rsid w:val="00655D03"/>
    <w:rsid w:val="00683388"/>
    <w:rsid w:val="00683F84"/>
    <w:rsid w:val="006A6A81"/>
    <w:rsid w:val="006C2B4B"/>
    <w:rsid w:val="006D6CC3"/>
    <w:rsid w:val="006D7D9E"/>
    <w:rsid w:val="006F24F5"/>
    <w:rsid w:val="006F2F56"/>
    <w:rsid w:val="006F7393"/>
    <w:rsid w:val="0070224F"/>
    <w:rsid w:val="00710B10"/>
    <w:rsid w:val="007115F7"/>
    <w:rsid w:val="007257B8"/>
    <w:rsid w:val="00766B85"/>
    <w:rsid w:val="00785689"/>
    <w:rsid w:val="0079754B"/>
    <w:rsid w:val="007A1E6D"/>
    <w:rsid w:val="007B0EB2"/>
    <w:rsid w:val="007C4258"/>
    <w:rsid w:val="00810B6F"/>
    <w:rsid w:val="00822CE0"/>
    <w:rsid w:val="00835963"/>
    <w:rsid w:val="00841AB1"/>
    <w:rsid w:val="00855334"/>
    <w:rsid w:val="00856985"/>
    <w:rsid w:val="00877A03"/>
    <w:rsid w:val="008A32BF"/>
    <w:rsid w:val="008A4A8D"/>
    <w:rsid w:val="008B5281"/>
    <w:rsid w:val="008C68F1"/>
    <w:rsid w:val="00910DFB"/>
    <w:rsid w:val="00921803"/>
    <w:rsid w:val="00923668"/>
    <w:rsid w:val="00926503"/>
    <w:rsid w:val="00941E09"/>
    <w:rsid w:val="00955FC0"/>
    <w:rsid w:val="009726D8"/>
    <w:rsid w:val="00990DB6"/>
    <w:rsid w:val="00996AA4"/>
    <w:rsid w:val="009C2538"/>
    <w:rsid w:val="009D7308"/>
    <w:rsid w:val="009F0064"/>
    <w:rsid w:val="009F6F0E"/>
    <w:rsid w:val="009F76DB"/>
    <w:rsid w:val="00A15D6E"/>
    <w:rsid w:val="00A23350"/>
    <w:rsid w:val="00A32C3B"/>
    <w:rsid w:val="00A45F4F"/>
    <w:rsid w:val="00A600A9"/>
    <w:rsid w:val="00A8283A"/>
    <w:rsid w:val="00A92978"/>
    <w:rsid w:val="00AA55B7"/>
    <w:rsid w:val="00AA5B9E"/>
    <w:rsid w:val="00AB1C84"/>
    <w:rsid w:val="00AB2407"/>
    <w:rsid w:val="00AB53DF"/>
    <w:rsid w:val="00AE241C"/>
    <w:rsid w:val="00B06C6D"/>
    <w:rsid w:val="00B07E5C"/>
    <w:rsid w:val="00B205BD"/>
    <w:rsid w:val="00B30D69"/>
    <w:rsid w:val="00B33290"/>
    <w:rsid w:val="00B469CE"/>
    <w:rsid w:val="00B64743"/>
    <w:rsid w:val="00B811F7"/>
    <w:rsid w:val="00B82B45"/>
    <w:rsid w:val="00B841CA"/>
    <w:rsid w:val="00B91DEB"/>
    <w:rsid w:val="00BA5DC6"/>
    <w:rsid w:val="00BA6196"/>
    <w:rsid w:val="00BB15BE"/>
    <w:rsid w:val="00BC6D8C"/>
    <w:rsid w:val="00C34006"/>
    <w:rsid w:val="00C36B4C"/>
    <w:rsid w:val="00C426B1"/>
    <w:rsid w:val="00C525ED"/>
    <w:rsid w:val="00C66160"/>
    <w:rsid w:val="00C721AC"/>
    <w:rsid w:val="00C90D6A"/>
    <w:rsid w:val="00CA247E"/>
    <w:rsid w:val="00CA6D21"/>
    <w:rsid w:val="00CB018F"/>
    <w:rsid w:val="00CB7D2F"/>
    <w:rsid w:val="00CC72B6"/>
    <w:rsid w:val="00CE1F45"/>
    <w:rsid w:val="00CE5BF4"/>
    <w:rsid w:val="00CF10D8"/>
    <w:rsid w:val="00D0218D"/>
    <w:rsid w:val="00D22481"/>
    <w:rsid w:val="00D25FB5"/>
    <w:rsid w:val="00D26C2C"/>
    <w:rsid w:val="00D44223"/>
    <w:rsid w:val="00D60674"/>
    <w:rsid w:val="00D64893"/>
    <w:rsid w:val="00DA2529"/>
    <w:rsid w:val="00DB130A"/>
    <w:rsid w:val="00DB2EBB"/>
    <w:rsid w:val="00DC10A1"/>
    <w:rsid w:val="00DC655F"/>
    <w:rsid w:val="00DD0B59"/>
    <w:rsid w:val="00DD7EBD"/>
    <w:rsid w:val="00DF62B6"/>
    <w:rsid w:val="00E07225"/>
    <w:rsid w:val="00E5409F"/>
    <w:rsid w:val="00E87EC4"/>
    <w:rsid w:val="00EB0A91"/>
    <w:rsid w:val="00EB657C"/>
    <w:rsid w:val="00ED0DB7"/>
    <w:rsid w:val="00EE6488"/>
    <w:rsid w:val="00EF2C5A"/>
    <w:rsid w:val="00F021FA"/>
    <w:rsid w:val="00F2035B"/>
    <w:rsid w:val="00F26CC7"/>
    <w:rsid w:val="00F62E97"/>
    <w:rsid w:val="00F64209"/>
    <w:rsid w:val="00F86B2C"/>
    <w:rsid w:val="00F93BF5"/>
    <w:rsid w:val="00FA1C98"/>
    <w:rsid w:val="00FA590F"/>
    <w:rsid w:val="00FA75A5"/>
    <w:rsid w:val="00FD5F16"/>
    <w:rsid w:val="00FF53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4589FA"/>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 w:type="paragraph" w:styleId="ListParagraph">
    <w:name w:val="List Paragraph"/>
    <w:basedOn w:val="Normal"/>
    <w:uiPriority w:val="34"/>
    <w:qFormat/>
    <w:rsid w:val="00B82B45"/>
    <w:pPr>
      <w:ind w:left="720"/>
      <w:contextualSpacing/>
    </w:pPr>
  </w:style>
  <w:style w:type="paragraph" w:customStyle="1" w:styleId="Default">
    <w:name w:val="Default"/>
    <w:rsid w:val="0083596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