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4AC3C0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86FCD5" w14:textId="77777777">
      <w:pPr>
        <w:pStyle w:val="StyleBoldCentered"/>
      </w:pPr>
      <w:r>
        <w:t>F</w:t>
      </w:r>
      <w:r>
        <w:rPr>
          <w:caps w:val="0"/>
        </w:rPr>
        <w:t>ederal Communications Commission</w:t>
      </w:r>
    </w:p>
    <w:p w:rsidR="004C2EE3" w:rsidP="00096D8C" w14:paraId="0B9E5300" w14:textId="77777777">
      <w:pPr>
        <w:pStyle w:val="StyleBoldCentered"/>
      </w:pPr>
      <w:r>
        <w:rPr>
          <w:caps w:val="0"/>
        </w:rPr>
        <w:t>Washington, D.C. 20554</w:t>
      </w:r>
    </w:p>
    <w:p w:rsidR="004C2EE3" w:rsidP="0070224F" w14:paraId="53E2E7F6" w14:textId="77777777"/>
    <w:p w:rsidR="004C2EE3" w:rsidP="0070224F" w14:paraId="42E9B4B7" w14:textId="77777777"/>
    <w:tbl>
      <w:tblPr>
        <w:tblW w:w="0" w:type="auto"/>
        <w:tblLayout w:type="fixed"/>
        <w:tblLook w:val="0000"/>
      </w:tblPr>
      <w:tblGrid>
        <w:gridCol w:w="4698"/>
        <w:gridCol w:w="630"/>
        <w:gridCol w:w="4248"/>
      </w:tblGrid>
      <w:tr w14:paraId="0DBDE0B8" w14:textId="77777777">
        <w:tblPrEx>
          <w:tblW w:w="0" w:type="auto"/>
          <w:tblLayout w:type="fixed"/>
          <w:tblLook w:val="0000"/>
        </w:tblPrEx>
        <w:tc>
          <w:tcPr>
            <w:tcW w:w="4698" w:type="dxa"/>
          </w:tcPr>
          <w:p w:rsidR="004C2EE3" w14:paraId="1AC69CFC" w14:textId="77777777">
            <w:pPr>
              <w:tabs>
                <w:tab w:val="center" w:pos="4680"/>
              </w:tabs>
              <w:suppressAutoHyphens/>
              <w:rPr>
                <w:spacing w:val="-2"/>
              </w:rPr>
            </w:pPr>
            <w:r>
              <w:rPr>
                <w:spacing w:val="-2"/>
              </w:rPr>
              <w:t>In the Matter of</w:t>
            </w:r>
          </w:p>
          <w:p w:rsidR="004C2EE3" w14:paraId="5081347B" w14:textId="77777777">
            <w:pPr>
              <w:tabs>
                <w:tab w:val="center" w:pos="4680"/>
              </w:tabs>
              <w:suppressAutoHyphens/>
              <w:rPr>
                <w:spacing w:val="-2"/>
              </w:rPr>
            </w:pPr>
          </w:p>
          <w:p w:rsidR="004C2EE3" w:rsidRPr="007115F7" w:rsidP="007115F7" w14:paraId="07C730B9" w14:textId="3B5CAED2">
            <w:pPr>
              <w:tabs>
                <w:tab w:val="center" w:pos="4680"/>
              </w:tabs>
              <w:suppressAutoHyphens/>
              <w:rPr>
                <w:spacing w:val="-2"/>
              </w:rPr>
            </w:pPr>
            <w:r>
              <w:rPr>
                <w:spacing w:val="-2"/>
              </w:rPr>
              <w:t>SAL Spectrum, LLC</w:t>
            </w:r>
          </w:p>
        </w:tc>
        <w:tc>
          <w:tcPr>
            <w:tcW w:w="630" w:type="dxa"/>
          </w:tcPr>
          <w:p w:rsidR="004C2EE3" w14:paraId="7FA4DB1B" w14:textId="77777777">
            <w:pPr>
              <w:tabs>
                <w:tab w:val="center" w:pos="4680"/>
              </w:tabs>
              <w:suppressAutoHyphens/>
              <w:rPr>
                <w:b/>
                <w:spacing w:val="-2"/>
              </w:rPr>
            </w:pPr>
            <w:r>
              <w:rPr>
                <w:b/>
                <w:spacing w:val="-2"/>
              </w:rPr>
              <w:t>)</w:t>
            </w:r>
          </w:p>
          <w:p w:rsidR="004C2EE3" w14:paraId="727699F6" w14:textId="77777777">
            <w:pPr>
              <w:tabs>
                <w:tab w:val="center" w:pos="4680"/>
              </w:tabs>
              <w:suppressAutoHyphens/>
              <w:rPr>
                <w:b/>
                <w:spacing w:val="-2"/>
              </w:rPr>
            </w:pPr>
            <w:r>
              <w:rPr>
                <w:b/>
                <w:spacing w:val="-2"/>
              </w:rPr>
              <w:t>)</w:t>
            </w:r>
          </w:p>
          <w:p w:rsidR="004C2EE3" w14:paraId="4AFD55A6" w14:textId="77777777">
            <w:pPr>
              <w:tabs>
                <w:tab w:val="center" w:pos="4680"/>
              </w:tabs>
              <w:suppressAutoHyphens/>
              <w:rPr>
                <w:b/>
                <w:spacing w:val="-2"/>
              </w:rPr>
            </w:pPr>
            <w:r>
              <w:rPr>
                <w:b/>
                <w:spacing w:val="-2"/>
              </w:rPr>
              <w:t>)</w:t>
            </w:r>
          </w:p>
          <w:p w:rsidR="004C2EE3" w14:paraId="73CB8EB4" w14:textId="77777777">
            <w:pPr>
              <w:tabs>
                <w:tab w:val="center" w:pos="4680"/>
              </w:tabs>
              <w:suppressAutoHyphens/>
              <w:rPr>
                <w:b/>
                <w:spacing w:val="-2"/>
              </w:rPr>
            </w:pPr>
            <w:r>
              <w:rPr>
                <w:b/>
                <w:spacing w:val="-2"/>
              </w:rPr>
              <w:t>)</w:t>
            </w:r>
          </w:p>
          <w:p w:rsidR="004C2EE3" w14:paraId="632E8194" w14:textId="77777777">
            <w:pPr>
              <w:tabs>
                <w:tab w:val="center" w:pos="4680"/>
              </w:tabs>
              <w:suppressAutoHyphens/>
              <w:rPr>
                <w:b/>
                <w:spacing w:val="-2"/>
              </w:rPr>
            </w:pPr>
            <w:r>
              <w:rPr>
                <w:b/>
                <w:spacing w:val="-2"/>
              </w:rPr>
              <w:t>)</w:t>
            </w:r>
          </w:p>
          <w:p w:rsidR="004C2EE3" w:rsidRPr="00B52EE4" w14:paraId="7CA05FC9" w14:textId="546736C3">
            <w:pPr>
              <w:tabs>
                <w:tab w:val="center" w:pos="4680"/>
              </w:tabs>
              <w:suppressAutoHyphens/>
              <w:rPr>
                <w:b/>
                <w:spacing w:val="-2"/>
              </w:rPr>
            </w:pPr>
            <w:r>
              <w:rPr>
                <w:b/>
                <w:spacing w:val="-2"/>
              </w:rPr>
              <w:t>)</w:t>
            </w:r>
          </w:p>
        </w:tc>
        <w:tc>
          <w:tcPr>
            <w:tcW w:w="4248" w:type="dxa"/>
          </w:tcPr>
          <w:p w:rsidR="004C2EE3" w14:paraId="2F87A538" w14:textId="77777777">
            <w:pPr>
              <w:tabs>
                <w:tab w:val="center" w:pos="4680"/>
              </w:tabs>
              <w:suppressAutoHyphens/>
              <w:rPr>
                <w:spacing w:val="-2"/>
              </w:rPr>
            </w:pPr>
          </w:p>
          <w:p w:rsidR="004C2EE3" w14:paraId="01DA3149" w14:textId="77777777">
            <w:pPr>
              <w:pStyle w:val="TOAHeading"/>
              <w:tabs>
                <w:tab w:val="center" w:pos="4680"/>
                <w:tab w:val="clear" w:pos="9360"/>
              </w:tabs>
              <w:rPr>
                <w:spacing w:val="-2"/>
              </w:rPr>
            </w:pPr>
          </w:p>
          <w:p w:rsidR="00B52EE4" w:rsidRPr="000C70A4" w:rsidP="00B52EE4" w14:paraId="3CD92232" w14:textId="77777777">
            <w:pPr>
              <w:tabs>
                <w:tab w:val="center" w:pos="4680"/>
              </w:tabs>
              <w:suppressAutoHyphens/>
              <w:rPr>
                <w:spacing w:val="-2"/>
              </w:rPr>
            </w:pPr>
            <w:r w:rsidRPr="000C70A4">
              <w:rPr>
                <w:spacing w:val="-2"/>
              </w:rPr>
              <w:t>File No</w:t>
            </w:r>
            <w:r>
              <w:rPr>
                <w:spacing w:val="-2"/>
              </w:rPr>
              <w:t>s</w:t>
            </w:r>
            <w:r w:rsidRPr="000C70A4">
              <w:rPr>
                <w:spacing w:val="-2"/>
              </w:rPr>
              <w:t>.:</w:t>
            </w:r>
            <w:r>
              <w:rPr>
                <w:spacing w:val="-2"/>
              </w:rPr>
              <w:t xml:space="preserve">  </w:t>
            </w:r>
            <w:r w:rsidRPr="0078578D">
              <w:rPr>
                <w:color w:val="000000"/>
                <w:spacing w:val="-2"/>
              </w:rPr>
              <w:t>0009223630</w:t>
            </w:r>
            <w:r w:rsidRPr="000C70A4">
              <w:rPr>
                <w:spacing w:val="-2"/>
              </w:rPr>
              <w:t xml:space="preserve"> </w:t>
            </w:r>
            <w:r>
              <w:rPr>
                <w:spacing w:val="-2"/>
              </w:rPr>
              <w:t>an</w:t>
            </w:r>
            <w:r w:rsidRPr="004878C1">
              <w:rPr>
                <w:spacing w:val="-2"/>
              </w:rPr>
              <w:t xml:space="preserve">d </w:t>
            </w:r>
            <w:r w:rsidRPr="004878C1">
              <w:t>0009223760</w:t>
            </w:r>
            <w:r>
              <w:rPr>
                <w:spacing w:val="-2"/>
              </w:rPr>
              <w:t xml:space="preserve"> </w:t>
            </w:r>
            <w:r w:rsidRPr="000C70A4">
              <w:rPr>
                <w:spacing w:val="-2"/>
              </w:rPr>
              <w:t xml:space="preserve"> </w:t>
            </w:r>
            <w:r w:rsidRPr="00B52EE4">
              <w:rPr>
                <w:color w:val="000000"/>
                <w:spacing w:val="-2"/>
              </w:rPr>
              <w:t xml:space="preserve">      </w:t>
            </w:r>
          </w:p>
          <w:p w:rsidR="004C2EE3" w:rsidP="00B52EE4" w14:paraId="2AA16C20" w14:textId="7101B29A">
            <w:pPr>
              <w:tabs>
                <w:tab w:val="center" w:pos="4680"/>
              </w:tabs>
              <w:suppressAutoHyphens/>
              <w:rPr>
                <w:spacing w:val="-2"/>
              </w:rPr>
            </w:pPr>
            <w:r w:rsidRPr="000C70A4">
              <w:t>FRN:</w:t>
            </w:r>
            <w:r>
              <w:t xml:space="preserve">  </w:t>
            </w:r>
            <w:r w:rsidRPr="006636ED">
              <w:t>0017163254</w:t>
            </w:r>
            <w:r>
              <w:t xml:space="preserve">  </w:t>
            </w:r>
          </w:p>
        </w:tc>
      </w:tr>
    </w:tbl>
    <w:p w:rsidR="004C2EE3" w:rsidP="0070224F" w14:paraId="4862BC33" w14:textId="77777777"/>
    <w:p w:rsidR="00841AB1" w:rsidP="00F021FA" w14:paraId="0EDAC3B3" w14:textId="21867ACC">
      <w:pPr>
        <w:pStyle w:val="StyleBoldCentered"/>
      </w:pPr>
      <w:r>
        <w:t>ORDER</w:t>
      </w:r>
    </w:p>
    <w:p w:rsidR="004C2EE3" w14:paraId="79927554" w14:textId="77777777">
      <w:pPr>
        <w:tabs>
          <w:tab w:val="left" w:pos="-720"/>
        </w:tabs>
        <w:suppressAutoHyphens/>
        <w:spacing w:line="227" w:lineRule="auto"/>
        <w:rPr>
          <w:spacing w:val="-2"/>
        </w:rPr>
      </w:pPr>
    </w:p>
    <w:p w:rsidR="004C2EE3" w:rsidP="00133F79" w14:paraId="02AC066A" w14:textId="22D2E5E1">
      <w:pPr>
        <w:tabs>
          <w:tab w:val="left" w:pos="720"/>
          <w:tab w:val="right" w:pos="9360"/>
        </w:tabs>
        <w:suppressAutoHyphens/>
        <w:spacing w:line="227" w:lineRule="auto"/>
        <w:rPr>
          <w:spacing w:val="-2"/>
        </w:rPr>
      </w:pPr>
      <w:r>
        <w:rPr>
          <w:b/>
          <w:spacing w:val="-2"/>
        </w:rPr>
        <w:t xml:space="preserve">Adopted:  </w:t>
      </w:r>
      <w:r w:rsidR="00B52EE4">
        <w:rPr>
          <w:b/>
          <w:spacing w:val="-2"/>
        </w:rPr>
        <w:t>July 22,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52EE4">
        <w:rPr>
          <w:b/>
          <w:spacing w:val="-2"/>
        </w:rPr>
        <w:t>July 22, 2022</w:t>
      </w:r>
    </w:p>
    <w:p w:rsidR="00B52EE4" w:rsidRPr="006751BD" w:rsidP="00B52EE4" w14:paraId="4AC400D1" w14:textId="77777777"/>
    <w:p w:rsidR="00B52EE4" w:rsidRPr="006751BD" w:rsidP="00B52EE4" w14:paraId="5C603461" w14:textId="77777777">
      <w:pPr>
        <w:rPr>
          <w:spacing w:val="-2"/>
        </w:rPr>
      </w:pPr>
      <w:r w:rsidRPr="006751BD">
        <w:rPr>
          <w:spacing w:val="-2"/>
          <w:szCs w:val="22"/>
        </w:rPr>
        <w:t xml:space="preserve">By the Chief, </w:t>
      </w:r>
      <w:r>
        <w:rPr>
          <w:spacing w:val="-2"/>
          <w:szCs w:val="22"/>
        </w:rPr>
        <w:t xml:space="preserve">Office of Economics and Analytics and Acting Chief, </w:t>
      </w:r>
      <w:r w:rsidRPr="006751BD">
        <w:rPr>
          <w:spacing w:val="-2"/>
          <w:szCs w:val="22"/>
        </w:rPr>
        <w:t>Wireless Telecommunications Bureau:</w:t>
      </w:r>
    </w:p>
    <w:p w:rsidR="00B52EE4" w:rsidRPr="006751BD" w:rsidP="00B52EE4" w14:paraId="71C66100" w14:textId="77777777"/>
    <w:p w:rsidR="00B52EE4" w:rsidP="00575DF7" w14:paraId="62842F30" w14:textId="77777777">
      <w:pPr>
        <w:pStyle w:val="ParaNum"/>
      </w:pPr>
      <w:r w:rsidRPr="003B2818">
        <w:t xml:space="preserve">The Wireless Telecommunications Bureau </w:t>
      </w:r>
      <w:r>
        <w:t xml:space="preserve">(Bureau) and </w:t>
      </w:r>
      <w:r w:rsidRPr="003B2818">
        <w:t xml:space="preserve">the Office of Economics and Analytics </w:t>
      </w:r>
      <w:r>
        <w:t xml:space="preserve">(Office) </w:t>
      </w:r>
      <w:r w:rsidRPr="003B2818">
        <w:t>of the Federal Communications Commission (Commission) ha</w:t>
      </w:r>
      <w:r>
        <w:t>ve</w:t>
      </w:r>
      <w:r w:rsidRPr="003B2818">
        <w:t xml:space="preserve"> entered into </w:t>
      </w:r>
      <w:r>
        <w:t>the attached</w:t>
      </w:r>
      <w:r w:rsidRPr="003B2818">
        <w:t xml:space="preserve"> </w:t>
      </w:r>
      <w:r>
        <w:t xml:space="preserve">Modification of </w:t>
      </w:r>
      <w:r w:rsidRPr="003B2818">
        <w:t>Consent Decree</w:t>
      </w:r>
      <w:r>
        <w:t xml:space="preserve"> with </w:t>
      </w:r>
      <w:r w:rsidRPr="00605F13">
        <w:rPr>
          <w:spacing w:val="-2"/>
        </w:rPr>
        <w:t>SAL Spectrum, LLC</w:t>
      </w:r>
      <w:r w:rsidRPr="00B52EE4">
        <w:rPr>
          <w:color w:val="000000"/>
          <w:spacing w:val="-2"/>
        </w:rPr>
        <w:t xml:space="preserve"> (SAL</w:t>
      </w:r>
      <w:r w:rsidRPr="003B2818">
        <w:t>)</w:t>
      </w:r>
      <w:r w:rsidRPr="00605F13">
        <w:rPr>
          <w:szCs w:val="22"/>
        </w:rPr>
        <w:t xml:space="preserve"> </w:t>
      </w:r>
      <w:r w:rsidRPr="00605F13">
        <w:rPr>
          <w:snapToGrid/>
        </w:rPr>
        <w:t xml:space="preserve">pursuant to paragraph 27 of the Consent Decree, which was executed by the parties and adopted by the Commission by Order released July 15, 2022, DA 22-744 (Consent Decree).  </w:t>
      </w:r>
      <w:r>
        <w:rPr>
          <w:snapToGrid/>
        </w:rPr>
        <w:t xml:space="preserve">The Order and Consent Decree refer to application File No. 0009223630 filed by SAL.  </w:t>
      </w:r>
      <w:r>
        <w:t xml:space="preserve">SAL proceeded to implement the terms set forth in paragraph 14(a) of the Consent Decree to withdraw the Implicated Licenses listed in the Appendix of the Consent Decree.  In the process of amending the application already referenced in the Consent Decree, SAL discovered that the text of the Consent Decree and the Appendix omitted a reference to one of SAL’s two pending Auction 105 long-form applications; namely, File No. </w:t>
      </w:r>
      <w:r w:rsidRPr="00605F13">
        <w:rPr>
          <w:color w:val="000000"/>
          <w:spacing w:val="-2"/>
        </w:rPr>
        <w:t>0009223760.</w:t>
      </w:r>
      <w:r>
        <w:rPr>
          <w:color w:val="000000"/>
          <w:spacing w:val="-2"/>
        </w:rPr>
        <w:t xml:space="preserve">  Even though all Implicated Licenses to be withdrawn were listed correctly in the Appendix, eight of those licensees are associated with File No. 0009223760, not File No. </w:t>
      </w:r>
      <w:r w:rsidRPr="0078578D">
        <w:rPr>
          <w:color w:val="000000"/>
          <w:spacing w:val="-2"/>
        </w:rPr>
        <w:t>0009223630</w:t>
      </w:r>
      <w:r>
        <w:rPr>
          <w:color w:val="000000"/>
          <w:spacing w:val="-2"/>
        </w:rPr>
        <w:t>.</w:t>
      </w:r>
      <w:r w:rsidRPr="00605F13">
        <w:rPr>
          <w:color w:val="000000"/>
          <w:spacing w:val="-2"/>
        </w:rPr>
        <w:t xml:space="preserve">  After SAL completed its amendmen</w:t>
      </w:r>
      <w:r>
        <w:rPr>
          <w:color w:val="000000"/>
          <w:spacing w:val="-2"/>
        </w:rPr>
        <w:t xml:space="preserve">ts to withdraw </w:t>
      </w:r>
      <w:r w:rsidRPr="00605F13">
        <w:rPr>
          <w:color w:val="000000"/>
          <w:spacing w:val="-2"/>
        </w:rPr>
        <w:t xml:space="preserve">the Implicated Licenses, SAL </w:t>
      </w:r>
      <w:r>
        <w:rPr>
          <w:color w:val="000000"/>
          <w:spacing w:val="-2"/>
        </w:rPr>
        <w:t>notified</w:t>
      </w:r>
      <w:r w:rsidRPr="00605F13">
        <w:rPr>
          <w:color w:val="000000"/>
          <w:spacing w:val="-2"/>
        </w:rPr>
        <w:t xml:space="preserve"> Commission staff of </w:t>
      </w:r>
      <w:r>
        <w:rPr>
          <w:color w:val="000000"/>
          <w:spacing w:val="-2"/>
        </w:rPr>
        <w:t>this inadvertent omission of the second file number</w:t>
      </w:r>
      <w:r w:rsidRPr="00605F13">
        <w:rPr>
          <w:color w:val="000000"/>
          <w:spacing w:val="-2"/>
        </w:rPr>
        <w:t xml:space="preserve">.    </w:t>
      </w:r>
    </w:p>
    <w:p w:rsidR="00B52EE4" w:rsidRPr="00765C5B" w:rsidP="00575DF7" w14:paraId="04133DC0" w14:textId="77777777">
      <w:pPr>
        <w:pStyle w:val="ParaNum"/>
        <w:rPr>
          <w:szCs w:val="22"/>
        </w:rPr>
      </w:pPr>
      <w:r w:rsidRPr="00605F13">
        <w:rPr>
          <w:snapToGrid/>
        </w:rPr>
        <w:t>Paragraph 27 of the Consent Decree contemplates modification with the advance written consent of the Parties.  The Parties agree that they intended in the Consent Decree to reference both of SAL’s pending Auction 105 long-form applications</w:t>
      </w:r>
      <w:r>
        <w:rPr>
          <w:snapToGrid/>
        </w:rPr>
        <w:t>,</w:t>
      </w:r>
      <w:r w:rsidRPr="0019352A">
        <w:rPr>
          <w:snapToGrid/>
        </w:rPr>
        <w:t xml:space="preserve"> </w:t>
      </w:r>
      <w:r>
        <w:rPr>
          <w:snapToGrid/>
        </w:rPr>
        <w:t xml:space="preserve">File Nos. </w:t>
      </w:r>
      <w:r w:rsidRPr="0078578D">
        <w:rPr>
          <w:color w:val="000000"/>
          <w:spacing w:val="-2"/>
        </w:rPr>
        <w:t>0009223630</w:t>
      </w:r>
      <w:r>
        <w:rPr>
          <w:color w:val="000000"/>
          <w:spacing w:val="-2"/>
        </w:rPr>
        <w:t xml:space="preserve"> and </w:t>
      </w:r>
      <w:r w:rsidRPr="004878C1">
        <w:t>0009223760</w:t>
      </w:r>
      <w:r>
        <w:t>,</w:t>
      </w:r>
      <w:r>
        <w:rPr>
          <w:color w:val="000000"/>
          <w:spacing w:val="-2"/>
        </w:rPr>
        <w:t xml:space="preserve"> and agree </w:t>
      </w:r>
      <w:r w:rsidRPr="00605F13">
        <w:rPr>
          <w:color w:val="000000"/>
          <w:spacing w:val="-2"/>
        </w:rPr>
        <w:t xml:space="preserve">that </w:t>
      </w:r>
      <w:r w:rsidRPr="00605F13">
        <w:rPr>
          <w:snapToGrid/>
        </w:rPr>
        <w:t xml:space="preserve">references to File No. </w:t>
      </w:r>
      <w:r w:rsidRPr="004878C1">
        <w:t>0009223760</w:t>
      </w:r>
      <w:r>
        <w:t xml:space="preserve"> were inadvertently omitted from the text of the Consent Decree and the Appendix.  The Parties have executed the Modification of Consent Decree for the purposes of including both file numbers in the text and Appendix of the Consent Decree and changing “application” to “applications,” where applicable.    </w:t>
      </w:r>
    </w:p>
    <w:p w:rsidR="00B52EE4" w:rsidRPr="00F262D2" w:rsidP="00575DF7" w14:paraId="7134A525" w14:textId="77777777">
      <w:pPr>
        <w:pStyle w:val="ParaNum"/>
      </w:pPr>
      <w:r w:rsidRPr="53D1C891">
        <w:t xml:space="preserve">Accordingly, </w:t>
      </w:r>
      <w:r w:rsidRPr="51D1539A">
        <w:rPr>
          <w:b/>
          <w:bCs/>
        </w:rPr>
        <w:t xml:space="preserve">IT IS ORDERED </w:t>
      </w:r>
      <w:r w:rsidRPr="00F262D2">
        <w:t xml:space="preserve">that, pursuant to sections 4(i) and 309 of the Communications Act of 1934, as amended (Act), 47 U.S.C. §§ 154(i), 309, and </w:t>
      </w:r>
      <w:r>
        <w:t>s</w:t>
      </w:r>
      <w:r w:rsidRPr="00F262D2">
        <w:t xml:space="preserve">ections 1.2104(g)(2), 1.2109(c), 20.22(b) and 96.31 of the Commission’s Rules, 47 CFR §§ 1.2104(g)(2), 1.2109(c), 20.22(b), 96.31, and the authority delegated by sections 0.11, 0.21, 0.131, 0.231, 0.271, and 0.331 of the Commission’s Rules, 47 CFR §§ 0.11, 0.21, 0.131, 0.231, 0.271, 0.331, the attached </w:t>
      </w:r>
      <w:r>
        <w:t xml:space="preserve">Modification of </w:t>
      </w:r>
      <w:r w:rsidRPr="00F262D2">
        <w:t xml:space="preserve">Consent Decree </w:t>
      </w:r>
      <w:r w:rsidRPr="00F262D2">
        <w:rPr>
          <w:b/>
          <w:bCs/>
        </w:rPr>
        <w:t xml:space="preserve">IS ADOPTED </w:t>
      </w:r>
      <w:r w:rsidRPr="00F262D2">
        <w:t xml:space="preserve">and its terms incorporated by reference.  </w:t>
      </w:r>
    </w:p>
    <w:p w:rsidR="00B52EE4" w:rsidRPr="002609F0" w:rsidP="00575DF7" w14:paraId="0BB077B4" w14:textId="77777777">
      <w:pPr>
        <w:pStyle w:val="ParaNum"/>
      </w:pPr>
      <w:r w:rsidRPr="00F262D2">
        <w:rPr>
          <w:b/>
          <w:bCs/>
        </w:rPr>
        <w:t xml:space="preserve">IT IS FURTHER ORDERED </w:t>
      </w:r>
      <w:r w:rsidRPr="00F262D2">
        <w:t>that,</w:t>
      </w:r>
      <w:r w:rsidRPr="00F262D2">
        <w:rPr>
          <w:b/>
          <w:bCs/>
        </w:rPr>
        <w:t xml:space="preserve"> </w:t>
      </w:r>
      <w:r w:rsidRPr="00F262D2">
        <w:t>pursuant to</w:t>
      </w:r>
      <w:r w:rsidRPr="00F262D2">
        <w:rPr>
          <w:b/>
          <w:bCs/>
        </w:rPr>
        <w:t xml:space="preserve"> </w:t>
      </w:r>
      <w:r>
        <w:t>s</w:t>
      </w:r>
      <w:r w:rsidRPr="00F262D2">
        <w:t xml:space="preserve">ections 4(i) and 309 of the Act, 47 U.S.C. §§ 154(i), 309, and </w:t>
      </w:r>
      <w:r>
        <w:t>s</w:t>
      </w:r>
      <w:r w:rsidRPr="00F262D2">
        <w:t>ections 1.925, 1.2104(g)(2), and 1.2109(c) of the Commission’s Rules, 47 C</w:t>
      </w:r>
      <w:r>
        <w:t>FR</w:t>
      </w:r>
      <w:r w:rsidRPr="00F262D2">
        <w:t xml:space="preserve"> §§ 1.925, 1.2104(g)(2), 1.2109(c), </w:t>
      </w:r>
      <w:r>
        <w:t>all the terms of the Adopting Order and Consent Decree released on July 15, 2022, DA 22-744, are incorporated by reference into this Order and Modification of Consent Decree, as modified herein.</w:t>
      </w:r>
    </w:p>
    <w:p w:rsidR="00B52EE4" w:rsidRPr="0035070A" w:rsidP="00575DF7" w14:paraId="0BECE03A" w14:textId="77777777">
      <w:pPr>
        <w:pStyle w:val="ParaNum"/>
        <w:widowControl/>
        <w:rPr>
          <w:snapToGrid/>
        </w:rPr>
      </w:pPr>
      <w:r w:rsidRPr="002609F0">
        <w:rPr>
          <w:b/>
        </w:rPr>
        <w:t>IT IS FURTHER ORDERED</w:t>
      </w:r>
      <w:r w:rsidRPr="002609F0">
        <w:t xml:space="preserve"> that a copy </w:t>
      </w:r>
      <w:r w:rsidRPr="00513DFB">
        <w:t xml:space="preserve">of this Order and </w:t>
      </w:r>
      <w:r>
        <w:t xml:space="preserve">Modification of </w:t>
      </w:r>
      <w:r w:rsidRPr="00513DFB">
        <w:t xml:space="preserve">Consent Decree shall be sent by first class mail and certified mail, return receipt requested, to Mr. </w:t>
      </w:r>
      <w:r>
        <w:t xml:space="preserve">Rohan Ranaraja, </w:t>
      </w:r>
      <w:r>
        <w:rPr>
          <w:snapToGrid/>
        </w:rPr>
        <w:t>SAL Spectrum, LLC, 1001 Technology Drive, Little Rock, AR 72223.</w:t>
      </w:r>
    </w:p>
    <w:p w:rsidR="00B52EE4" w:rsidP="00B52EE4" w14:paraId="1962CE84" w14:textId="77777777">
      <w:pPr>
        <w:outlineLvl w:val="0"/>
        <w:rPr>
          <w:szCs w:val="22"/>
          <w:lang w:val="fr-FR"/>
        </w:rPr>
      </w:pPr>
      <w:r w:rsidRPr="0035422C">
        <w:rPr>
          <w:szCs w:val="22"/>
          <w:lang w:val="fr-FR"/>
        </w:rPr>
        <w:tab/>
      </w:r>
      <w:r w:rsidRPr="0035422C">
        <w:rPr>
          <w:szCs w:val="22"/>
          <w:lang w:val="fr-FR"/>
        </w:rPr>
        <w:tab/>
      </w:r>
      <w:r w:rsidRPr="0035422C">
        <w:rPr>
          <w:szCs w:val="22"/>
          <w:lang w:val="fr-FR"/>
        </w:rPr>
        <w:tab/>
      </w:r>
      <w:r w:rsidRPr="0035422C">
        <w:rPr>
          <w:szCs w:val="22"/>
          <w:lang w:val="fr-FR"/>
        </w:rPr>
        <w:tab/>
      </w:r>
      <w:r w:rsidRPr="00E9118F">
        <w:rPr>
          <w:szCs w:val="22"/>
          <w:lang w:val="fr-FR"/>
        </w:rPr>
        <w:tab/>
      </w:r>
    </w:p>
    <w:p w:rsidR="00B52EE4" w:rsidRPr="00E9118F" w:rsidP="00B52EE4" w14:paraId="7E994F54" w14:textId="77777777">
      <w:pPr>
        <w:ind w:left="2880" w:firstLine="720"/>
        <w:outlineLvl w:val="0"/>
        <w:rPr>
          <w:szCs w:val="22"/>
          <w:lang w:val="fr-FR"/>
        </w:rPr>
      </w:pPr>
      <w:r w:rsidRPr="00E9118F">
        <w:rPr>
          <w:szCs w:val="22"/>
          <w:lang w:val="fr-FR"/>
        </w:rPr>
        <w:t>FEDERAL COMMUNICATIONS COMMISSION</w:t>
      </w:r>
    </w:p>
    <w:p w:rsidR="00B52EE4" w:rsidRPr="00E9118F" w:rsidP="00B52EE4" w14:paraId="5A853E41" w14:textId="77777777">
      <w:pPr>
        <w:outlineLvl w:val="0"/>
        <w:rPr>
          <w:szCs w:val="22"/>
          <w:lang w:val="fr-FR"/>
        </w:rPr>
      </w:pPr>
    </w:p>
    <w:p w:rsidR="00B52EE4" w:rsidP="00B52EE4" w14:paraId="44B21D74" w14:textId="77777777">
      <w:pPr>
        <w:ind w:left="2880" w:firstLine="3600"/>
        <w:outlineLvl w:val="0"/>
        <w:rPr>
          <w:szCs w:val="22"/>
          <w:lang w:val="fr-FR"/>
        </w:rPr>
      </w:pPr>
    </w:p>
    <w:p w:rsidR="00B52EE4" w:rsidP="00B52EE4" w14:paraId="0020BCD1" w14:textId="77777777">
      <w:pPr>
        <w:ind w:left="2880" w:firstLine="3600"/>
        <w:outlineLvl w:val="0"/>
        <w:rPr>
          <w:szCs w:val="22"/>
          <w:lang w:val="fr-FR"/>
        </w:rPr>
      </w:pPr>
    </w:p>
    <w:p w:rsidR="00B52EE4" w:rsidP="00B52EE4" w14:paraId="02F850F5" w14:textId="77777777">
      <w:pPr>
        <w:ind w:left="2880" w:firstLine="3600"/>
        <w:outlineLvl w:val="0"/>
        <w:rPr>
          <w:szCs w:val="22"/>
          <w:lang w:val="fr-FR"/>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Pr>
          <w:szCs w:val="22"/>
          <w:lang w:val="fr-FR"/>
        </w:rPr>
        <w:t>Giulia McHenry</w:t>
      </w:r>
    </w:p>
    <w:p w:rsidR="00B52EE4" w:rsidP="00B52EE4" w14:paraId="0B466EDF" w14:textId="77777777">
      <w:pPr>
        <w:ind w:left="2880" w:firstLine="720"/>
        <w:outlineLvl w:val="0"/>
        <w:rPr>
          <w:szCs w:val="22"/>
          <w:lang w:val="fr-FR"/>
        </w:rPr>
      </w:pPr>
      <w:r>
        <w:rPr>
          <w:szCs w:val="22"/>
          <w:lang w:val="fr-FR"/>
        </w:rPr>
        <w:t>Chief</w:t>
      </w:r>
    </w:p>
    <w:p w:rsidR="00B52EE4" w:rsidP="00B52EE4" w14:paraId="281814C7" w14:textId="77777777">
      <w:pPr>
        <w:ind w:left="2880" w:firstLine="720"/>
        <w:outlineLvl w:val="0"/>
        <w:rPr>
          <w:szCs w:val="22"/>
          <w:lang w:val="fr-FR"/>
        </w:rPr>
      </w:pPr>
      <w:r>
        <w:rPr>
          <w:szCs w:val="22"/>
          <w:lang w:val="fr-FR"/>
        </w:rPr>
        <w:t xml:space="preserve">Office of </w:t>
      </w:r>
      <w:r>
        <w:rPr>
          <w:szCs w:val="22"/>
          <w:lang w:val="fr-FR"/>
        </w:rPr>
        <w:t>Economics</w:t>
      </w:r>
      <w:r>
        <w:rPr>
          <w:szCs w:val="22"/>
          <w:lang w:val="fr-FR"/>
        </w:rPr>
        <w:t xml:space="preserve"> and Analytics</w:t>
      </w:r>
    </w:p>
    <w:p w:rsidR="00B52EE4" w:rsidP="00B52EE4" w14:paraId="3EE1DD96" w14:textId="77777777">
      <w:pPr>
        <w:outlineLvl w:val="0"/>
        <w:rPr>
          <w:szCs w:val="22"/>
          <w:lang w:val="fr-FR"/>
        </w:rPr>
      </w:pPr>
    </w:p>
    <w:p w:rsidR="00B52EE4" w:rsidP="00B52EE4" w14:paraId="79FEAA07" w14:textId="77777777">
      <w:pPr>
        <w:outlineLvl w:val="0"/>
        <w:rPr>
          <w:szCs w:val="22"/>
          <w:lang w:val="fr-FR"/>
        </w:rPr>
      </w:pPr>
    </w:p>
    <w:p w:rsidR="00B52EE4" w:rsidP="00B52EE4" w14:paraId="39CDD1AB" w14:textId="77777777">
      <w:pPr>
        <w:outlineLvl w:val="0"/>
        <w:rPr>
          <w:szCs w:val="22"/>
          <w:lang w:val="fr-FR"/>
        </w:rPr>
      </w:pPr>
    </w:p>
    <w:p w:rsidR="00B52EE4" w:rsidP="00B52EE4" w14:paraId="27F1622B" w14:textId="77777777">
      <w:pPr>
        <w:outlineLvl w:val="0"/>
        <w:rPr>
          <w:szCs w:val="22"/>
          <w:lang w:val="fr-FR"/>
        </w:rPr>
      </w:pPr>
    </w:p>
    <w:p w:rsidR="00B52EE4" w:rsidRPr="00E9118F" w:rsidP="00B52EE4" w14:paraId="724FC550" w14:textId="77777777">
      <w:pPr>
        <w:ind w:left="2880" w:firstLine="720"/>
        <w:outlineLvl w:val="0"/>
        <w:rPr>
          <w:szCs w:val="22"/>
          <w:lang w:val="fr-FR"/>
        </w:rPr>
      </w:pPr>
      <w:r w:rsidRPr="00E9118F">
        <w:rPr>
          <w:szCs w:val="22"/>
          <w:lang w:val="fr-FR"/>
        </w:rPr>
        <w:t xml:space="preserve">Joel Taubenblatt </w:t>
      </w:r>
    </w:p>
    <w:p w:rsidR="00B52EE4" w:rsidRPr="00E9118F" w:rsidP="00B52EE4" w14:paraId="79518904" w14:textId="77777777">
      <w:pPr>
        <w:outlineLvl w:val="0"/>
        <w:rPr>
          <w:szCs w:val="22"/>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Pr>
          <w:szCs w:val="22"/>
          <w:lang w:val="fr-FR"/>
        </w:rPr>
        <w:t xml:space="preserve">Acting </w:t>
      </w:r>
      <w:r w:rsidRPr="00E9118F">
        <w:rPr>
          <w:szCs w:val="22"/>
        </w:rPr>
        <w:t xml:space="preserve">Chief </w:t>
      </w:r>
    </w:p>
    <w:p w:rsidR="00B52EE4" w:rsidP="00B52EE4" w14:paraId="48026181" w14:textId="77777777">
      <w:pPr>
        <w:ind w:left="2880" w:firstLine="720"/>
        <w:outlineLvl w:val="0"/>
        <w:rPr>
          <w:szCs w:val="22"/>
        </w:rPr>
      </w:pPr>
      <w:r w:rsidRPr="00E9118F">
        <w:rPr>
          <w:szCs w:val="22"/>
        </w:rPr>
        <w:t>Wireless Telecommunications Bureau</w:t>
      </w:r>
    </w:p>
    <w:p w:rsidR="00B52EE4" w:rsidP="00B52EE4" w14:paraId="1E635FDE" w14:textId="77777777">
      <w:pPr>
        <w:ind w:left="2880" w:firstLine="720"/>
        <w:outlineLvl w:val="0"/>
        <w:rPr>
          <w:szCs w:val="22"/>
        </w:rPr>
        <w:sectPr w:rsidSect="00496975">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720" w:right="1440" w:bottom="1440" w:left="1440" w:header="720" w:footer="720" w:gutter="0"/>
          <w:cols w:space="720"/>
          <w:noEndnote/>
          <w:titlePg/>
          <w:docGrid w:linePitch="299"/>
        </w:sectPr>
      </w:pPr>
    </w:p>
    <w:p w:rsidR="00B52EE4" w:rsidP="00B52EE4" w14:paraId="65617E7E" w14:textId="77777777">
      <w:pPr>
        <w:jc w:val="center"/>
        <w:rPr>
          <w:rFonts w:ascii="Times New Roman Bold" w:hAnsi="Times New Roman Bold"/>
          <w:b/>
          <w:kern w:val="0"/>
          <w:szCs w:val="22"/>
        </w:rPr>
        <w:sectPr w:rsidSect="00B34E1C">
          <w:endnotePr>
            <w:numFmt w:val="decimal"/>
          </w:endnotePr>
          <w:type w:val="continuous"/>
          <w:pgSz w:w="12240" w:h="15840"/>
          <w:pgMar w:top="720" w:right="1440" w:bottom="1440" w:left="1440" w:header="720" w:footer="720" w:gutter="0"/>
          <w:cols w:space="720"/>
          <w:noEndnote/>
          <w:titlePg/>
          <w:docGrid w:linePitch="299"/>
        </w:sectPr>
      </w:pPr>
    </w:p>
    <w:p w:rsidR="00B52EE4" w:rsidP="00B52EE4" w14:paraId="683EA67A" w14:textId="77777777">
      <w:pPr>
        <w:jc w:val="center"/>
        <w:rPr>
          <w:b/>
        </w:rPr>
      </w:pPr>
      <w:r w:rsidRPr="0070224F">
        <w:rPr>
          <w:rFonts w:ascii="Times New Roman Bold" w:hAnsi="Times New Roman Bold"/>
          <w:b/>
          <w:kern w:val="0"/>
          <w:szCs w:val="22"/>
        </w:rPr>
        <w:t>Before</w:t>
      </w:r>
      <w:r>
        <w:rPr>
          <w:b/>
        </w:rPr>
        <w:t xml:space="preserve"> the</w:t>
      </w:r>
    </w:p>
    <w:p w:rsidR="00B52EE4" w:rsidP="00B52EE4" w14:paraId="46857614" w14:textId="77777777">
      <w:pPr>
        <w:pStyle w:val="StyleBoldCentered"/>
      </w:pPr>
      <w:r>
        <w:t>F</w:t>
      </w:r>
      <w:r>
        <w:rPr>
          <w:caps w:val="0"/>
        </w:rPr>
        <w:t>ederal Communications Commission</w:t>
      </w:r>
    </w:p>
    <w:p w:rsidR="00B52EE4" w:rsidP="00B52EE4" w14:paraId="090FBC5A" w14:textId="77777777">
      <w:pPr>
        <w:pStyle w:val="StyleBoldCentered"/>
      </w:pPr>
      <w:r>
        <w:rPr>
          <w:caps w:val="0"/>
        </w:rPr>
        <w:t>Washington, D.C. 20554</w:t>
      </w:r>
    </w:p>
    <w:p w:rsidR="00B52EE4" w:rsidP="00B52EE4" w14:paraId="3BB98F6E" w14:textId="77777777"/>
    <w:tbl>
      <w:tblPr>
        <w:tblW w:w="0" w:type="auto"/>
        <w:tblLayout w:type="fixed"/>
        <w:tblLook w:val="0000"/>
      </w:tblPr>
      <w:tblGrid>
        <w:gridCol w:w="4698"/>
        <w:gridCol w:w="630"/>
        <w:gridCol w:w="4248"/>
      </w:tblGrid>
      <w:tr w14:paraId="56395944" w14:textId="77777777" w:rsidTr="00482FC4">
        <w:tblPrEx>
          <w:tblW w:w="0" w:type="auto"/>
          <w:tblLayout w:type="fixed"/>
          <w:tblLook w:val="0000"/>
        </w:tblPrEx>
        <w:tc>
          <w:tcPr>
            <w:tcW w:w="4698" w:type="dxa"/>
          </w:tcPr>
          <w:p w:rsidR="00B52EE4" w:rsidP="00482FC4" w14:paraId="58C0346B" w14:textId="77777777">
            <w:pPr>
              <w:tabs>
                <w:tab w:val="center" w:pos="4680"/>
              </w:tabs>
              <w:suppressAutoHyphens/>
              <w:rPr>
                <w:spacing w:val="-2"/>
              </w:rPr>
            </w:pPr>
          </w:p>
          <w:p w:rsidR="00B52EE4" w:rsidP="00482FC4" w14:paraId="60A7D552" w14:textId="77777777">
            <w:pPr>
              <w:tabs>
                <w:tab w:val="center" w:pos="4680"/>
              </w:tabs>
              <w:suppressAutoHyphens/>
              <w:rPr>
                <w:spacing w:val="-2"/>
              </w:rPr>
            </w:pPr>
            <w:r>
              <w:rPr>
                <w:spacing w:val="-2"/>
              </w:rPr>
              <w:t>In the Matter of</w:t>
            </w:r>
          </w:p>
          <w:p w:rsidR="00B52EE4" w:rsidP="00482FC4" w14:paraId="21AF8C93" w14:textId="77777777">
            <w:pPr>
              <w:tabs>
                <w:tab w:val="center" w:pos="4680"/>
              </w:tabs>
              <w:suppressAutoHyphens/>
              <w:rPr>
                <w:spacing w:val="-2"/>
              </w:rPr>
            </w:pPr>
          </w:p>
          <w:p w:rsidR="00B52EE4" w:rsidRPr="007115F7" w:rsidP="00482FC4" w14:paraId="66B09873" w14:textId="77777777">
            <w:pPr>
              <w:tabs>
                <w:tab w:val="center" w:pos="4680"/>
              </w:tabs>
              <w:suppressAutoHyphens/>
              <w:rPr>
                <w:spacing w:val="-2"/>
              </w:rPr>
            </w:pPr>
            <w:r>
              <w:rPr>
                <w:spacing w:val="-2"/>
              </w:rPr>
              <w:t>SAL Spectrum, LLC</w:t>
            </w:r>
          </w:p>
        </w:tc>
        <w:tc>
          <w:tcPr>
            <w:tcW w:w="630" w:type="dxa"/>
          </w:tcPr>
          <w:p w:rsidR="00B52EE4" w:rsidP="00482FC4" w14:paraId="1FD564B2" w14:textId="77777777">
            <w:pPr>
              <w:tabs>
                <w:tab w:val="center" w:pos="4680"/>
              </w:tabs>
              <w:suppressAutoHyphens/>
              <w:rPr>
                <w:b/>
                <w:spacing w:val="-2"/>
              </w:rPr>
            </w:pPr>
            <w:r>
              <w:rPr>
                <w:b/>
                <w:spacing w:val="-2"/>
              </w:rPr>
              <w:t>)</w:t>
            </w:r>
          </w:p>
          <w:p w:rsidR="00B52EE4" w:rsidP="00482FC4" w14:paraId="5884D03D" w14:textId="77777777">
            <w:pPr>
              <w:tabs>
                <w:tab w:val="center" w:pos="4680"/>
              </w:tabs>
              <w:suppressAutoHyphens/>
              <w:rPr>
                <w:b/>
                <w:spacing w:val="-2"/>
              </w:rPr>
            </w:pPr>
            <w:r>
              <w:rPr>
                <w:b/>
                <w:spacing w:val="-2"/>
              </w:rPr>
              <w:t>)</w:t>
            </w:r>
          </w:p>
          <w:p w:rsidR="00B52EE4" w:rsidP="00482FC4" w14:paraId="7A358A40" w14:textId="77777777">
            <w:pPr>
              <w:tabs>
                <w:tab w:val="center" w:pos="4680"/>
              </w:tabs>
              <w:suppressAutoHyphens/>
              <w:rPr>
                <w:b/>
                <w:spacing w:val="-2"/>
              </w:rPr>
            </w:pPr>
            <w:r>
              <w:rPr>
                <w:b/>
                <w:spacing w:val="-2"/>
              </w:rPr>
              <w:t>)</w:t>
            </w:r>
          </w:p>
          <w:p w:rsidR="00B52EE4" w:rsidP="00482FC4" w14:paraId="7305AE23" w14:textId="77777777">
            <w:pPr>
              <w:tabs>
                <w:tab w:val="center" w:pos="4680"/>
              </w:tabs>
              <w:suppressAutoHyphens/>
              <w:rPr>
                <w:b/>
                <w:spacing w:val="-2"/>
              </w:rPr>
            </w:pPr>
            <w:r>
              <w:rPr>
                <w:b/>
                <w:spacing w:val="-2"/>
              </w:rPr>
              <w:t>)</w:t>
            </w:r>
          </w:p>
          <w:p w:rsidR="00B52EE4" w:rsidP="00482FC4" w14:paraId="3BF65C57" w14:textId="77777777">
            <w:pPr>
              <w:tabs>
                <w:tab w:val="center" w:pos="4680"/>
              </w:tabs>
              <w:suppressAutoHyphens/>
              <w:rPr>
                <w:b/>
                <w:spacing w:val="-2"/>
              </w:rPr>
            </w:pPr>
            <w:r>
              <w:rPr>
                <w:b/>
                <w:spacing w:val="-2"/>
              </w:rPr>
              <w:t>)</w:t>
            </w:r>
          </w:p>
          <w:p w:rsidR="00B52EE4" w:rsidP="00482FC4" w14:paraId="75415789" w14:textId="77777777">
            <w:pPr>
              <w:tabs>
                <w:tab w:val="center" w:pos="4680"/>
              </w:tabs>
              <w:suppressAutoHyphens/>
              <w:rPr>
                <w:b/>
                <w:spacing w:val="-2"/>
              </w:rPr>
            </w:pPr>
            <w:r>
              <w:rPr>
                <w:b/>
                <w:spacing w:val="-2"/>
              </w:rPr>
              <w:t>)</w:t>
            </w:r>
          </w:p>
          <w:p w:rsidR="00B52EE4" w:rsidP="00482FC4" w14:paraId="66C80C1E" w14:textId="77777777">
            <w:pPr>
              <w:tabs>
                <w:tab w:val="center" w:pos="4680"/>
              </w:tabs>
              <w:suppressAutoHyphens/>
              <w:rPr>
                <w:b/>
                <w:spacing w:val="-2"/>
              </w:rPr>
            </w:pPr>
          </w:p>
          <w:p w:rsidR="00B52EE4" w:rsidP="00482FC4" w14:paraId="2385C3BA" w14:textId="77777777">
            <w:pPr>
              <w:tabs>
                <w:tab w:val="center" w:pos="4680"/>
              </w:tabs>
              <w:suppressAutoHyphens/>
              <w:rPr>
                <w:spacing w:val="-2"/>
              </w:rPr>
            </w:pPr>
          </w:p>
        </w:tc>
        <w:tc>
          <w:tcPr>
            <w:tcW w:w="4248" w:type="dxa"/>
          </w:tcPr>
          <w:p w:rsidR="00B52EE4" w:rsidP="00482FC4" w14:paraId="5DB26E77" w14:textId="77777777">
            <w:pPr>
              <w:tabs>
                <w:tab w:val="center" w:pos="4680"/>
              </w:tabs>
              <w:suppressAutoHyphens/>
              <w:rPr>
                <w:spacing w:val="-2"/>
              </w:rPr>
            </w:pPr>
          </w:p>
          <w:p w:rsidR="00B52EE4" w:rsidP="00482FC4" w14:paraId="2144B867" w14:textId="77777777">
            <w:pPr>
              <w:pStyle w:val="TOAHeading"/>
              <w:tabs>
                <w:tab w:val="center" w:pos="4680"/>
                <w:tab w:val="clear" w:pos="9360"/>
              </w:tabs>
              <w:rPr>
                <w:spacing w:val="-2"/>
              </w:rPr>
            </w:pPr>
          </w:p>
          <w:p w:rsidR="00B52EE4" w:rsidRPr="000C70A4" w:rsidP="00482FC4" w14:paraId="646313D8" w14:textId="77777777">
            <w:pPr>
              <w:tabs>
                <w:tab w:val="center" w:pos="4680"/>
              </w:tabs>
              <w:suppressAutoHyphens/>
              <w:rPr>
                <w:spacing w:val="-2"/>
              </w:rPr>
            </w:pPr>
            <w:r w:rsidRPr="000C70A4">
              <w:rPr>
                <w:spacing w:val="-2"/>
              </w:rPr>
              <w:t>File No</w:t>
            </w:r>
            <w:r>
              <w:rPr>
                <w:spacing w:val="-2"/>
              </w:rPr>
              <w:t>s</w:t>
            </w:r>
            <w:r w:rsidRPr="000C70A4">
              <w:rPr>
                <w:spacing w:val="-2"/>
              </w:rPr>
              <w:t>.:</w:t>
            </w:r>
            <w:r>
              <w:rPr>
                <w:spacing w:val="-2"/>
              </w:rPr>
              <w:t xml:space="preserve">  </w:t>
            </w:r>
            <w:r w:rsidRPr="0078578D">
              <w:rPr>
                <w:color w:val="000000"/>
                <w:spacing w:val="-2"/>
              </w:rPr>
              <w:t xml:space="preserve">0009223630 </w:t>
            </w:r>
            <w:r>
              <w:rPr>
                <w:color w:val="000000"/>
                <w:spacing w:val="-2"/>
              </w:rPr>
              <w:t xml:space="preserve">and </w:t>
            </w:r>
            <w:r w:rsidRPr="004878C1">
              <w:t>0009223760</w:t>
            </w:r>
            <w:r w:rsidRPr="0078578D">
              <w:rPr>
                <w:color w:val="000000"/>
                <w:spacing w:val="-2"/>
              </w:rPr>
              <w:t xml:space="preserve">    </w:t>
            </w:r>
          </w:p>
          <w:p w:rsidR="00B52EE4" w:rsidP="00482FC4" w14:paraId="47FD29CC" w14:textId="77777777">
            <w:pPr>
              <w:tabs>
                <w:tab w:val="center" w:pos="4680"/>
              </w:tabs>
              <w:suppressAutoHyphens/>
              <w:rPr>
                <w:spacing w:val="-2"/>
              </w:rPr>
            </w:pPr>
            <w:r w:rsidRPr="000C70A4">
              <w:t>FRN:</w:t>
            </w:r>
            <w:r>
              <w:t xml:space="preserve">  </w:t>
            </w:r>
            <w:r w:rsidRPr="000C70A4">
              <w:t xml:space="preserve"> </w:t>
            </w:r>
            <w:r w:rsidRPr="006636ED">
              <w:t>0017163254</w:t>
            </w:r>
          </w:p>
        </w:tc>
      </w:tr>
    </w:tbl>
    <w:p w:rsidR="00B52EE4" w:rsidP="00B52EE4" w14:paraId="71225D97" w14:textId="77777777"/>
    <w:p w:rsidR="00B52EE4" w:rsidRPr="00F93E62" w:rsidP="00B52EE4" w14:paraId="4E6D6C88" w14:textId="77777777">
      <w:pPr>
        <w:widowControl/>
        <w:jc w:val="center"/>
        <w:rPr>
          <w:b/>
          <w:bCs/>
          <w:snapToGrid/>
          <w:szCs w:val="22"/>
        </w:rPr>
      </w:pPr>
      <w:r>
        <w:rPr>
          <w:b/>
          <w:bCs/>
          <w:snapToGrid/>
          <w:szCs w:val="22"/>
        </w:rPr>
        <w:t xml:space="preserve">MODIFICATION OF </w:t>
      </w:r>
      <w:r w:rsidRPr="00F93E62">
        <w:rPr>
          <w:b/>
          <w:bCs/>
          <w:snapToGrid/>
          <w:szCs w:val="22"/>
        </w:rPr>
        <w:t>CONSENT DECREE</w:t>
      </w:r>
    </w:p>
    <w:p w:rsidR="00B52EE4" w:rsidP="00B52EE4" w14:paraId="56E96EDA" w14:textId="77777777">
      <w:pPr>
        <w:pStyle w:val="ParaNum"/>
        <w:numPr>
          <w:ilvl w:val="0"/>
          <w:numId w:val="0"/>
        </w:numPr>
        <w:ind w:firstLine="720"/>
        <w:rPr>
          <w:snapToGrid/>
        </w:rPr>
      </w:pPr>
    </w:p>
    <w:p w:rsidR="00B52EE4" w:rsidRPr="00DF17CE" w:rsidP="00B52EE4" w14:paraId="544E8C0B" w14:textId="77777777">
      <w:pPr>
        <w:pStyle w:val="ParaNum"/>
        <w:numPr>
          <w:ilvl w:val="0"/>
          <w:numId w:val="0"/>
        </w:numPr>
        <w:ind w:firstLine="720"/>
      </w:pPr>
      <w:r w:rsidRPr="53D1C891">
        <w:rPr>
          <w:snapToGrid/>
        </w:rPr>
        <w:t>The Wireless Telecommunications Bureau</w:t>
      </w:r>
      <w:r>
        <w:t xml:space="preserve"> (Bureau) and</w:t>
      </w:r>
      <w:r w:rsidRPr="53D1C891">
        <w:t xml:space="preserve"> the Office of Economics and Analytics</w:t>
      </w:r>
      <w:r>
        <w:t xml:space="preserve"> (Office) </w:t>
      </w:r>
      <w:r w:rsidRPr="53D1C891">
        <w:rPr>
          <w:snapToGrid/>
        </w:rPr>
        <w:t>of the Federal Communications Commission</w:t>
      </w:r>
      <w:r>
        <w:rPr>
          <w:snapToGrid/>
        </w:rPr>
        <w:t>,</w:t>
      </w:r>
      <w:r w:rsidRPr="53D1C891">
        <w:rPr>
          <w:snapToGrid/>
        </w:rPr>
        <w:t xml:space="preserve"> and </w:t>
      </w:r>
      <w:r w:rsidRPr="0078578D">
        <w:rPr>
          <w:color w:val="000000"/>
          <w:spacing w:val="-2"/>
        </w:rPr>
        <w:t>SAL Spectrum, LLC</w:t>
      </w:r>
      <w:r w:rsidRPr="53D1C891">
        <w:rPr>
          <w:snapToGrid/>
        </w:rPr>
        <w:t xml:space="preserve"> </w:t>
      </w:r>
      <w:r>
        <w:rPr>
          <w:snapToGrid/>
        </w:rPr>
        <w:t>(SAL</w:t>
      </w:r>
      <w:r w:rsidRPr="53D1C891">
        <w:rPr>
          <w:snapToGrid/>
        </w:rPr>
        <w:t>), by their authorized representatives, hereby enter into this</w:t>
      </w:r>
      <w:r>
        <w:rPr>
          <w:snapToGrid/>
        </w:rPr>
        <w:t xml:space="preserve"> Modification of </w:t>
      </w:r>
      <w:r w:rsidRPr="53D1C891">
        <w:rPr>
          <w:snapToGrid/>
        </w:rPr>
        <w:t>Consent Decree</w:t>
      </w:r>
      <w:r>
        <w:rPr>
          <w:snapToGrid/>
        </w:rPr>
        <w:t xml:space="preserve"> (Modification)</w:t>
      </w:r>
      <w:r w:rsidRPr="53D1C891">
        <w:rPr>
          <w:snapToGrid/>
        </w:rPr>
        <w:t xml:space="preserve"> </w:t>
      </w:r>
      <w:r>
        <w:rPr>
          <w:snapToGrid/>
        </w:rPr>
        <w:t>pursuant to paragraph 27 of the Consent Decree executed by the parties and adopted by the Commission by Order released July 15, 2022, DA 22-744 (Consent Decree)</w:t>
      </w:r>
      <w:bookmarkStart w:id="0" w:name="_Hlk98417606"/>
      <w:r>
        <w:rPr>
          <w:snapToGrid/>
        </w:rPr>
        <w:t xml:space="preserve">.  The Parties agree that they intended in the Consent Decree to reference both of SAL’s pending Auction 105 long-form applications filed in the Commission’s Universal Licensing System, File Nos. </w:t>
      </w:r>
      <w:r w:rsidRPr="0078578D">
        <w:rPr>
          <w:color w:val="000000"/>
          <w:spacing w:val="-2"/>
        </w:rPr>
        <w:t>0009223630</w:t>
      </w:r>
      <w:r>
        <w:rPr>
          <w:color w:val="000000"/>
          <w:spacing w:val="-2"/>
        </w:rPr>
        <w:t xml:space="preserve"> and </w:t>
      </w:r>
      <w:r w:rsidRPr="004878C1">
        <w:t>0009223760</w:t>
      </w:r>
      <w:r>
        <w:rPr>
          <w:color w:val="000000"/>
          <w:spacing w:val="-2"/>
        </w:rPr>
        <w:t xml:space="preserve">, and they also agree that </w:t>
      </w:r>
      <w:r>
        <w:rPr>
          <w:snapToGrid/>
        </w:rPr>
        <w:t xml:space="preserve">references to File No. </w:t>
      </w:r>
      <w:r w:rsidRPr="004878C1">
        <w:t>0009223760</w:t>
      </w:r>
      <w:r>
        <w:t xml:space="preserve"> were inadvertently omitted from the text of the Consent Decree and the Appendix.  The Parties now agree to this Modification </w:t>
      </w:r>
      <w:bookmarkStart w:id="1" w:name="_Hlk109230534"/>
      <w:r>
        <w:t>for the purposes of including both file numbers in the text and Appendix of the Consent Decree and changing “application” to “applications,” where applicable</w:t>
      </w:r>
      <w:bookmarkEnd w:id="1"/>
      <w:r>
        <w:t xml:space="preserve">, as indicated below: </w:t>
      </w:r>
      <w:r>
        <w:rPr>
          <w:snapToGrid/>
        </w:rPr>
        <w:t xml:space="preserve"> </w:t>
      </w:r>
      <w:r w:rsidRPr="004047C7">
        <w:t xml:space="preserve"> </w:t>
      </w:r>
      <w:bookmarkEnd w:id="0"/>
    </w:p>
    <w:p w:rsidR="00B52EE4" w:rsidRPr="001A1DB6" w:rsidP="00575DF7" w14:paraId="645F5C95" w14:textId="77777777">
      <w:pPr>
        <w:pStyle w:val="ParaNum"/>
        <w:numPr>
          <w:ilvl w:val="0"/>
          <w:numId w:val="9"/>
        </w:numPr>
        <w:tabs>
          <w:tab w:val="clear" w:pos="1080"/>
          <w:tab w:val="num" w:pos="1440"/>
        </w:tabs>
        <w:snapToGrid w:val="0"/>
      </w:pPr>
      <w:r w:rsidRPr="00575DF7">
        <w:rPr>
          <w:snapToGrid/>
          <w:szCs w:val="22"/>
        </w:rPr>
        <w:t xml:space="preserve">The caption of the Consent Decree is modified to read as follows:  </w:t>
      </w:r>
    </w:p>
    <w:p w:rsidR="00B52EE4" w:rsidRPr="003864AA" w:rsidP="00B52EE4" w14:paraId="396FB11F" w14:textId="77777777">
      <w:pPr>
        <w:snapToGrid w:val="0"/>
        <w:spacing w:after="120"/>
        <w:ind w:left="720" w:firstLine="720"/>
      </w:pPr>
      <w:r w:rsidRPr="000C70A4">
        <w:rPr>
          <w:spacing w:val="-2"/>
        </w:rPr>
        <w:t>File No</w:t>
      </w:r>
      <w:r>
        <w:rPr>
          <w:spacing w:val="-2"/>
        </w:rPr>
        <w:t>s</w:t>
      </w:r>
      <w:r w:rsidRPr="000C70A4">
        <w:rPr>
          <w:spacing w:val="-2"/>
        </w:rPr>
        <w:t>.:</w:t>
      </w:r>
      <w:r>
        <w:rPr>
          <w:spacing w:val="-2"/>
        </w:rPr>
        <w:t xml:space="preserve">  </w:t>
      </w:r>
      <w:r w:rsidRPr="0078578D">
        <w:rPr>
          <w:color w:val="000000"/>
          <w:spacing w:val="-2"/>
        </w:rPr>
        <w:t xml:space="preserve">0009223630 </w:t>
      </w:r>
      <w:r>
        <w:rPr>
          <w:color w:val="000000"/>
          <w:spacing w:val="-2"/>
        </w:rPr>
        <w:t xml:space="preserve">and </w:t>
      </w:r>
      <w:r w:rsidRPr="004878C1">
        <w:t>0009223760</w:t>
      </w:r>
    </w:p>
    <w:p w:rsidR="00B52EE4" w:rsidP="00B52EE4" w14:paraId="0CEAC8CF" w14:textId="77777777">
      <w:pPr>
        <w:numPr>
          <w:ilvl w:val="0"/>
          <w:numId w:val="2"/>
        </w:numPr>
        <w:tabs>
          <w:tab w:val="clear" w:pos="1080"/>
          <w:tab w:val="num" w:pos="1440"/>
        </w:tabs>
        <w:snapToGrid w:val="0"/>
        <w:spacing w:after="120"/>
      </w:pPr>
      <w:r>
        <w:rPr>
          <w:snapToGrid/>
          <w:szCs w:val="22"/>
        </w:rPr>
        <w:t xml:space="preserve">Section I.2.(m), </w:t>
      </w:r>
      <w:r>
        <w:rPr>
          <w:color w:val="000000"/>
          <w:spacing w:val="-2"/>
        </w:rPr>
        <w:t>is modified to read as follows:</w:t>
      </w:r>
      <w:r>
        <w:t xml:space="preserve"> </w:t>
      </w:r>
      <w:r>
        <w:rPr>
          <w:b/>
          <w:bCs/>
        </w:rPr>
        <w:t xml:space="preserve"> </w:t>
      </w:r>
    </w:p>
    <w:p w:rsidR="00B52EE4" w:rsidP="00B52EE4" w14:paraId="262658CF" w14:textId="77777777">
      <w:pPr>
        <w:widowControl/>
        <w:snapToGrid w:val="0"/>
        <w:spacing w:after="120"/>
        <w:ind w:left="1440"/>
        <w:rPr>
          <w:snapToGrid/>
        </w:rPr>
      </w:pPr>
      <w:r w:rsidRPr="00C03C9D">
        <w:rPr>
          <w:snapToGrid/>
        </w:rPr>
        <w:t xml:space="preserve">“Investigation” means the </w:t>
      </w:r>
      <w:r>
        <w:rPr>
          <w:snapToGrid/>
        </w:rPr>
        <w:t>I</w:t>
      </w:r>
      <w:r w:rsidRPr="00C03C9D">
        <w:rPr>
          <w:snapToGrid/>
        </w:rPr>
        <w:t xml:space="preserve">nvestigation commenced by the Bureau </w:t>
      </w:r>
      <w:r>
        <w:t xml:space="preserve">and Office </w:t>
      </w:r>
      <w:r>
        <w:rPr>
          <w:snapToGrid/>
        </w:rPr>
        <w:t xml:space="preserve">during review of SAL’s long-form applications, Universal Licensing System (ULS) File Numbers </w:t>
      </w:r>
      <w:r w:rsidRPr="0078578D">
        <w:rPr>
          <w:color w:val="000000"/>
          <w:spacing w:val="-2"/>
        </w:rPr>
        <w:t>0009223630</w:t>
      </w:r>
      <w:r>
        <w:rPr>
          <w:color w:val="000000"/>
          <w:spacing w:val="-2"/>
        </w:rPr>
        <w:t xml:space="preserve"> and </w:t>
      </w:r>
      <w:r w:rsidRPr="004878C1">
        <w:t>0009223760</w:t>
      </w:r>
      <w:r w:rsidRPr="00D00E70">
        <w:rPr>
          <w:color w:val="000000"/>
          <w:spacing w:val="-2"/>
        </w:rPr>
        <w:t>,</w:t>
      </w:r>
      <w:r>
        <w:rPr>
          <w:snapToGrid/>
        </w:rPr>
        <w:t xml:space="preserve"> to determine whether it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Rules</w:t>
      </w:r>
      <w:r>
        <w:rPr>
          <w:snapToGrid/>
        </w:rPr>
        <w:t xml:space="preserve"> with respect to the identified licenses in the attached Appendix.</w:t>
      </w:r>
    </w:p>
    <w:p w:rsidR="00B52EE4" w:rsidP="00B52EE4" w14:paraId="2829CC1A" w14:textId="77777777">
      <w:pPr>
        <w:numPr>
          <w:ilvl w:val="0"/>
          <w:numId w:val="2"/>
        </w:numPr>
        <w:tabs>
          <w:tab w:val="clear" w:pos="1080"/>
          <w:tab w:val="num" w:pos="1440"/>
        </w:tabs>
        <w:snapToGrid w:val="0"/>
        <w:spacing w:after="120"/>
        <w:rPr>
          <w:snapToGrid/>
          <w:szCs w:val="22"/>
        </w:rPr>
      </w:pPr>
      <w:r>
        <w:rPr>
          <w:snapToGrid/>
          <w:szCs w:val="22"/>
        </w:rPr>
        <w:t>The final sentence of paragraph 5 is modified to read as follows (with no change in the accompanying footnote):</w:t>
      </w:r>
    </w:p>
    <w:p w:rsidR="00B52EE4" w:rsidP="00B52EE4" w14:paraId="6687BF2F" w14:textId="77777777">
      <w:pPr>
        <w:snapToGrid w:val="0"/>
        <w:spacing w:after="120"/>
        <w:ind w:left="1440"/>
        <w:rPr>
          <w:snapToGrid/>
          <w:szCs w:val="22"/>
        </w:rPr>
      </w:pPr>
      <w:r>
        <w:rPr>
          <w:snapToGrid/>
        </w:rPr>
        <w:t>“</w:t>
      </w:r>
      <w:r w:rsidRPr="53D1C891">
        <w:rPr>
          <w:snapToGrid/>
        </w:rPr>
        <w:t>As a result, if SAL’s long-form application</w:t>
      </w:r>
      <w:r>
        <w:rPr>
          <w:snapToGrid/>
        </w:rPr>
        <w:t xml:space="preserve"> (File No. </w:t>
      </w:r>
      <w:r w:rsidRPr="0078578D">
        <w:rPr>
          <w:color w:val="000000"/>
          <w:spacing w:val="-2"/>
        </w:rPr>
        <w:t>0009223630</w:t>
      </w:r>
      <w:r>
        <w:rPr>
          <w:color w:val="000000"/>
          <w:spacing w:val="-2"/>
        </w:rPr>
        <w:t xml:space="preserve">) </w:t>
      </w:r>
      <w:r w:rsidRPr="53D1C891">
        <w:rPr>
          <w:snapToGrid/>
        </w:rPr>
        <w:t>w</w:t>
      </w:r>
      <w:r>
        <w:rPr>
          <w:snapToGrid/>
        </w:rPr>
        <w:t>ere</w:t>
      </w:r>
      <w:r w:rsidRPr="53D1C891">
        <w:rPr>
          <w:snapToGrid/>
        </w:rPr>
        <w:t xml:space="preserve"> granted, SAL’s holdings would exceed the four-PAL</w:t>
      </w:r>
      <w:r>
        <w:rPr>
          <w:snapToGrid/>
        </w:rPr>
        <w:t xml:space="preserve"> aggregation</w:t>
      </w:r>
      <w:r w:rsidRPr="53D1C891">
        <w:rPr>
          <w:snapToGrid/>
        </w:rPr>
        <w:t xml:space="preserve"> limit in the </w:t>
      </w:r>
      <w:r>
        <w:t>Kenai Peninsula Borough in Alaska.</w:t>
      </w:r>
      <w:r w:rsidRPr="00CF4E2A">
        <w:rPr>
          <w:sz w:val="20"/>
          <w:vertAlign w:val="superscript"/>
        </w:rPr>
        <w:t>18</w:t>
      </w:r>
      <w:r>
        <w:t>”</w:t>
      </w:r>
    </w:p>
    <w:p w:rsidR="00B52EE4" w:rsidP="00B52EE4" w14:paraId="00BE61B1" w14:textId="77777777">
      <w:pPr>
        <w:numPr>
          <w:ilvl w:val="0"/>
          <w:numId w:val="2"/>
        </w:numPr>
        <w:tabs>
          <w:tab w:val="clear" w:pos="1080"/>
          <w:tab w:val="num" w:pos="1440"/>
        </w:tabs>
        <w:snapToGrid w:val="0"/>
        <w:spacing w:after="120"/>
        <w:rPr>
          <w:snapToGrid/>
          <w:szCs w:val="22"/>
        </w:rPr>
      </w:pPr>
      <w:r>
        <w:rPr>
          <w:snapToGrid/>
          <w:szCs w:val="22"/>
        </w:rPr>
        <w:t>The second and third sentences of paragraph 7 are modified to read as follows (with no change in the accompanying footnote):</w:t>
      </w:r>
    </w:p>
    <w:p w:rsidR="00B52EE4" w:rsidP="00B52EE4" w14:paraId="22B68132" w14:textId="77777777">
      <w:pPr>
        <w:pStyle w:val="ParaNum"/>
        <w:numPr>
          <w:ilvl w:val="0"/>
          <w:numId w:val="0"/>
        </w:numPr>
        <w:ind w:left="720"/>
        <w:rPr>
          <w:snapToGrid/>
        </w:rPr>
      </w:pPr>
      <w:r>
        <w:t>“</w:t>
      </w:r>
      <w:r w:rsidRPr="00AE79E4">
        <w:t>Al</w:t>
      </w:r>
      <w:r>
        <w:t>so, allowing an applicant to amend its applications to remove licenses with respect to winning bids for PALs listed in the Appendix will preclude immediate PAL licensing, but not preclude immediate utilization of the spectrum in light of the GAA Rules in the band.</w:t>
      </w:r>
      <w:r w:rsidRPr="00BB42D6">
        <w:rPr>
          <w:sz w:val="20"/>
          <w:vertAlign w:val="superscript"/>
        </w:rPr>
        <w:t>20</w:t>
      </w:r>
      <w:r>
        <w:rPr>
          <w:vertAlign w:val="superscript"/>
        </w:rPr>
        <w:t xml:space="preserve"> </w:t>
      </w:r>
      <w:r>
        <w:t xml:space="preserve"> Therefore, the Bureau and </w:t>
      </w:r>
      <w:r w:rsidRPr="003B2818">
        <w:t>Office</w:t>
      </w:r>
      <w:r w:rsidRPr="00F6471F">
        <w:t xml:space="preserve"> find i</w:t>
      </w:r>
      <w:r w:rsidRPr="003E42B6">
        <w:rPr>
          <w:snapToGrid/>
        </w:rPr>
        <w:t xml:space="preserve">t is in the public interest to </w:t>
      </w:r>
      <w:r>
        <w:rPr>
          <w:snapToGrid/>
        </w:rPr>
        <w:t xml:space="preserve">have the PALs listed in the Appendix removed by amendment of the applications </w:t>
      </w:r>
      <w:r w:rsidRPr="003E42B6">
        <w:rPr>
          <w:snapToGrid/>
        </w:rPr>
        <w:t xml:space="preserve">according to the terms established herein, and thus, </w:t>
      </w:r>
      <w:r>
        <w:rPr>
          <w:snapToGrid/>
        </w:rPr>
        <w:t>the</w:t>
      </w:r>
      <w:r w:rsidRPr="003E42B6">
        <w:rPr>
          <w:snapToGrid/>
        </w:rPr>
        <w:t xml:space="preserve"> </w:t>
      </w:r>
      <w:r>
        <w:rPr>
          <w:snapToGrid/>
        </w:rPr>
        <w:t>Parties</w:t>
      </w:r>
      <w:r w:rsidRPr="003E42B6">
        <w:rPr>
          <w:snapToGrid/>
        </w:rPr>
        <w:t xml:space="preserve"> enter into this Consent Decree.</w:t>
      </w:r>
      <w:r>
        <w:rPr>
          <w:snapToGrid/>
        </w:rPr>
        <w:t>”</w:t>
      </w:r>
    </w:p>
    <w:p w:rsidR="00B52EE4" w:rsidP="00B52EE4" w14:paraId="4E870FFD" w14:textId="77777777">
      <w:pPr>
        <w:widowControl/>
        <w:numPr>
          <w:ilvl w:val="0"/>
          <w:numId w:val="2"/>
        </w:numPr>
        <w:tabs>
          <w:tab w:val="clear" w:pos="1080"/>
          <w:tab w:val="num" w:pos="1440"/>
        </w:tabs>
        <w:snapToGrid w:val="0"/>
        <w:spacing w:after="120"/>
        <w:rPr>
          <w:snapToGrid/>
          <w:szCs w:val="22"/>
        </w:rPr>
      </w:pPr>
      <w:r>
        <w:rPr>
          <w:snapToGrid/>
          <w:szCs w:val="22"/>
        </w:rPr>
        <w:t>The first sentence of paragraph 13 is modified to read as follows:</w:t>
      </w:r>
    </w:p>
    <w:p w:rsidR="00B52EE4" w:rsidP="00B52EE4" w14:paraId="2E7D446D" w14:textId="77777777">
      <w:pPr>
        <w:snapToGrid w:val="0"/>
        <w:spacing w:after="120"/>
        <w:ind w:left="1440"/>
        <w:rPr>
          <w:snapToGrid/>
        </w:rPr>
      </w:pPr>
      <w:r>
        <w:rPr>
          <w:snapToGrid/>
        </w:rPr>
        <w:t>“SAL</w:t>
      </w:r>
      <w:r w:rsidRPr="00EF7B09">
        <w:rPr>
          <w:snapToGrid/>
        </w:rPr>
        <w:t xml:space="preserve"> acknowledges that grant of the </w:t>
      </w:r>
      <w:r>
        <w:rPr>
          <w:snapToGrid/>
        </w:rPr>
        <w:t>Implicated Licenses</w:t>
      </w:r>
      <w:r w:rsidRPr="00EF7B09">
        <w:rPr>
          <w:snapToGrid/>
        </w:rPr>
        <w:t xml:space="preserve"> in its Auction 105 long-form application</w:t>
      </w:r>
      <w:r>
        <w:rPr>
          <w:snapToGrid/>
        </w:rPr>
        <w:t>s</w:t>
      </w:r>
      <w:r w:rsidRPr="00EF7B09">
        <w:rPr>
          <w:snapToGrid/>
        </w:rPr>
        <w:t>, without taking the actions set forth in this Consent Decree, would have otherwise created a violation of section 96.31, rendering the application</w:t>
      </w:r>
      <w:r>
        <w:rPr>
          <w:snapToGrid/>
        </w:rPr>
        <w:t>s</w:t>
      </w:r>
      <w:r w:rsidRPr="00EF7B09">
        <w:rPr>
          <w:snapToGrid/>
        </w:rPr>
        <w:t xml:space="preserve"> defective under section 1.2109(c) with respect to th</w:t>
      </w:r>
      <w:r>
        <w:rPr>
          <w:snapToGrid/>
        </w:rPr>
        <w:t>e</w:t>
      </w:r>
      <w:r w:rsidRPr="00EF7B09">
        <w:rPr>
          <w:snapToGrid/>
        </w:rPr>
        <w:t xml:space="preserve"> </w:t>
      </w:r>
      <w:r>
        <w:rPr>
          <w:snapToGrid/>
        </w:rPr>
        <w:t>Implicated Licenses</w:t>
      </w:r>
      <w:r w:rsidRPr="00EF7B09">
        <w:rPr>
          <w:snapToGrid/>
        </w:rPr>
        <w:t>.</w:t>
      </w:r>
      <w:r>
        <w:rPr>
          <w:snapToGrid/>
        </w:rPr>
        <w:t>”</w:t>
      </w:r>
    </w:p>
    <w:p w:rsidR="00B52EE4" w:rsidP="00B52EE4" w14:paraId="16B6CDC9" w14:textId="77777777">
      <w:pPr>
        <w:numPr>
          <w:ilvl w:val="0"/>
          <w:numId w:val="2"/>
        </w:numPr>
        <w:tabs>
          <w:tab w:val="clear" w:pos="1080"/>
          <w:tab w:val="num" w:pos="1440"/>
        </w:tabs>
        <w:snapToGrid w:val="0"/>
        <w:spacing w:after="120"/>
        <w:rPr>
          <w:snapToGrid/>
          <w:szCs w:val="22"/>
        </w:rPr>
      </w:pPr>
      <w:r w:rsidRPr="00E71F43">
        <w:rPr>
          <w:snapToGrid/>
          <w:szCs w:val="22"/>
        </w:rPr>
        <w:t xml:space="preserve"> </w:t>
      </w:r>
      <w:r>
        <w:rPr>
          <w:snapToGrid/>
          <w:szCs w:val="22"/>
        </w:rPr>
        <w:t>Paragraph 14(a) and the first sentence of its accompanying footnote 21 are modified to read as follows:</w:t>
      </w:r>
    </w:p>
    <w:p w:rsidR="00B52EE4" w:rsidP="00B52EE4" w14:paraId="7E0156BB" w14:textId="77777777">
      <w:pPr>
        <w:snapToGrid w:val="0"/>
        <w:spacing w:after="120"/>
        <w:ind w:left="1440"/>
        <w:rPr>
          <w:snapToGrid/>
          <w:szCs w:val="22"/>
        </w:rPr>
      </w:pPr>
      <w:r>
        <w:rPr>
          <w:snapToGrid/>
          <w:szCs w:val="22"/>
        </w:rPr>
        <w:t>“</w:t>
      </w:r>
      <w:r w:rsidRPr="00E037B7">
        <w:rPr>
          <w:snapToGrid/>
          <w:szCs w:val="22"/>
        </w:rPr>
        <w:t xml:space="preserve">SAL agrees to </w:t>
      </w:r>
      <w:r>
        <w:rPr>
          <w:snapToGrid/>
          <w:szCs w:val="22"/>
        </w:rPr>
        <w:t xml:space="preserve">amend </w:t>
      </w:r>
      <w:r w:rsidRPr="00E037B7">
        <w:rPr>
          <w:snapToGrid/>
          <w:szCs w:val="22"/>
        </w:rPr>
        <w:t>its application</w:t>
      </w:r>
      <w:r>
        <w:rPr>
          <w:snapToGrid/>
          <w:szCs w:val="22"/>
        </w:rPr>
        <w:t>s</w:t>
      </w:r>
      <w:r w:rsidRPr="00E037B7">
        <w:rPr>
          <w:snapToGrid/>
          <w:szCs w:val="22"/>
        </w:rPr>
        <w:t xml:space="preserve"> </w:t>
      </w:r>
      <w:r>
        <w:rPr>
          <w:snapToGrid/>
          <w:szCs w:val="22"/>
        </w:rPr>
        <w:t>to remove</w:t>
      </w:r>
      <w:r w:rsidRPr="00E037B7">
        <w:rPr>
          <w:snapToGrid/>
          <w:szCs w:val="22"/>
        </w:rPr>
        <w:t xml:space="preserve"> the</w:t>
      </w:r>
      <w:r w:rsidRPr="00E037B7">
        <w:rPr>
          <w:szCs w:val="22"/>
        </w:rPr>
        <w:t xml:space="preserve"> Implicated Licenses identified in the attached Appendix which, in aggregation with other attributable applicants, would have exceeded the four-PAL aggregation limit if the application</w:t>
      </w:r>
      <w:r>
        <w:rPr>
          <w:szCs w:val="22"/>
        </w:rPr>
        <w:t>s</w:t>
      </w:r>
      <w:r w:rsidRPr="00E037B7">
        <w:rPr>
          <w:szCs w:val="22"/>
        </w:rPr>
        <w:t xml:space="preserve"> were granted</w:t>
      </w:r>
      <w:r>
        <w:rPr>
          <w:szCs w:val="22"/>
        </w:rPr>
        <w:t xml:space="preserve"> without such amendment.</w:t>
      </w:r>
      <w:r w:rsidRPr="009576F0">
        <w:rPr>
          <w:sz w:val="20"/>
          <w:vertAlign w:val="superscript"/>
        </w:rPr>
        <w:t>21</w:t>
      </w:r>
      <w:r>
        <w:rPr>
          <w:sz w:val="20"/>
          <w:vertAlign w:val="superscript"/>
        </w:rPr>
        <w:t>”</w:t>
      </w:r>
    </w:p>
    <w:p w:rsidR="00B52EE4" w:rsidRPr="009576F0" w:rsidP="00B52EE4" w14:paraId="1469456A" w14:textId="77777777">
      <w:pPr>
        <w:snapToGrid w:val="0"/>
        <w:spacing w:after="120"/>
        <w:ind w:left="1440"/>
        <w:rPr>
          <w:snapToGrid/>
          <w:sz w:val="20"/>
        </w:rPr>
      </w:pPr>
      <w:r>
        <w:rPr>
          <w:snapToGrid/>
          <w:szCs w:val="22"/>
        </w:rPr>
        <w:t>“</w:t>
      </w:r>
      <w:r w:rsidRPr="009576F0">
        <w:rPr>
          <w:snapToGrid/>
          <w:sz w:val="20"/>
          <w:vertAlign w:val="superscript"/>
        </w:rPr>
        <w:t>21</w:t>
      </w:r>
      <w:r>
        <w:rPr>
          <w:snapToGrid/>
          <w:sz w:val="20"/>
          <w:vertAlign w:val="superscript"/>
        </w:rPr>
        <w:t xml:space="preserve"> </w:t>
      </w:r>
      <w:r w:rsidRPr="00E55968">
        <w:t>The application</w:t>
      </w:r>
      <w:r>
        <w:t>s</w:t>
      </w:r>
      <w:r w:rsidRPr="00E55968">
        <w:t xml:space="preserve"> also include other licenses not covered by the Investigation and hence not covered by this Consent Decree.</w:t>
      </w:r>
      <w:r>
        <w:t>”</w:t>
      </w:r>
      <w:r w:rsidRPr="00E55968">
        <w:t xml:space="preserve">  </w:t>
      </w:r>
    </w:p>
    <w:p w:rsidR="00B52EE4" w:rsidP="00B52EE4" w14:paraId="2598A231" w14:textId="77777777">
      <w:pPr>
        <w:numPr>
          <w:ilvl w:val="0"/>
          <w:numId w:val="2"/>
        </w:numPr>
        <w:tabs>
          <w:tab w:val="clear" w:pos="1080"/>
          <w:tab w:val="num" w:pos="1440"/>
        </w:tabs>
        <w:snapToGrid w:val="0"/>
        <w:spacing w:after="120"/>
        <w:rPr>
          <w:snapToGrid/>
          <w:szCs w:val="22"/>
        </w:rPr>
      </w:pPr>
      <w:r w:rsidRPr="00E71F43">
        <w:rPr>
          <w:snapToGrid/>
          <w:szCs w:val="22"/>
        </w:rPr>
        <w:t xml:space="preserve"> </w:t>
      </w:r>
      <w:r>
        <w:rPr>
          <w:snapToGrid/>
          <w:szCs w:val="22"/>
        </w:rPr>
        <w:t>Paragraph 14(c) is modified to read as follows (with no change in the accompanying footnote):</w:t>
      </w:r>
    </w:p>
    <w:p w:rsidR="00B52EE4" w:rsidP="00B52EE4" w14:paraId="6B92EB7E" w14:textId="77777777">
      <w:pPr>
        <w:snapToGrid w:val="0"/>
        <w:spacing w:after="120"/>
        <w:ind w:left="1440"/>
        <w:rPr>
          <w:snapToGrid/>
          <w:szCs w:val="22"/>
        </w:rPr>
      </w:pPr>
      <w:r>
        <w:rPr>
          <w:snapToGrid/>
          <w:szCs w:val="22"/>
        </w:rPr>
        <w:t>“</w:t>
      </w:r>
      <w:r w:rsidRPr="00F613E8">
        <w:rPr>
          <w:snapToGrid/>
          <w:szCs w:val="22"/>
        </w:rPr>
        <w:t xml:space="preserve">The Bureau and Office agree to </w:t>
      </w:r>
      <w:r w:rsidRPr="00D00E70">
        <w:rPr>
          <w:rFonts w:cs="Calibri"/>
        </w:rPr>
        <w:t xml:space="preserve">relieve </w:t>
      </w:r>
      <w:r w:rsidRPr="0078578D">
        <w:rPr>
          <w:rFonts w:cs="Calibri"/>
        </w:rPr>
        <w:t>SAL</w:t>
      </w:r>
      <w:r w:rsidRPr="00D00E70">
        <w:rPr>
          <w:rFonts w:cs="Calibri"/>
        </w:rPr>
        <w:t xml:space="preserve"> from</w:t>
      </w:r>
      <w:r w:rsidRPr="00132E54">
        <w:t xml:space="preserve"> </w:t>
      </w:r>
      <w:r>
        <w:t>the application of the Rules that would otherwise impose</w:t>
      </w:r>
      <w:r w:rsidRPr="00D00E70">
        <w:rPr>
          <w:rFonts w:cs="Calibri"/>
        </w:rPr>
        <w:t xml:space="preserve"> the Default Penalties on </w:t>
      </w:r>
      <w:r w:rsidRPr="0078578D">
        <w:rPr>
          <w:rFonts w:cs="Calibri"/>
        </w:rPr>
        <w:t>SAL</w:t>
      </w:r>
      <w:r w:rsidRPr="00D00E70">
        <w:rPr>
          <w:rFonts w:cs="Calibri"/>
        </w:rPr>
        <w:t xml:space="preserve"> associated with </w:t>
      </w:r>
      <w:r>
        <w:rPr>
          <w:rFonts w:cs="Calibri"/>
        </w:rPr>
        <w:t>amendment</w:t>
      </w:r>
      <w:r w:rsidRPr="00D00E70">
        <w:rPr>
          <w:rFonts w:cs="Calibri"/>
        </w:rPr>
        <w:t xml:space="preserve"> of the application</w:t>
      </w:r>
      <w:r>
        <w:rPr>
          <w:rFonts w:cs="Calibri"/>
        </w:rPr>
        <w:t>s</w:t>
      </w:r>
      <w:r w:rsidRPr="00D00E70">
        <w:rPr>
          <w:rFonts w:cs="Calibri"/>
        </w:rPr>
        <w:t xml:space="preserve"> </w:t>
      </w:r>
      <w:r>
        <w:rPr>
          <w:rFonts w:cs="Calibri"/>
        </w:rPr>
        <w:t>to remove</w:t>
      </w:r>
      <w:r w:rsidRPr="00D00E70">
        <w:rPr>
          <w:rFonts w:cs="Calibri"/>
        </w:rPr>
        <w:t xml:space="preserve"> the Implicated Licenses identified in </w:t>
      </w:r>
      <w:r w:rsidRPr="0078578D">
        <w:rPr>
          <w:rFonts w:cs="Calibri"/>
        </w:rPr>
        <w:t xml:space="preserve">the </w:t>
      </w:r>
      <w:r w:rsidRPr="00D00E70">
        <w:rPr>
          <w:rFonts w:cs="Calibri"/>
        </w:rPr>
        <w:t>Appendix.</w:t>
      </w:r>
      <w:r w:rsidRPr="005241F5">
        <w:rPr>
          <w:sz w:val="20"/>
          <w:vertAlign w:val="superscript"/>
        </w:rPr>
        <w:t>22</w:t>
      </w:r>
      <w:r>
        <w:t>”</w:t>
      </w:r>
    </w:p>
    <w:p w:rsidR="00B52EE4" w:rsidP="00B52EE4" w14:paraId="7E613BBA" w14:textId="77777777">
      <w:pPr>
        <w:numPr>
          <w:ilvl w:val="0"/>
          <w:numId w:val="2"/>
        </w:numPr>
        <w:tabs>
          <w:tab w:val="clear" w:pos="1080"/>
          <w:tab w:val="num" w:pos="1440"/>
        </w:tabs>
        <w:snapToGrid w:val="0"/>
        <w:spacing w:after="120"/>
        <w:rPr>
          <w:snapToGrid/>
          <w:szCs w:val="22"/>
        </w:rPr>
      </w:pPr>
      <w:r>
        <w:rPr>
          <w:snapToGrid/>
          <w:szCs w:val="22"/>
        </w:rPr>
        <w:t>The first sentence of paragraph 21 is modified to read as follows:</w:t>
      </w:r>
    </w:p>
    <w:p w:rsidR="00B52EE4" w:rsidRPr="002B1EE4" w:rsidP="00B52EE4" w14:paraId="733D519E" w14:textId="77777777">
      <w:pPr>
        <w:snapToGrid w:val="0"/>
        <w:spacing w:after="120"/>
        <w:ind w:left="1440"/>
        <w:rPr>
          <w:snapToGrid/>
          <w:szCs w:val="22"/>
        </w:rPr>
      </w:pPr>
      <w:r>
        <w:rPr>
          <w:snapToGrid/>
        </w:rPr>
        <w:t>“</w:t>
      </w:r>
      <w:r w:rsidRPr="710053F9">
        <w:rPr>
          <w:snapToGrid/>
        </w:rPr>
        <w:t xml:space="preserve">As of the Effective Date, </w:t>
      </w:r>
      <w:r>
        <w:rPr>
          <w:snapToGrid/>
        </w:rPr>
        <w:t>SAL</w:t>
      </w:r>
      <w:r w:rsidRPr="710053F9">
        <w:rPr>
          <w:snapToGrid/>
        </w:rPr>
        <w:t xml:space="preserve"> waives any and all rights it may have to seek administrative or judicial reconsideration, review, appeal</w:t>
      </w:r>
      <w:r>
        <w:rPr>
          <w:snapToGrid/>
        </w:rPr>
        <w:t>,</w:t>
      </w:r>
      <w:r w:rsidRPr="710053F9">
        <w:rPr>
          <w:snapToGrid/>
        </w:rPr>
        <w:t xml:space="preserve"> or stay, or to otherwise challenge or contest the validity of this Consent Decree</w:t>
      </w:r>
      <w:r>
        <w:rPr>
          <w:snapToGrid/>
        </w:rPr>
        <w:t>,</w:t>
      </w:r>
      <w:r w:rsidRPr="710053F9">
        <w:rPr>
          <w:snapToGrid/>
        </w:rPr>
        <w:t xml:space="preserve"> Adopting Order</w:t>
      </w:r>
      <w:r>
        <w:rPr>
          <w:snapToGrid/>
        </w:rPr>
        <w:t>, or any action the Bureau and/or the Office take on SAL’s Auction 105 long-form applications pursuant to this Consent Decree</w:t>
      </w:r>
      <w:r w:rsidRPr="1FC0EB3A">
        <w:rPr>
          <w:snapToGrid/>
        </w:rPr>
        <w:t>.</w:t>
      </w:r>
      <w:r>
        <w:rPr>
          <w:snapToGrid/>
        </w:rPr>
        <w:t>”</w:t>
      </w:r>
      <w:r w:rsidRPr="710053F9">
        <w:rPr>
          <w:snapToGrid/>
        </w:rPr>
        <w:t xml:space="preserve">  </w:t>
      </w:r>
      <w:r>
        <w:rPr>
          <w:snapToGrid/>
        </w:rPr>
        <w:tab/>
      </w:r>
    </w:p>
    <w:p w:rsidR="00B52EE4" w:rsidRPr="006A4B93" w:rsidP="00B52EE4" w14:paraId="12710EC4" w14:textId="77777777">
      <w:pPr>
        <w:numPr>
          <w:ilvl w:val="0"/>
          <w:numId w:val="2"/>
        </w:numPr>
        <w:tabs>
          <w:tab w:val="clear" w:pos="1080"/>
          <w:tab w:val="num" w:pos="1440"/>
        </w:tabs>
        <w:snapToGrid w:val="0"/>
        <w:spacing w:after="120"/>
        <w:rPr>
          <w:snapToGrid/>
          <w:szCs w:val="22"/>
        </w:rPr>
      </w:pPr>
      <w:r>
        <w:rPr>
          <w:snapToGrid/>
          <w:szCs w:val="22"/>
        </w:rPr>
        <w:t>The fourth line of the title of the Appendix</w:t>
      </w:r>
      <w:r>
        <w:rPr>
          <w:color w:val="000000"/>
          <w:spacing w:val="-2"/>
        </w:rPr>
        <w:t xml:space="preserve"> is modified to read as follows:</w:t>
      </w:r>
    </w:p>
    <w:p w:rsidR="00B52EE4" w:rsidP="00B52EE4" w14:paraId="16502C21" w14:textId="77777777">
      <w:pPr>
        <w:snapToGrid w:val="0"/>
        <w:spacing w:after="120"/>
        <w:ind w:left="720" w:firstLine="720"/>
        <w:rPr>
          <w:b/>
          <w:bCs/>
        </w:rPr>
      </w:pPr>
      <w:r w:rsidRPr="005C3068">
        <w:rPr>
          <w:b/>
          <w:bCs/>
          <w:spacing w:val="-2"/>
        </w:rPr>
        <w:t>SAL SPECTRUM, LLC – FCC FILE NO</w:t>
      </w:r>
      <w:r>
        <w:rPr>
          <w:b/>
          <w:bCs/>
          <w:spacing w:val="-2"/>
        </w:rPr>
        <w:t>S</w:t>
      </w:r>
      <w:r w:rsidRPr="005C3068">
        <w:rPr>
          <w:b/>
          <w:bCs/>
          <w:spacing w:val="-2"/>
        </w:rPr>
        <w:t>.</w:t>
      </w:r>
      <w:r>
        <w:rPr>
          <w:b/>
          <w:bCs/>
          <w:spacing w:val="-2"/>
        </w:rPr>
        <w:t xml:space="preserve"> </w:t>
      </w:r>
      <w:r w:rsidRPr="005C3068">
        <w:rPr>
          <w:b/>
          <w:bCs/>
          <w:color w:val="000000"/>
          <w:spacing w:val="-2"/>
        </w:rPr>
        <w:t>0009223630</w:t>
      </w:r>
      <w:r>
        <w:rPr>
          <w:b/>
          <w:bCs/>
          <w:color w:val="000000"/>
          <w:spacing w:val="-2"/>
        </w:rPr>
        <w:t xml:space="preserve"> AND </w:t>
      </w:r>
      <w:r w:rsidRPr="006A4B93">
        <w:rPr>
          <w:b/>
          <w:bCs/>
        </w:rPr>
        <w:t>0009223760</w:t>
      </w:r>
    </w:p>
    <w:p w:rsidR="00B52EE4" w:rsidRPr="000B03A6" w:rsidP="00B52EE4" w14:paraId="1CB9A6F0" w14:textId="77777777">
      <w:pPr>
        <w:numPr>
          <w:ilvl w:val="0"/>
          <w:numId w:val="2"/>
        </w:numPr>
        <w:tabs>
          <w:tab w:val="clear" w:pos="1080"/>
          <w:tab w:val="num" w:pos="1440"/>
        </w:tabs>
        <w:snapToGrid w:val="0"/>
        <w:spacing w:after="120"/>
        <w:rPr>
          <w:snapToGrid/>
          <w:szCs w:val="22"/>
        </w:rPr>
      </w:pPr>
      <w:r>
        <w:rPr>
          <w:snapToGrid/>
          <w:szCs w:val="22"/>
        </w:rPr>
        <w:t xml:space="preserve">The </w:t>
      </w:r>
      <w:r w:rsidRPr="007C6292">
        <w:rPr>
          <w:snapToGrid/>
          <w:szCs w:val="22"/>
        </w:rPr>
        <w:t>Appendix</w:t>
      </w:r>
      <w:r>
        <w:t xml:space="preserve"> is </w:t>
      </w:r>
      <w:r>
        <w:rPr>
          <w:color w:val="000000"/>
          <w:spacing w:val="-2"/>
        </w:rPr>
        <w:t>modified</w:t>
      </w:r>
      <w:r>
        <w:t xml:space="preserve"> to list the Implicated Licenses in two separate charts with headings to associate them with their respective </w:t>
      </w:r>
      <w:r w:rsidRPr="007C6292">
        <w:rPr>
          <w:color w:val="000000"/>
          <w:spacing w:val="-2"/>
        </w:rPr>
        <w:t xml:space="preserve">File </w:t>
      </w:r>
      <w:r>
        <w:rPr>
          <w:color w:val="000000"/>
          <w:spacing w:val="-2"/>
        </w:rPr>
        <w:t>Numbers, as shown below</w:t>
      </w:r>
      <w:r w:rsidRPr="00777CCD">
        <w:t>:</w:t>
      </w:r>
      <w:r>
        <w:rPr>
          <w:rStyle w:val="FootnoteReference"/>
        </w:rPr>
        <w:footnoteReference w:id="3"/>
      </w:r>
    </w:p>
    <w:p w:rsidR="00B52EE4" w:rsidP="00B52EE4" w14:paraId="1945FA77" w14:textId="77777777">
      <w:pPr>
        <w:ind w:right="4670"/>
        <w:rPr>
          <w:b/>
          <w:bCs/>
          <w:szCs w:val="22"/>
        </w:rPr>
      </w:pPr>
    </w:p>
    <w:p w:rsidR="00B52EE4" w:rsidP="00B52EE4" w14:paraId="2CA66054" w14:textId="77777777">
      <w:pPr>
        <w:ind w:right="4670"/>
        <w:rPr>
          <w:b/>
          <w:bCs/>
          <w:color w:val="000000"/>
          <w:spacing w:val="-2"/>
        </w:rPr>
      </w:pPr>
      <w:r w:rsidRPr="006A7BC2">
        <w:rPr>
          <w:b/>
          <w:bCs/>
          <w:szCs w:val="22"/>
        </w:rPr>
        <w:t xml:space="preserve">Part </w:t>
      </w:r>
      <w:r>
        <w:rPr>
          <w:b/>
          <w:bCs/>
          <w:szCs w:val="22"/>
        </w:rPr>
        <w:t>I</w:t>
      </w:r>
      <w:r w:rsidRPr="006A7BC2">
        <w:rPr>
          <w:b/>
          <w:bCs/>
          <w:szCs w:val="22"/>
        </w:rPr>
        <w:t xml:space="preserve">:  </w:t>
      </w:r>
      <w:r w:rsidRPr="006A7BC2">
        <w:rPr>
          <w:b/>
          <w:bCs/>
          <w:spacing w:val="-2"/>
        </w:rPr>
        <w:t>F</w:t>
      </w:r>
      <w:r w:rsidRPr="005C3068">
        <w:rPr>
          <w:b/>
          <w:bCs/>
          <w:spacing w:val="-2"/>
        </w:rPr>
        <w:t xml:space="preserve">CC </w:t>
      </w:r>
      <w:r>
        <w:rPr>
          <w:b/>
          <w:bCs/>
          <w:spacing w:val="-2"/>
        </w:rPr>
        <w:t>File No</w:t>
      </w:r>
      <w:r w:rsidRPr="005C3068">
        <w:rPr>
          <w:b/>
          <w:bCs/>
          <w:spacing w:val="-2"/>
        </w:rPr>
        <w:t>.</w:t>
      </w:r>
      <w:r>
        <w:rPr>
          <w:b/>
          <w:bCs/>
          <w:spacing w:val="-2"/>
        </w:rPr>
        <w:t xml:space="preserve"> </w:t>
      </w:r>
      <w:r w:rsidRPr="005C3068">
        <w:rPr>
          <w:b/>
          <w:bCs/>
          <w:color w:val="000000"/>
          <w:spacing w:val="-2"/>
        </w:rPr>
        <w:t>0009223630</w:t>
      </w:r>
      <w:r>
        <w:rPr>
          <w:b/>
          <w:bCs/>
          <w:color w:val="000000"/>
          <w:spacing w:val="-2"/>
        </w:rPr>
        <w:t xml:space="preserve"> Licenses</w:t>
      </w:r>
    </w:p>
    <w:p w:rsidR="00B52EE4" w:rsidRPr="0071389F" w:rsidP="00B52EE4" w14:paraId="05CA39BB" w14:textId="77777777">
      <w:pPr>
        <w:ind w:right="4670"/>
        <w:rPr>
          <w:szCs w:val="22"/>
        </w:rPr>
      </w:pPr>
    </w:p>
    <w:tbl>
      <w:tblPr>
        <w:tblW w:w="9776" w:type="dxa"/>
        <w:jc w:val="center"/>
        <w:tblCellMar>
          <w:top w:w="37" w:type="dxa"/>
          <w:left w:w="30" w:type="dxa"/>
          <w:bottom w:w="16" w:type="dxa"/>
          <w:right w:w="53" w:type="dxa"/>
        </w:tblCellMar>
        <w:tblLook w:val="04A0"/>
      </w:tblPr>
      <w:tblGrid>
        <w:gridCol w:w="4078"/>
        <w:gridCol w:w="2663"/>
        <w:gridCol w:w="3035"/>
      </w:tblGrid>
      <w:tr w14:paraId="2FF6748E" w14:textId="77777777" w:rsidTr="00482FC4">
        <w:tblPrEx>
          <w:tblW w:w="9776" w:type="dxa"/>
          <w:jc w:val="center"/>
          <w:tblCellMar>
            <w:top w:w="37" w:type="dxa"/>
            <w:left w:w="30" w:type="dxa"/>
            <w:bottom w:w="16" w:type="dxa"/>
            <w:right w:w="53" w:type="dxa"/>
          </w:tblCellMar>
          <w:tblLook w:val="04A0"/>
        </w:tblPrEx>
        <w:trPr>
          <w:trHeight w:val="65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vAlign w:val="bottom"/>
          </w:tcPr>
          <w:p w:rsidR="00B52EE4" w:rsidRPr="0071389F" w:rsidP="00482FC4" w14:paraId="3A156BCA" w14:textId="77777777">
            <w:pPr>
              <w:ind w:left="26"/>
              <w:rPr>
                <w:b/>
                <w:bCs/>
                <w:szCs w:val="22"/>
              </w:rPr>
            </w:pPr>
            <w:r w:rsidRPr="0071389F">
              <w:rPr>
                <w:b/>
                <w:bCs/>
                <w:szCs w:val="22"/>
              </w:rPr>
              <w:t>Legal Entity Name</w:t>
            </w:r>
          </w:p>
        </w:tc>
        <w:tc>
          <w:tcPr>
            <w:tcW w:w="2663" w:type="dxa"/>
            <w:tcBorders>
              <w:top w:val="single" w:sz="7" w:space="0" w:color="000000"/>
              <w:left w:val="single" w:sz="7" w:space="0" w:color="000000"/>
              <w:bottom w:val="single" w:sz="7" w:space="0" w:color="000000"/>
              <w:right w:val="single" w:sz="7" w:space="0" w:color="000000"/>
            </w:tcBorders>
            <w:shd w:val="clear" w:color="auto" w:fill="auto"/>
            <w:vAlign w:val="bottom"/>
          </w:tcPr>
          <w:p w:rsidR="00B52EE4" w:rsidRPr="0071389F" w:rsidP="00482FC4" w14:paraId="62D4E857" w14:textId="77777777">
            <w:pPr>
              <w:ind w:left="3"/>
              <w:rPr>
                <w:b/>
                <w:bCs/>
                <w:szCs w:val="22"/>
              </w:rPr>
            </w:pPr>
            <w:r w:rsidRPr="0071389F">
              <w:rPr>
                <w:b/>
                <w:bCs/>
                <w:szCs w:val="22"/>
              </w:rPr>
              <w:t>Market Number</w:t>
            </w:r>
          </w:p>
        </w:tc>
        <w:tc>
          <w:tcPr>
            <w:tcW w:w="3035" w:type="dxa"/>
            <w:tcBorders>
              <w:top w:val="single" w:sz="7" w:space="0" w:color="000000"/>
              <w:left w:val="single" w:sz="7" w:space="0" w:color="000000"/>
              <w:bottom w:val="single" w:sz="7" w:space="0" w:color="000000"/>
              <w:right w:val="single" w:sz="7" w:space="0" w:color="000000"/>
            </w:tcBorders>
            <w:shd w:val="clear" w:color="auto" w:fill="auto"/>
            <w:vAlign w:val="bottom"/>
          </w:tcPr>
          <w:p w:rsidR="00B52EE4" w:rsidRPr="0071389F" w:rsidP="00482FC4" w14:paraId="1CE24825" w14:textId="77777777">
            <w:pPr>
              <w:ind w:left="3"/>
              <w:rPr>
                <w:b/>
                <w:bCs/>
                <w:szCs w:val="22"/>
              </w:rPr>
            </w:pPr>
            <w:r w:rsidRPr="0071389F">
              <w:rPr>
                <w:b/>
                <w:bCs/>
                <w:szCs w:val="22"/>
              </w:rPr>
              <w:t>Market Description</w:t>
            </w:r>
          </w:p>
        </w:tc>
      </w:tr>
      <w:tr w14:paraId="7D1FFEB5"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5C1198" w:rsidP="00482FC4" w14:paraId="1CE23F82"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71389F" w:rsidP="00482FC4" w14:paraId="2EAB227D" w14:textId="77777777">
            <w:pPr>
              <w:ind w:left="5"/>
              <w:rPr>
                <w:szCs w:val="22"/>
              </w:rPr>
            </w:pPr>
            <w:r w:rsidRPr="0071389F">
              <w:rPr>
                <w:rFonts w:eastAsia="Arial"/>
                <w:szCs w:val="22"/>
              </w:rPr>
              <w:t>D02122</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71389F" w:rsidP="00482FC4" w14:paraId="7656DB17" w14:textId="77777777">
            <w:pPr>
              <w:ind w:left="5"/>
              <w:rPr>
                <w:szCs w:val="22"/>
              </w:rPr>
            </w:pPr>
            <w:r w:rsidRPr="0071389F">
              <w:rPr>
                <w:rFonts w:eastAsia="Arial"/>
                <w:szCs w:val="22"/>
              </w:rPr>
              <w:t>KENAI PENINSULA, AK</w:t>
            </w:r>
          </w:p>
        </w:tc>
      </w:tr>
      <w:tr w14:paraId="7F28DF83"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5C1198" w:rsidP="00482FC4" w14:paraId="4F7B619C" w14:textId="77777777">
            <w:pPr>
              <w:ind w:left="5"/>
              <w:rPr>
                <w:rFonts w:eastAsia="Arial"/>
                <w:b/>
                <w:bCs/>
                <w:szCs w:val="22"/>
              </w:rPr>
            </w:pPr>
            <w:r w:rsidRPr="005C1198">
              <w:rPr>
                <w:rFonts w:eastAsia="Arial"/>
                <w:b/>
                <w:bCs/>
                <w:szCs w:val="22"/>
              </w:rPr>
              <w:t>* * *</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5C1198" w:rsidP="00482FC4" w14:paraId="4B5C8140" w14:textId="77777777">
            <w:pPr>
              <w:ind w:left="5"/>
              <w:rPr>
                <w:rFonts w:eastAsia="Arial"/>
                <w:b/>
                <w:bCs/>
                <w:szCs w:val="22"/>
              </w:rPr>
            </w:pPr>
            <w:r w:rsidRPr="005C1198">
              <w:rPr>
                <w:rFonts w:eastAsia="Arial"/>
                <w:b/>
                <w:bCs/>
                <w:szCs w:val="22"/>
              </w:rPr>
              <w:t>* * *</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5C1198" w:rsidP="00482FC4" w14:paraId="36D75D73" w14:textId="77777777">
            <w:pPr>
              <w:ind w:left="5"/>
              <w:rPr>
                <w:rFonts w:eastAsia="Arial"/>
                <w:b/>
                <w:bCs/>
                <w:szCs w:val="22"/>
              </w:rPr>
            </w:pPr>
            <w:r w:rsidRPr="005C1198">
              <w:rPr>
                <w:rFonts w:eastAsia="Arial"/>
                <w:b/>
                <w:bCs/>
                <w:szCs w:val="22"/>
              </w:rPr>
              <w:t>* * *</w:t>
            </w:r>
          </w:p>
        </w:tc>
      </w:tr>
    </w:tbl>
    <w:p w:rsidR="00B52EE4" w:rsidP="00B52EE4" w14:paraId="5E13A384" w14:textId="77777777">
      <w:pPr>
        <w:keepLines/>
        <w:tabs>
          <w:tab w:val="num" w:pos="1080"/>
          <w:tab w:val="num" w:pos="1440"/>
        </w:tabs>
        <w:snapToGrid w:val="0"/>
        <w:spacing w:after="120"/>
        <w:rPr>
          <w:b/>
          <w:bCs/>
          <w:color w:val="000000"/>
          <w:spacing w:val="-2"/>
        </w:rPr>
      </w:pPr>
    </w:p>
    <w:p w:rsidR="00B52EE4" w:rsidP="00B52EE4" w14:paraId="3274F3C4" w14:textId="77777777">
      <w:pPr>
        <w:widowControl/>
        <w:rPr>
          <w:b/>
          <w:bCs/>
          <w:color w:val="000000"/>
          <w:spacing w:val="-2"/>
        </w:rPr>
      </w:pPr>
      <w:r>
        <w:rPr>
          <w:b/>
          <w:bCs/>
          <w:color w:val="000000"/>
          <w:spacing w:val="-2"/>
        </w:rPr>
        <w:br w:type="page"/>
      </w:r>
    </w:p>
    <w:p w:rsidR="00B52EE4" w:rsidP="00B52EE4" w14:paraId="4BB886DC" w14:textId="77777777">
      <w:pPr>
        <w:keepLines/>
        <w:tabs>
          <w:tab w:val="num" w:pos="1080"/>
          <w:tab w:val="num" w:pos="1440"/>
        </w:tabs>
        <w:snapToGrid w:val="0"/>
        <w:spacing w:after="120"/>
        <w:rPr>
          <w:b/>
          <w:bCs/>
          <w:color w:val="000000"/>
          <w:spacing w:val="-2"/>
        </w:rPr>
      </w:pPr>
      <w:r>
        <w:rPr>
          <w:b/>
          <w:bCs/>
          <w:color w:val="000000"/>
          <w:spacing w:val="-2"/>
        </w:rPr>
        <w:t>Part II:  FCC File No. 0009223760 Licenses</w:t>
      </w:r>
    </w:p>
    <w:tbl>
      <w:tblPr>
        <w:tblW w:w="9776" w:type="dxa"/>
        <w:jc w:val="center"/>
        <w:tblCellMar>
          <w:top w:w="37" w:type="dxa"/>
          <w:left w:w="30" w:type="dxa"/>
          <w:bottom w:w="16" w:type="dxa"/>
          <w:right w:w="53" w:type="dxa"/>
        </w:tblCellMar>
        <w:tblLook w:val="04A0"/>
      </w:tblPr>
      <w:tblGrid>
        <w:gridCol w:w="4078"/>
        <w:gridCol w:w="2663"/>
        <w:gridCol w:w="3035"/>
      </w:tblGrid>
      <w:tr w14:paraId="1785DEE0" w14:textId="77777777" w:rsidTr="00482FC4">
        <w:tblPrEx>
          <w:tblW w:w="9776" w:type="dxa"/>
          <w:jc w:val="center"/>
          <w:tblCellMar>
            <w:top w:w="37" w:type="dxa"/>
            <w:left w:w="30" w:type="dxa"/>
            <w:bottom w:w="16" w:type="dxa"/>
            <w:right w:w="53" w:type="dxa"/>
          </w:tblCellMar>
          <w:tblLook w:val="04A0"/>
        </w:tblPrEx>
        <w:trPr>
          <w:trHeight w:val="65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vAlign w:val="bottom"/>
          </w:tcPr>
          <w:p w:rsidR="00B52EE4" w:rsidRPr="0071389F" w:rsidP="00482FC4" w14:paraId="011A8BE7" w14:textId="77777777">
            <w:pPr>
              <w:keepLines/>
              <w:ind w:left="26"/>
              <w:rPr>
                <w:b/>
                <w:bCs/>
                <w:szCs w:val="22"/>
              </w:rPr>
            </w:pPr>
            <w:r w:rsidRPr="0071389F">
              <w:rPr>
                <w:b/>
                <w:bCs/>
                <w:szCs w:val="22"/>
              </w:rPr>
              <w:t>Legal Entity Name</w:t>
            </w:r>
          </w:p>
        </w:tc>
        <w:tc>
          <w:tcPr>
            <w:tcW w:w="2663" w:type="dxa"/>
            <w:tcBorders>
              <w:top w:val="single" w:sz="7" w:space="0" w:color="000000"/>
              <w:left w:val="single" w:sz="7" w:space="0" w:color="000000"/>
              <w:bottom w:val="single" w:sz="7" w:space="0" w:color="000000"/>
              <w:right w:val="single" w:sz="7" w:space="0" w:color="000000"/>
            </w:tcBorders>
            <w:shd w:val="clear" w:color="auto" w:fill="auto"/>
            <w:vAlign w:val="bottom"/>
          </w:tcPr>
          <w:p w:rsidR="00B52EE4" w:rsidRPr="0071389F" w:rsidP="00482FC4" w14:paraId="7275D88F" w14:textId="77777777">
            <w:pPr>
              <w:keepLines/>
              <w:ind w:left="3"/>
              <w:rPr>
                <w:b/>
                <w:bCs/>
                <w:szCs w:val="22"/>
              </w:rPr>
            </w:pPr>
            <w:r w:rsidRPr="0071389F">
              <w:rPr>
                <w:b/>
                <w:bCs/>
                <w:szCs w:val="22"/>
              </w:rPr>
              <w:t>Market Number</w:t>
            </w:r>
          </w:p>
        </w:tc>
        <w:tc>
          <w:tcPr>
            <w:tcW w:w="3035" w:type="dxa"/>
            <w:tcBorders>
              <w:top w:val="single" w:sz="7" w:space="0" w:color="000000"/>
              <w:left w:val="single" w:sz="7" w:space="0" w:color="000000"/>
              <w:bottom w:val="single" w:sz="7" w:space="0" w:color="000000"/>
              <w:right w:val="single" w:sz="7" w:space="0" w:color="000000"/>
            </w:tcBorders>
            <w:shd w:val="clear" w:color="auto" w:fill="auto"/>
            <w:vAlign w:val="bottom"/>
          </w:tcPr>
          <w:p w:rsidR="00B52EE4" w:rsidRPr="0071389F" w:rsidP="00482FC4" w14:paraId="2E01D645" w14:textId="77777777">
            <w:pPr>
              <w:keepLines/>
              <w:ind w:left="3"/>
              <w:rPr>
                <w:b/>
                <w:bCs/>
                <w:szCs w:val="22"/>
              </w:rPr>
            </w:pPr>
            <w:r w:rsidRPr="0071389F">
              <w:rPr>
                <w:b/>
                <w:bCs/>
                <w:szCs w:val="22"/>
              </w:rPr>
              <w:t>Market Description</w:t>
            </w:r>
          </w:p>
        </w:tc>
      </w:tr>
      <w:tr w14:paraId="3E57A924"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05C3E7A2" w14:textId="77777777">
            <w:pPr>
              <w:keepLines/>
              <w:ind w:left="5"/>
              <w:rPr>
                <w:szCs w:val="22"/>
              </w:rPr>
            </w:pPr>
            <w:r w:rsidRPr="00C11C38">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4799E46E" w14:textId="77777777">
            <w:pPr>
              <w:keepLines/>
              <w:ind w:left="5"/>
              <w:rPr>
                <w:szCs w:val="22"/>
              </w:rPr>
            </w:pPr>
            <w:r w:rsidRPr="00C11C38">
              <w:rPr>
                <w:rFonts w:eastAsia="Arial"/>
                <w:szCs w:val="22"/>
              </w:rPr>
              <w:t>D30047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75DD1ABD" w14:textId="77777777">
            <w:pPr>
              <w:keepLines/>
              <w:ind w:left="5"/>
              <w:rPr>
                <w:szCs w:val="22"/>
              </w:rPr>
            </w:pPr>
            <w:r w:rsidRPr="00C11C38">
              <w:rPr>
                <w:rFonts w:eastAsia="Arial"/>
                <w:szCs w:val="22"/>
              </w:rPr>
              <w:t>LAKE, MT</w:t>
            </w:r>
          </w:p>
        </w:tc>
      </w:tr>
      <w:tr w14:paraId="0725FBCD"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440093E2" w14:textId="77777777">
            <w:pPr>
              <w:keepLines/>
              <w:ind w:left="5"/>
              <w:rPr>
                <w:szCs w:val="22"/>
              </w:rPr>
            </w:pPr>
            <w:r w:rsidRPr="00C11C38">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65361BB7" w14:textId="77777777">
            <w:pPr>
              <w:keepLines/>
              <w:ind w:left="5"/>
              <w:rPr>
                <w:szCs w:val="22"/>
              </w:rPr>
            </w:pPr>
            <w:r w:rsidRPr="00C11C38">
              <w:rPr>
                <w:rFonts w:eastAsia="Arial"/>
                <w:szCs w:val="22"/>
              </w:rPr>
              <w:t>D30047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67D23AC8" w14:textId="77777777">
            <w:pPr>
              <w:keepLines/>
              <w:ind w:left="5"/>
              <w:rPr>
                <w:szCs w:val="22"/>
              </w:rPr>
            </w:pPr>
            <w:r w:rsidRPr="00C11C38">
              <w:rPr>
                <w:rFonts w:eastAsia="Arial"/>
                <w:szCs w:val="22"/>
              </w:rPr>
              <w:t>LAKE, MT</w:t>
            </w:r>
          </w:p>
        </w:tc>
      </w:tr>
      <w:tr w14:paraId="79F89723"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5739A596" w14:textId="77777777">
            <w:pPr>
              <w:keepLines/>
              <w:ind w:left="5"/>
              <w:rPr>
                <w:szCs w:val="22"/>
              </w:rPr>
            </w:pPr>
            <w:r w:rsidRPr="00C11C38">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59925B95" w14:textId="77777777">
            <w:pPr>
              <w:keepLines/>
              <w:ind w:left="5"/>
              <w:rPr>
                <w:szCs w:val="22"/>
              </w:rPr>
            </w:pPr>
            <w:r w:rsidRPr="00C11C38">
              <w:rPr>
                <w:rFonts w:eastAsia="Arial"/>
                <w:szCs w:val="22"/>
              </w:rPr>
              <w:t>D30047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5ED05924" w14:textId="77777777">
            <w:pPr>
              <w:keepLines/>
              <w:ind w:left="4"/>
              <w:rPr>
                <w:szCs w:val="22"/>
              </w:rPr>
            </w:pPr>
            <w:r w:rsidRPr="00C11C38">
              <w:rPr>
                <w:rFonts w:eastAsia="Arial"/>
                <w:szCs w:val="22"/>
              </w:rPr>
              <w:t>LAKE, MT</w:t>
            </w:r>
          </w:p>
        </w:tc>
      </w:tr>
      <w:tr w14:paraId="3DF33550"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50CB0A7B" w14:textId="77777777">
            <w:pPr>
              <w:keepLines/>
              <w:ind w:left="4"/>
              <w:rPr>
                <w:szCs w:val="22"/>
              </w:rPr>
            </w:pPr>
            <w:r w:rsidRPr="00C11C38">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185DF8C3" w14:textId="77777777">
            <w:pPr>
              <w:keepLines/>
              <w:ind w:left="4"/>
              <w:rPr>
                <w:szCs w:val="22"/>
              </w:rPr>
            </w:pPr>
            <w:r w:rsidRPr="00C11C38">
              <w:rPr>
                <w:rFonts w:eastAsia="Arial"/>
                <w:szCs w:val="22"/>
              </w:rPr>
              <w:t>D30047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681D0FC7" w14:textId="77777777">
            <w:pPr>
              <w:keepLines/>
              <w:ind w:left="4"/>
              <w:rPr>
                <w:szCs w:val="22"/>
              </w:rPr>
            </w:pPr>
            <w:r w:rsidRPr="00C11C38">
              <w:rPr>
                <w:rFonts w:eastAsia="Arial"/>
                <w:szCs w:val="22"/>
              </w:rPr>
              <w:t>LAKE, MT</w:t>
            </w:r>
          </w:p>
        </w:tc>
      </w:tr>
      <w:tr w14:paraId="54906CAD"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365106BE" w14:textId="77777777">
            <w:pPr>
              <w:keepLines/>
              <w:ind w:left="4"/>
              <w:rPr>
                <w:rFonts w:eastAsia="Arial"/>
                <w:szCs w:val="22"/>
              </w:rPr>
            </w:pPr>
            <w:r w:rsidRPr="00C11C38">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5D7C8834" w14:textId="77777777">
            <w:pPr>
              <w:keepLines/>
              <w:ind w:left="4"/>
              <w:rPr>
                <w:rFonts w:eastAsia="Arial"/>
                <w:szCs w:val="22"/>
              </w:rPr>
            </w:pPr>
            <w:r w:rsidRPr="00C11C38">
              <w:rPr>
                <w:rFonts w:eastAsia="Arial"/>
                <w:szCs w:val="22"/>
              </w:rPr>
              <w:t>D30073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0D822349" w14:textId="77777777">
            <w:pPr>
              <w:keepLines/>
              <w:ind w:left="4"/>
              <w:rPr>
                <w:rFonts w:eastAsia="Arial"/>
                <w:szCs w:val="22"/>
              </w:rPr>
            </w:pPr>
            <w:r w:rsidRPr="00C11C38">
              <w:rPr>
                <w:rFonts w:eastAsia="Arial"/>
                <w:szCs w:val="22"/>
              </w:rPr>
              <w:t>PONDERA, MT</w:t>
            </w:r>
          </w:p>
        </w:tc>
      </w:tr>
      <w:tr w14:paraId="2271BCF7"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43A61BCA" w14:textId="77777777">
            <w:pPr>
              <w:keepLines/>
              <w:ind w:left="4"/>
              <w:rPr>
                <w:rFonts w:eastAsia="Arial"/>
                <w:szCs w:val="22"/>
              </w:rPr>
            </w:pPr>
            <w:r w:rsidRPr="00C11C38">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5684E049" w14:textId="77777777">
            <w:pPr>
              <w:keepLines/>
              <w:ind w:left="4"/>
              <w:rPr>
                <w:rFonts w:eastAsia="Arial"/>
                <w:szCs w:val="22"/>
              </w:rPr>
            </w:pPr>
            <w:r w:rsidRPr="00C11C38">
              <w:rPr>
                <w:rFonts w:eastAsia="Arial"/>
                <w:szCs w:val="22"/>
              </w:rPr>
              <w:t>D30073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429D2A6F" w14:textId="77777777">
            <w:pPr>
              <w:keepLines/>
              <w:ind w:left="4"/>
              <w:rPr>
                <w:rFonts w:eastAsia="Arial"/>
                <w:szCs w:val="22"/>
              </w:rPr>
            </w:pPr>
            <w:r w:rsidRPr="00C11C38">
              <w:rPr>
                <w:rFonts w:eastAsia="Arial"/>
                <w:szCs w:val="22"/>
              </w:rPr>
              <w:t>PONDERA, MT</w:t>
            </w:r>
          </w:p>
        </w:tc>
      </w:tr>
      <w:tr w14:paraId="62E60A95"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006B2501" w14:textId="77777777">
            <w:pPr>
              <w:keepLines/>
              <w:ind w:left="4"/>
              <w:rPr>
                <w:rFonts w:eastAsia="Arial"/>
                <w:szCs w:val="22"/>
              </w:rPr>
            </w:pPr>
            <w:r w:rsidRPr="00C11C38">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29773F9A" w14:textId="77777777">
            <w:pPr>
              <w:keepLines/>
              <w:ind w:left="4"/>
              <w:rPr>
                <w:rFonts w:eastAsia="Arial"/>
                <w:szCs w:val="22"/>
              </w:rPr>
            </w:pPr>
            <w:r w:rsidRPr="00C11C38">
              <w:rPr>
                <w:rFonts w:eastAsia="Arial"/>
                <w:szCs w:val="22"/>
              </w:rPr>
              <w:t>D30073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5ECFBF2D" w14:textId="77777777">
            <w:pPr>
              <w:keepLines/>
              <w:ind w:left="4"/>
              <w:rPr>
                <w:rFonts w:eastAsia="Arial"/>
                <w:szCs w:val="22"/>
              </w:rPr>
            </w:pPr>
            <w:r w:rsidRPr="00C11C38">
              <w:rPr>
                <w:rFonts w:eastAsia="Arial"/>
                <w:szCs w:val="22"/>
              </w:rPr>
              <w:t>PONDERA, MT</w:t>
            </w:r>
          </w:p>
        </w:tc>
      </w:tr>
      <w:tr w14:paraId="77E9BB50" w14:textId="77777777" w:rsidTr="00482FC4">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2E30E792" w14:textId="77777777">
            <w:pPr>
              <w:keepLines/>
              <w:ind w:left="4"/>
              <w:rPr>
                <w:rFonts w:eastAsia="Arial"/>
                <w:szCs w:val="22"/>
              </w:rPr>
            </w:pPr>
            <w:r w:rsidRPr="00C11C38">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2530A608" w14:textId="77777777">
            <w:pPr>
              <w:keepLines/>
              <w:ind w:left="4"/>
              <w:rPr>
                <w:rFonts w:eastAsia="Arial"/>
                <w:szCs w:val="22"/>
              </w:rPr>
            </w:pPr>
            <w:r w:rsidRPr="00C11C38">
              <w:rPr>
                <w:rFonts w:eastAsia="Arial"/>
                <w:szCs w:val="22"/>
              </w:rPr>
              <w:t>D30073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B52EE4" w:rsidRPr="00C11C38" w:rsidP="00482FC4" w14:paraId="565E3A27" w14:textId="77777777">
            <w:pPr>
              <w:keepLines/>
              <w:ind w:left="4"/>
              <w:rPr>
                <w:rFonts w:eastAsia="Arial"/>
                <w:szCs w:val="22"/>
              </w:rPr>
            </w:pPr>
            <w:r w:rsidRPr="00C11C38">
              <w:rPr>
                <w:rFonts w:eastAsia="Arial"/>
                <w:szCs w:val="22"/>
              </w:rPr>
              <w:t>PONDERA, MT</w:t>
            </w:r>
          </w:p>
        </w:tc>
      </w:tr>
    </w:tbl>
    <w:p w:rsidR="00B52EE4" w:rsidP="00B52EE4" w14:paraId="5CC3E166" w14:textId="77777777">
      <w:pPr>
        <w:keepLines/>
        <w:rPr>
          <w:b/>
          <w:snapToGrid/>
        </w:rPr>
      </w:pPr>
    </w:p>
    <w:p w:rsidR="00B52EE4" w:rsidRPr="00A7637F" w:rsidP="00B52EE4" w14:paraId="61AAF146" w14:textId="77777777">
      <w:pPr>
        <w:tabs>
          <w:tab w:val="num" w:pos="1080"/>
          <w:tab w:val="num" w:pos="1440"/>
        </w:tabs>
        <w:snapToGrid w:val="0"/>
        <w:spacing w:after="120"/>
        <w:rPr>
          <w:snapToGrid/>
        </w:rPr>
      </w:pPr>
      <w:r>
        <w:rPr>
          <w:snapToGrid/>
        </w:rPr>
        <w:tab/>
      </w:r>
      <w:r w:rsidRPr="00A7637F">
        <w:rPr>
          <w:snapToGrid/>
        </w:rPr>
        <w:t xml:space="preserve">This </w:t>
      </w:r>
      <w:r>
        <w:rPr>
          <w:snapToGrid/>
        </w:rPr>
        <w:t>Modification of Consent Decree</w:t>
      </w:r>
      <w:r w:rsidRPr="00A7637F">
        <w:rPr>
          <w:snapToGrid/>
        </w:rPr>
        <w:t xml:space="preserve"> may be signed in counterpart (including electronically or by facsimile).  Each counterpart, when executed and delivered, shall be an original, and all of the counterparts together shall constitute one and the same fully executed instrument.</w:t>
      </w:r>
    </w:p>
    <w:p w:rsidR="00B52EE4" w:rsidP="00B52EE4" w14:paraId="75F707DB" w14:textId="77777777">
      <w:pPr>
        <w:snapToGrid w:val="0"/>
        <w:rPr>
          <w:b/>
          <w:bCs/>
          <w:snapToGrid/>
          <w:szCs w:val="22"/>
        </w:rPr>
      </w:pPr>
    </w:p>
    <w:p w:rsidR="00B52EE4" w:rsidRPr="0064404E" w:rsidP="00B52EE4" w14:paraId="20F55F50" w14:textId="77777777">
      <w:pPr>
        <w:snapToGrid w:val="0"/>
        <w:rPr>
          <w:b/>
          <w:bCs/>
          <w:snapToGrid/>
          <w:szCs w:val="22"/>
        </w:rPr>
      </w:pPr>
      <w:r w:rsidRPr="0064404E">
        <w:rPr>
          <w:b/>
          <w:bCs/>
          <w:snapToGrid/>
          <w:szCs w:val="22"/>
        </w:rPr>
        <w:t>For the Commission:</w:t>
      </w:r>
    </w:p>
    <w:p w:rsidR="00B52EE4" w:rsidP="00B52EE4" w14:paraId="00563232" w14:textId="77777777">
      <w:pPr>
        <w:snapToGrid w:val="0"/>
        <w:rPr>
          <w:snapToGrid/>
          <w:szCs w:val="22"/>
        </w:rPr>
      </w:pPr>
    </w:p>
    <w:p w:rsidR="00B52EE4" w:rsidP="00B52EE4" w14:paraId="05D04923" w14:textId="77777777">
      <w:pPr>
        <w:snapToGrid w:val="0"/>
        <w:rPr>
          <w:snapToGrid/>
          <w:szCs w:val="22"/>
          <w:lang w:val="fr-FR"/>
        </w:rPr>
      </w:pPr>
    </w:p>
    <w:p w:rsidR="00B52EE4" w:rsidP="00B52EE4" w14:paraId="22927432" w14:textId="77777777">
      <w:pPr>
        <w:snapToGrid w:val="0"/>
        <w:rPr>
          <w:snapToGrid/>
          <w:szCs w:val="22"/>
          <w:lang w:val="fr-FR"/>
        </w:rPr>
      </w:pPr>
    </w:p>
    <w:p w:rsidR="00B52EE4" w:rsidP="00B52EE4" w14:paraId="67807804" w14:textId="77777777">
      <w:pPr>
        <w:snapToGrid w:val="0"/>
        <w:rPr>
          <w:snapToGrid/>
          <w:szCs w:val="22"/>
          <w:lang w:val="fr-FR"/>
        </w:rPr>
      </w:pPr>
    </w:p>
    <w:p w:rsidR="00B52EE4" w:rsidRPr="00A222B5" w:rsidP="00B52EE4" w14:paraId="468920E9" w14:textId="77777777">
      <w:pPr>
        <w:snapToGrid w:val="0"/>
        <w:rPr>
          <w:snapToGrid/>
          <w:szCs w:val="22"/>
        </w:rPr>
      </w:pPr>
      <w:r>
        <w:rPr>
          <w:snapToGrid/>
          <w:szCs w:val="22"/>
          <w:lang w:val="fr-FR"/>
        </w:rPr>
        <w:t>Giulia McHenry</w:t>
      </w:r>
      <w:r w:rsidRPr="00A222B5">
        <w:rPr>
          <w:snapToGrid/>
          <w:szCs w:val="22"/>
          <w:lang w:val="fr-FR"/>
        </w:rPr>
        <w:t xml:space="preserve">, </w:t>
      </w:r>
      <w:r w:rsidRPr="00A222B5">
        <w:rPr>
          <w:snapToGrid/>
          <w:szCs w:val="22"/>
        </w:rPr>
        <w:t>Chief</w:t>
      </w:r>
    </w:p>
    <w:p w:rsidR="00B52EE4" w:rsidP="00B52EE4" w14:paraId="15C05893" w14:textId="77777777">
      <w:pPr>
        <w:snapToGrid w:val="0"/>
        <w:rPr>
          <w:snapToGrid/>
          <w:szCs w:val="22"/>
        </w:rPr>
      </w:pPr>
      <w:r>
        <w:rPr>
          <w:snapToGrid/>
          <w:szCs w:val="22"/>
        </w:rPr>
        <w:t>Office of Economics and Analytics</w:t>
      </w:r>
    </w:p>
    <w:p w:rsidR="00B52EE4" w:rsidP="00B52EE4" w14:paraId="0F12AF49" w14:textId="77777777">
      <w:pPr>
        <w:snapToGrid w:val="0"/>
        <w:rPr>
          <w:snapToGrid/>
          <w:szCs w:val="22"/>
        </w:rPr>
      </w:pPr>
    </w:p>
    <w:p w:rsidR="00B52EE4" w:rsidP="00B52EE4" w14:paraId="5ADB399E" w14:textId="77777777">
      <w:pPr>
        <w:snapToGrid w:val="0"/>
        <w:rPr>
          <w:snapToGrid/>
          <w:szCs w:val="22"/>
        </w:rPr>
      </w:pPr>
      <w:r w:rsidRPr="00A222B5">
        <w:rPr>
          <w:snapToGrid/>
          <w:szCs w:val="22"/>
        </w:rPr>
        <w:t>Date</w:t>
      </w:r>
      <w:r>
        <w:rPr>
          <w:snapToGrid/>
          <w:szCs w:val="22"/>
        </w:rPr>
        <w:t xml:space="preserve">:  </w:t>
      </w:r>
    </w:p>
    <w:p w:rsidR="00B52EE4" w:rsidP="00B52EE4" w14:paraId="273E41C9" w14:textId="77777777">
      <w:pPr>
        <w:snapToGrid w:val="0"/>
        <w:rPr>
          <w:snapToGrid/>
          <w:szCs w:val="22"/>
        </w:rPr>
      </w:pPr>
    </w:p>
    <w:p w:rsidR="00B52EE4" w:rsidP="00B52EE4" w14:paraId="1A6E7844" w14:textId="77777777">
      <w:pPr>
        <w:snapToGrid w:val="0"/>
        <w:rPr>
          <w:snapToGrid/>
          <w:szCs w:val="22"/>
        </w:rPr>
      </w:pPr>
    </w:p>
    <w:p w:rsidR="00B52EE4" w:rsidP="00B52EE4" w14:paraId="1B087DAE" w14:textId="77777777">
      <w:pPr>
        <w:snapToGrid w:val="0"/>
        <w:rPr>
          <w:snapToGrid/>
          <w:szCs w:val="22"/>
        </w:rPr>
      </w:pPr>
    </w:p>
    <w:p w:rsidR="00B52EE4" w:rsidRPr="00A222B5" w:rsidP="00B52EE4" w14:paraId="2FCA3FCC" w14:textId="77777777">
      <w:pPr>
        <w:snapToGrid w:val="0"/>
        <w:rPr>
          <w:snapToGrid/>
          <w:szCs w:val="22"/>
        </w:rPr>
      </w:pPr>
      <w:r>
        <w:rPr>
          <w:snapToGrid/>
          <w:szCs w:val="22"/>
          <w:lang w:val="fr-FR"/>
        </w:rPr>
        <w:t>Joel Taubenblatt</w:t>
      </w:r>
      <w:r w:rsidRPr="00A222B5">
        <w:rPr>
          <w:snapToGrid/>
          <w:szCs w:val="22"/>
          <w:lang w:val="fr-FR"/>
        </w:rPr>
        <w:t xml:space="preserve">, </w:t>
      </w:r>
      <w:r>
        <w:rPr>
          <w:snapToGrid/>
          <w:szCs w:val="22"/>
          <w:lang w:val="fr-FR"/>
        </w:rPr>
        <w:t xml:space="preserve">Acting </w:t>
      </w:r>
      <w:r w:rsidRPr="00A222B5">
        <w:rPr>
          <w:snapToGrid/>
          <w:szCs w:val="22"/>
        </w:rPr>
        <w:t>Chief</w:t>
      </w:r>
    </w:p>
    <w:p w:rsidR="00B52EE4" w:rsidP="00B52EE4" w14:paraId="7CFE48CD" w14:textId="77777777">
      <w:pPr>
        <w:snapToGrid w:val="0"/>
        <w:rPr>
          <w:snapToGrid/>
          <w:szCs w:val="22"/>
        </w:rPr>
      </w:pPr>
      <w:r>
        <w:rPr>
          <w:snapToGrid/>
          <w:szCs w:val="22"/>
        </w:rPr>
        <w:t>Wireless Telecommunications</w:t>
      </w:r>
      <w:r w:rsidRPr="00A222B5">
        <w:rPr>
          <w:snapToGrid/>
          <w:szCs w:val="22"/>
        </w:rPr>
        <w:t xml:space="preserve"> Bureau</w:t>
      </w:r>
    </w:p>
    <w:p w:rsidR="00B52EE4" w:rsidRPr="00A222B5" w:rsidP="00B52EE4" w14:paraId="423BDC8E" w14:textId="77777777">
      <w:pPr>
        <w:snapToGrid w:val="0"/>
        <w:rPr>
          <w:snapToGrid/>
          <w:szCs w:val="22"/>
        </w:rPr>
      </w:pPr>
    </w:p>
    <w:p w:rsidR="00B52EE4" w:rsidRPr="00A222B5" w:rsidP="00B52EE4" w14:paraId="0D8905A3" w14:textId="77777777">
      <w:pPr>
        <w:snapToGrid w:val="0"/>
        <w:rPr>
          <w:snapToGrid/>
          <w:szCs w:val="22"/>
        </w:rPr>
      </w:pPr>
      <w:r w:rsidRPr="00A222B5">
        <w:rPr>
          <w:snapToGrid/>
          <w:szCs w:val="22"/>
        </w:rPr>
        <w:t>Date</w:t>
      </w:r>
      <w:r>
        <w:rPr>
          <w:snapToGrid/>
          <w:szCs w:val="22"/>
        </w:rPr>
        <w:t xml:space="preserve">:  </w:t>
      </w:r>
    </w:p>
    <w:p w:rsidR="00B52EE4" w:rsidP="00B52EE4" w14:paraId="5CA9EDB8" w14:textId="77777777">
      <w:pPr>
        <w:snapToGrid w:val="0"/>
        <w:rPr>
          <w:snapToGrid/>
          <w:szCs w:val="22"/>
        </w:rPr>
      </w:pPr>
    </w:p>
    <w:p w:rsidR="00B52EE4" w:rsidRPr="00A222B5" w:rsidP="00B52EE4" w14:paraId="7E118BD3" w14:textId="77777777">
      <w:pPr>
        <w:snapToGrid w:val="0"/>
        <w:rPr>
          <w:snapToGrid/>
          <w:szCs w:val="22"/>
        </w:rPr>
      </w:pPr>
    </w:p>
    <w:p w:rsidR="00B52EE4" w:rsidP="00B52EE4" w14:paraId="022E11A5" w14:textId="77777777">
      <w:pPr>
        <w:snapToGrid w:val="0"/>
        <w:rPr>
          <w:snapToGrid/>
          <w:szCs w:val="22"/>
        </w:rPr>
      </w:pPr>
    </w:p>
    <w:p w:rsidR="00B52EE4" w:rsidRPr="00A222B5" w:rsidP="00B52EE4" w14:paraId="3C67A150" w14:textId="77777777">
      <w:pPr>
        <w:snapToGrid w:val="0"/>
        <w:rPr>
          <w:snapToGrid/>
          <w:szCs w:val="22"/>
        </w:rPr>
      </w:pPr>
    </w:p>
    <w:p w:rsidR="00B52EE4" w:rsidRPr="00496975" w:rsidP="00B52EE4" w14:paraId="6EA440A5" w14:textId="77777777">
      <w:pPr>
        <w:snapToGrid w:val="0"/>
      </w:pPr>
      <w:r w:rsidRPr="0064404E">
        <w:rPr>
          <w:b/>
          <w:bCs/>
          <w:snapToGrid/>
          <w:szCs w:val="22"/>
        </w:rPr>
        <w:t xml:space="preserve">For </w:t>
      </w:r>
      <w:r w:rsidRPr="0071389F">
        <w:rPr>
          <w:b/>
          <w:bCs/>
          <w:snapToGrid/>
          <w:szCs w:val="22"/>
        </w:rPr>
        <w:t>SAL Spectrum, LL</w:t>
      </w:r>
      <w:r w:rsidRPr="00F86C66">
        <w:rPr>
          <w:b/>
          <w:bCs/>
          <w:snapToGrid/>
          <w:szCs w:val="22"/>
        </w:rPr>
        <w:t>C:</w:t>
      </w:r>
    </w:p>
    <w:p w:rsidR="00B52EE4" w:rsidRPr="00A222B5" w:rsidP="00B52EE4" w14:paraId="2E50EED5" w14:textId="77777777">
      <w:pPr>
        <w:snapToGrid w:val="0"/>
        <w:rPr>
          <w:snapToGrid/>
          <w:szCs w:val="22"/>
        </w:rPr>
      </w:pPr>
    </w:p>
    <w:p w:rsidR="00B52EE4" w:rsidRPr="00A222B5" w:rsidP="00B52EE4" w14:paraId="71E722A4" w14:textId="77777777">
      <w:pPr>
        <w:snapToGrid w:val="0"/>
        <w:rPr>
          <w:snapToGrid/>
          <w:szCs w:val="22"/>
        </w:rPr>
      </w:pPr>
    </w:p>
    <w:p w:rsidR="00B52EE4" w:rsidP="00B52EE4" w14:paraId="4B28CF6F" w14:textId="77777777">
      <w:pPr>
        <w:snapToGrid w:val="0"/>
        <w:rPr>
          <w:snapToGrid/>
          <w:szCs w:val="22"/>
        </w:rPr>
      </w:pPr>
    </w:p>
    <w:p w:rsidR="00B52EE4" w:rsidRPr="00A222B5" w:rsidP="00B52EE4" w14:paraId="77AAB7DA" w14:textId="77777777">
      <w:pPr>
        <w:snapToGrid w:val="0"/>
        <w:rPr>
          <w:snapToGrid/>
          <w:szCs w:val="22"/>
        </w:rPr>
      </w:pPr>
    </w:p>
    <w:p w:rsidR="00B52EE4" w:rsidP="00B52EE4" w14:paraId="6B5C20ED" w14:textId="77777777">
      <w:pPr>
        <w:snapToGrid w:val="0"/>
      </w:pPr>
      <w:r>
        <w:t xml:space="preserve">Rohan Ranaraja </w:t>
      </w:r>
    </w:p>
    <w:p w:rsidR="00B52EE4" w:rsidP="00B52EE4" w14:paraId="48681251" w14:textId="77777777">
      <w:pPr>
        <w:snapToGrid w:val="0"/>
        <w:rPr>
          <w:snapToGrid/>
          <w:szCs w:val="22"/>
        </w:rPr>
      </w:pPr>
      <w:r>
        <w:t>Executive Director, Regulatory</w:t>
      </w:r>
      <w:r>
        <w:rPr>
          <w:snapToGrid/>
          <w:szCs w:val="22"/>
        </w:rPr>
        <w:t xml:space="preserve"> </w:t>
      </w:r>
    </w:p>
    <w:p w:rsidR="00B52EE4" w:rsidRPr="00A222B5" w:rsidP="00B52EE4" w14:paraId="5B938EC2" w14:textId="77777777">
      <w:pPr>
        <w:snapToGrid w:val="0"/>
        <w:rPr>
          <w:snapToGrid/>
          <w:szCs w:val="22"/>
        </w:rPr>
      </w:pPr>
      <w:r>
        <w:rPr>
          <w:snapToGrid/>
          <w:szCs w:val="22"/>
        </w:rPr>
        <w:t>SAL Spectrum, LLC</w:t>
      </w:r>
    </w:p>
    <w:p w:rsidR="00B52EE4" w:rsidRPr="00A222B5" w:rsidP="00B52EE4" w14:paraId="46D88071" w14:textId="77777777">
      <w:pPr>
        <w:snapToGrid w:val="0"/>
        <w:rPr>
          <w:snapToGrid/>
          <w:szCs w:val="22"/>
        </w:rPr>
      </w:pPr>
    </w:p>
    <w:p w:rsidR="00412FC5" w:rsidP="00B52EE4" w14:paraId="27AED5FA" w14:textId="50112C32">
      <w:pPr>
        <w:snapToGrid w:val="0"/>
      </w:pPr>
      <w:r w:rsidRPr="00A222B5">
        <w:rPr>
          <w:snapToGrid/>
          <w:szCs w:val="22"/>
        </w:rPr>
        <w:t>Date</w:t>
      </w:r>
      <w:r>
        <w:rPr>
          <w:snapToGrid/>
          <w:szCs w:val="22"/>
        </w:rPr>
        <w:t xml:space="preserve">: </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6F" w14:paraId="17965D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2EE4" w:rsidRPr="00B52EE4" w14:paraId="46E4D9D8" w14:textId="71F3FC76">
    <w:pPr>
      <w:pStyle w:val="Footer"/>
      <w:jc w:val="center"/>
      <w:rPr>
        <w:szCs w:val="22"/>
      </w:rPr>
    </w:pPr>
    <w:r w:rsidRPr="00B52EE4">
      <w:rPr>
        <w:szCs w:val="22"/>
      </w:rPr>
      <w:fldChar w:fldCharType="begin"/>
    </w:r>
    <w:r w:rsidRPr="00B52EE4">
      <w:rPr>
        <w:szCs w:val="22"/>
      </w:rPr>
      <w:instrText xml:space="preserve"> PAGE   \* MERGEFORMAT </w:instrText>
    </w:r>
    <w:r w:rsidRPr="00B52EE4">
      <w:rPr>
        <w:szCs w:val="22"/>
      </w:rPr>
      <w:fldChar w:fldCharType="separate"/>
    </w:r>
    <w:r w:rsidRPr="00B52EE4">
      <w:rPr>
        <w:noProof/>
        <w:szCs w:val="22"/>
      </w:rPr>
      <w:t>2</w:t>
    </w:r>
    <w:r w:rsidRPr="00B52EE4">
      <w:rPr>
        <w:noProof/>
        <w:szCs w:val="22"/>
      </w:rPr>
      <w:fldChar w:fldCharType="end"/>
    </w:r>
  </w:p>
  <w:p w:rsidR="00B52EE4" w14:paraId="54860A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2EE4" w:rsidP="00C92A2E" w14:paraId="59F3D6E2"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1697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CAE1C1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907A0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4B52CB6"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FA88F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2EE4" w14:paraId="7953A764" w14:textId="77777777">
      <w:r>
        <w:separator/>
      </w:r>
    </w:p>
  </w:footnote>
  <w:footnote w:type="continuationSeparator" w:id="1">
    <w:p w:rsidR="00B52EE4" w:rsidP="00C721AC" w14:paraId="391D249F" w14:textId="77777777">
      <w:pPr>
        <w:spacing w:before="120"/>
        <w:rPr>
          <w:sz w:val="20"/>
        </w:rPr>
      </w:pPr>
      <w:r>
        <w:rPr>
          <w:sz w:val="20"/>
        </w:rPr>
        <w:t xml:space="preserve">(Continued from previous page)  </w:t>
      </w:r>
      <w:r>
        <w:rPr>
          <w:sz w:val="20"/>
        </w:rPr>
        <w:separator/>
      </w:r>
    </w:p>
  </w:footnote>
  <w:footnote w:type="continuationNotice" w:id="2">
    <w:p w:rsidR="00B52EE4" w:rsidP="00C721AC" w14:paraId="1DF68103" w14:textId="77777777">
      <w:pPr>
        <w:jc w:val="right"/>
        <w:rPr>
          <w:sz w:val="20"/>
        </w:rPr>
      </w:pPr>
      <w:r>
        <w:rPr>
          <w:sz w:val="20"/>
        </w:rPr>
        <w:t>(continued….)</w:t>
      </w:r>
    </w:p>
  </w:footnote>
  <w:footnote w:id="3">
    <w:p w:rsidR="00B52EE4" w:rsidP="00B52EE4" w14:paraId="40863A1D" w14:textId="77777777">
      <w:pPr>
        <w:pStyle w:val="FootnoteText"/>
      </w:pPr>
      <w:r>
        <w:rPr>
          <w:rStyle w:val="FootnoteReference"/>
        </w:rPr>
        <w:footnoteRef/>
      </w:r>
      <w:r>
        <w:t xml:space="preserve"> All eight Implicated Licenses associated with File No. 0009223760 are shown here in the Part II chart, below.  All the other Implicated Licenses are associated with File No. 0009223630.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6F" w14:paraId="252433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2EE4" w:rsidP="00C92A2E" w14:paraId="78704199" w14:textId="0416F9A2">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DA 22-788</w:t>
    </w:r>
  </w:p>
  <w:p w:rsidR="00B52EE4" w14:paraId="05918D5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2EE4" w:rsidP="00C92A2E" w14:paraId="68D8C746" w14:textId="6DDF25C3">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t>DA 22-788</w:t>
    </w:r>
  </w:p>
  <w:p w:rsidR="00B52EE4" w14:paraId="5F61AE0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939927" w14:textId="0BE973A3">
    <w:pPr>
      <w:pStyle w:val="Header"/>
      <w:rPr>
        <w:b w:val="0"/>
      </w:rPr>
    </w:pPr>
    <w:r>
      <w:tab/>
      <w:t>Federal Communications Commission</w:t>
    </w:r>
    <w:r>
      <w:tab/>
    </w:r>
    <w:r w:rsidR="00C7736F">
      <w:rPr>
        <w:spacing w:val="-2"/>
      </w:rPr>
      <w:t xml:space="preserve">DA </w:t>
    </w:r>
    <w:r w:rsidR="00C7736F">
      <w:rPr>
        <w:spacing w:val="-2"/>
      </w:rPr>
      <w:t>22-788</w:t>
    </w:r>
  </w:p>
  <w:p w:rsidR="00D25FB5" w14:paraId="1D672C8F"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1A25370E"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363CFC" w14:textId="45BC4B13">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52EE4">
      <w:rPr>
        <w:spacing w:val="-2"/>
      </w:rPr>
      <w:t>DA 22-788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BDDC2AEA"/>
    <w:lvl w:ilvl="0">
      <w:start w:val="1"/>
      <w:numFmt w:val="decimal"/>
      <w:lvlText w:val="%1."/>
      <w:lvlJc w:val="left"/>
      <w:rPr>
        <w:rFonts w:ascii="Times New Roman" w:eastAsia="Times New Roman" w:hAnsi="Times New Roman" w:cs="Times New Roman"/>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E4"/>
    <w:rsid w:val="00036039"/>
    <w:rsid w:val="00037F90"/>
    <w:rsid w:val="000875BF"/>
    <w:rsid w:val="00096D8C"/>
    <w:rsid w:val="000B03A6"/>
    <w:rsid w:val="000C0B65"/>
    <w:rsid w:val="000C70A4"/>
    <w:rsid w:val="000E05FE"/>
    <w:rsid w:val="000E3D42"/>
    <w:rsid w:val="00122BD5"/>
    <w:rsid w:val="00132E54"/>
    <w:rsid w:val="00133F79"/>
    <w:rsid w:val="0019352A"/>
    <w:rsid w:val="00194A66"/>
    <w:rsid w:val="001A1DB6"/>
    <w:rsid w:val="001D6BCF"/>
    <w:rsid w:val="001E01CA"/>
    <w:rsid w:val="002609F0"/>
    <w:rsid w:val="00275CF5"/>
    <w:rsid w:val="0028301F"/>
    <w:rsid w:val="00285017"/>
    <w:rsid w:val="002A2D2E"/>
    <w:rsid w:val="002B1EE4"/>
    <w:rsid w:val="002C00E8"/>
    <w:rsid w:val="00343749"/>
    <w:rsid w:val="0035070A"/>
    <w:rsid w:val="0035422C"/>
    <w:rsid w:val="003660ED"/>
    <w:rsid w:val="003864AA"/>
    <w:rsid w:val="003B0550"/>
    <w:rsid w:val="003B2818"/>
    <w:rsid w:val="003B694F"/>
    <w:rsid w:val="003E42B6"/>
    <w:rsid w:val="003F171C"/>
    <w:rsid w:val="004047C7"/>
    <w:rsid w:val="00412FC5"/>
    <w:rsid w:val="00422276"/>
    <w:rsid w:val="004242F1"/>
    <w:rsid w:val="00445A00"/>
    <w:rsid w:val="00451B0F"/>
    <w:rsid w:val="00482FC4"/>
    <w:rsid w:val="004878C1"/>
    <w:rsid w:val="00496975"/>
    <w:rsid w:val="004C2EE3"/>
    <w:rsid w:val="004E4A22"/>
    <w:rsid w:val="00511968"/>
    <w:rsid w:val="00513DFB"/>
    <w:rsid w:val="005241F5"/>
    <w:rsid w:val="0055614C"/>
    <w:rsid w:val="00566D06"/>
    <w:rsid w:val="00575DF7"/>
    <w:rsid w:val="005C1198"/>
    <w:rsid w:val="005C3068"/>
    <w:rsid w:val="005E14C2"/>
    <w:rsid w:val="00605F13"/>
    <w:rsid w:val="00607BA5"/>
    <w:rsid w:val="0061180A"/>
    <w:rsid w:val="00626EB6"/>
    <w:rsid w:val="0064404E"/>
    <w:rsid w:val="00655D03"/>
    <w:rsid w:val="006636ED"/>
    <w:rsid w:val="006751BD"/>
    <w:rsid w:val="00683388"/>
    <w:rsid w:val="00683F84"/>
    <w:rsid w:val="006A4B93"/>
    <w:rsid w:val="006A6A81"/>
    <w:rsid w:val="006A7BC2"/>
    <w:rsid w:val="006F7393"/>
    <w:rsid w:val="0070224F"/>
    <w:rsid w:val="007115F7"/>
    <w:rsid w:val="0071389F"/>
    <w:rsid w:val="00765C5B"/>
    <w:rsid w:val="00777CCD"/>
    <w:rsid w:val="00785689"/>
    <w:rsid w:val="0078578D"/>
    <w:rsid w:val="0079754B"/>
    <w:rsid w:val="007A1E6D"/>
    <w:rsid w:val="007B0EB2"/>
    <w:rsid w:val="007C6292"/>
    <w:rsid w:val="00810B6F"/>
    <w:rsid w:val="00822CE0"/>
    <w:rsid w:val="00841AB1"/>
    <w:rsid w:val="008C68F1"/>
    <w:rsid w:val="00921803"/>
    <w:rsid w:val="00926503"/>
    <w:rsid w:val="009576F0"/>
    <w:rsid w:val="009726D8"/>
    <w:rsid w:val="009D7308"/>
    <w:rsid w:val="009F76DB"/>
    <w:rsid w:val="00A222B5"/>
    <w:rsid w:val="00A32C3B"/>
    <w:rsid w:val="00A45F4F"/>
    <w:rsid w:val="00A600A9"/>
    <w:rsid w:val="00A7637F"/>
    <w:rsid w:val="00AA55B7"/>
    <w:rsid w:val="00AA5B9E"/>
    <w:rsid w:val="00AB2407"/>
    <w:rsid w:val="00AB53DF"/>
    <w:rsid w:val="00AE79E4"/>
    <w:rsid w:val="00B07E5C"/>
    <w:rsid w:val="00B52EE4"/>
    <w:rsid w:val="00B811F7"/>
    <w:rsid w:val="00BA5DC6"/>
    <w:rsid w:val="00BA6196"/>
    <w:rsid w:val="00BB42D6"/>
    <w:rsid w:val="00BC6D8C"/>
    <w:rsid w:val="00C03C9D"/>
    <w:rsid w:val="00C11C38"/>
    <w:rsid w:val="00C34006"/>
    <w:rsid w:val="00C36B4C"/>
    <w:rsid w:val="00C426B1"/>
    <w:rsid w:val="00C66160"/>
    <w:rsid w:val="00C721AC"/>
    <w:rsid w:val="00C7736F"/>
    <w:rsid w:val="00C90D6A"/>
    <w:rsid w:val="00C92A2E"/>
    <w:rsid w:val="00CA247E"/>
    <w:rsid w:val="00CA6D21"/>
    <w:rsid w:val="00CC72B6"/>
    <w:rsid w:val="00CF4E2A"/>
    <w:rsid w:val="00D00E70"/>
    <w:rsid w:val="00D0218D"/>
    <w:rsid w:val="00D25FB5"/>
    <w:rsid w:val="00D44223"/>
    <w:rsid w:val="00DA2529"/>
    <w:rsid w:val="00DB130A"/>
    <w:rsid w:val="00DB2EBB"/>
    <w:rsid w:val="00DC10A1"/>
    <w:rsid w:val="00DC655F"/>
    <w:rsid w:val="00DD0B59"/>
    <w:rsid w:val="00DD7EBD"/>
    <w:rsid w:val="00DF17CE"/>
    <w:rsid w:val="00DF62B6"/>
    <w:rsid w:val="00E037B7"/>
    <w:rsid w:val="00E07225"/>
    <w:rsid w:val="00E5409F"/>
    <w:rsid w:val="00E55968"/>
    <w:rsid w:val="00E71F43"/>
    <w:rsid w:val="00E9118F"/>
    <w:rsid w:val="00EE6488"/>
    <w:rsid w:val="00EF7B09"/>
    <w:rsid w:val="00F021FA"/>
    <w:rsid w:val="00F262D2"/>
    <w:rsid w:val="00F613E8"/>
    <w:rsid w:val="00F62E97"/>
    <w:rsid w:val="00F64209"/>
    <w:rsid w:val="00F6471F"/>
    <w:rsid w:val="00F86C66"/>
    <w:rsid w:val="00F93BF5"/>
    <w:rsid w:val="00F93E62"/>
    <w:rsid w:val="1FC0EB3A"/>
    <w:rsid w:val="51D1539A"/>
    <w:rsid w:val="53D1C891"/>
    <w:rsid w:val="710053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75A55B"/>
  <w15:chartTrackingRefBased/>
  <w15:docId w15:val="{80EC245D-0727-49DC-9082-DFB4AE9E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B52EE4"/>
  </w:style>
  <w:style w:type="character" w:customStyle="1" w:styleId="ParaNumChar">
    <w:name w:val="ParaNum Char"/>
    <w:link w:val="ParaNum"/>
    <w:rsid w:val="00B52EE4"/>
    <w:rPr>
      <w:snapToGrid w:val="0"/>
      <w:kern w:val="28"/>
      <w:sz w:val="22"/>
    </w:rPr>
  </w:style>
  <w:style w:type="character" w:customStyle="1" w:styleId="HeaderChar">
    <w:name w:val="Header Char"/>
    <w:link w:val="Header"/>
    <w:rsid w:val="00B52EE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