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776A6302" w14:textId="77777777">
      <w:pPr>
        <w:jc w:val="right"/>
        <w:rPr>
          <w:sz w:val="24"/>
        </w:rPr>
      </w:pPr>
    </w:p>
    <w:p w:rsidR="00013A8B" w:rsidRPr="00590368" w:rsidP="00013A8B" w14:paraId="47653EAF" w14:textId="3CE84F5F">
      <w:pPr>
        <w:jc w:val="right"/>
        <w:rPr>
          <w:b/>
          <w:sz w:val="24"/>
          <w:szCs w:val="24"/>
        </w:rPr>
      </w:pPr>
      <w:r w:rsidRPr="00590368">
        <w:rPr>
          <w:b/>
          <w:sz w:val="24"/>
          <w:szCs w:val="24"/>
        </w:rPr>
        <w:t xml:space="preserve">DA </w:t>
      </w:r>
      <w:r w:rsidR="00C33A42">
        <w:rPr>
          <w:b/>
          <w:sz w:val="24"/>
          <w:szCs w:val="24"/>
        </w:rPr>
        <w:t>2</w:t>
      </w:r>
      <w:r w:rsidR="00843358">
        <w:rPr>
          <w:b/>
          <w:sz w:val="24"/>
          <w:szCs w:val="24"/>
        </w:rPr>
        <w:t>2</w:t>
      </w:r>
      <w:r w:rsidRPr="00590368">
        <w:rPr>
          <w:b/>
          <w:sz w:val="24"/>
          <w:szCs w:val="24"/>
        </w:rPr>
        <w:t>-</w:t>
      </w:r>
      <w:r w:rsidR="00BE6DF9">
        <w:rPr>
          <w:b/>
          <w:sz w:val="24"/>
          <w:szCs w:val="24"/>
        </w:rPr>
        <w:t>79</w:t>
      </w:r>
    </w:p>
    <w:p w:rsidR="00013A8B" w:rsidRPr="00590368" w:rsidP="00013A8B" w14:paraId="12229C43" w14:textId="74C761F3">
      <w:pPr>
        <w:spacing w:before="60"/>
        <w:jc w:val="right"/>
        <w:rPr>
          <w:b/>
          <w:sz w:val="24"/>
          <w:szCs w:val="24"/>
        </w:rPr>
      </w:pPr>
      <w:r w:rsidRPr="00590368">
        <w:rPr>
          <w:b/>
          <w:sz w:val="24"/>
          <w:szCs w:val="24"/>
        </w:rPr>
        <w:t xml:space="preserve">Released:  </w:t>
      </w:r>
      <w:r w:rsidR="00843358">
        <w:rPr>
          <w:b/>
          <w:sz w:val="24"/>
          <w:szCs w:val="24"/>
        </w:rPr>
        <w:t>January 24</w:t>
      </w:r>
      <w:r w:rsidRPr="00590368" w:rsidR="00D653FE">
        <w:rPr>
          <w:b/>
          <w:sz w:val="24"/>
          <w:szCs w:val="24"/>
        </w:rPr>
        <w:t>, 202</w:t>
      </w:r>
      <w:r w:rsidR="00843358">
        <w:rPr>
          <w:b/>
          <w:sz w:val="24"/>
          <w:szCs w:val="24"/>
        </w:rPr>
        <w:t>2</w:t>
      </w:r>
    </w:p>
    <w:p w:rsidR="00013A8B" w:rsidRPr="00590368" w:rsidP="00013A8B" w14:paraId="54D18444" w14:textId="77777777">
      <w:pPr>
        <w:jc w:val="right"/>
        <w:rPr>
          <w:sz w:val="24"/>
          <w:szCs w:val="24"/>
        </w:rPr>
      </w:pPr>
    </w:p>
    <w:p w:rsidR="006D7B43" w:rsidRPr="00590368" w:rsidP="006D7B43" w14:paraId="04CBFAF3" w14:textId="77777777">
      <w:pPr>
        <w:jc w:val="center"/>
        <w:rPr>
          <w:b/>
          <w:bCs/>
          <w:sz w:val="24"/>
          <w:szCs w:val="24"/>
        </w:rPr>
      </w:pPr>
      <w:r w:rsidRPr="00590368">
        <w:rPr>
          <w:b/>
          <w:bCs/>
          <w:sz w:val="24"/>
          <w:szCs w:val="24"/>
        </w:rPr>
        <w:t xml:space="preserve">WIRELESS TELECOMMUNICATIONS BUREAU APPROVES </w:t>
      </w:r>
    </w:p>
    <w:p w:rsidR="006D7B43" w:rsidRPr="00590368" w:rsidP="006D7B43" w14:paraId="2066F261" w14:textId="7529142A">
      <w:pPr>
        <w:jc w:val="center"/>
        <w:rPr>
          <w:b/>
          <w:bCs/>
          <w:sz w:val="24"/>
          <w:szCs w:val="24"/>
        </w:rPr>
      </w:pPr>
      <w:r w:rsidRPr="00590368">
        <w:rPr>
          <w:b/>
          <w:bCs/>
          <w:sz w:val="24"/>
          <w:szCs w:val="24"/>
        </w:rPr>
        <w:t>WITHDRAWAL OF P</w:t>
      </w:r>
      <w:r w:rsidRPr="00590368" w:rsidR="004B1E45">
        <w:rPr>
          <w:b/>
          <w:bCs/>
          <w:sz w:val="24"/>
          <w:szCs w:val="24"/>
        </w:rPr>
        <w:t>ETITION FOR RECONSIDERATION</w:t>
      </w:r>
    </w:p>
    <w:p w:rsidR="00D653FE" w:rsidRPr="00590368" w:rsidP="006D7B43" w14:paraId="207FFDAD" w14:textId="69339708">
      <w:pPr>
        <w:jc w:val="center"/>
        <w:rPr>
          <w:b/>
          <w:bCs/>
          <w:sz w:val="24"/>
          <w:szCs w:val="24"/>
        </w:rPr>
      </w:pPr>
    </w:p>
    <w:p w:rsidR="00D653FE" w:rsidRPr="00590368" w:rsidP="006D7B43" w14:paraId="7B360F27" w14:textId="377C9FFA">
      <w:pPr>
        <w:jc w:val="center"/>
        <w:rPr>
          <w:b/>
          <w:bCs/>
          <w:sz w:val="24"/>
          <w:szCs w:val="24"/>
        </w:rPr>
      </w:pPr>
      <w:r w:rsidRPr="00590368">
        <w:rPr>
          <w:b/>
          <w:bCs/>
          <w:sz w:val="24"/>
          <w:szCs w:val="24"/>
        </w:rPr>
        <w:t>WT Docket 13-59</w:t>
      </w:r>
    </w:p>
    <w:p w:rsidR="00F96F63" w:rsidRPr="00930ECF" w:rsidP="006D7B43" w14:paraId="57722441" w14:textId="30943E6C">
      <w:pPr>
        <w:tabs>
          <w:tab w:val="left" w:pos="923"/>
        </w:tabs>
        <w:rPr>
          <w:sz w:val="24"/>
        </w:rPr>
      </w:pPr>
      <w:bookmarkStart w:id="0" w:name="TOChere"/>
    </w:p>
    <w:bookmarkEnd w:id="0"/>
    <w:p w:rsidR="00B9623F" w:rsidP="6696D2CF" w14:paraId="6B061C37" w14:textId="4B97BFE4">
      <w:r w:rsidRPr="00B046A4">
        <w:rPr>
          <w:szCs w:val="22"/>
        </w:rPr>
        <w:tab/>
      </w:r>
      <w:r w:rsidRPr="6696D2CF">
        <w:t>By this Public Notice, the Wireless Telecommunications Bureau</w:t>
      </w:r>
      <w:r w:rsidR="00D653FE">
        <w:rPr>
          <w:szCs w:val="22"/>
        </w:rPr>
        <w:t xml:space="preserve"> </w:t>
      </w:r>
      <w:r w:rsidRPr="6696D2CF">
        <w:t xml:space="preserve">approves </w:t>
      </w:r>
      <w:r w:rsidR="00626F55">
        <w:t xml:space="preserve">the </w:t>
      </w:r>
      <w:r w:rsidRPr="6696D2CF">
        <w:t>withdraw</w:t>
      </w:r>
      <w:r w:rsidRPr="6696D2CF" w:rsidR="00211EE4">
        <w:t xml:space="preserve">al of </w:t>
      </w:r>
      <w:r w:rsidRPr="6696D2CF" w:rsidR="008D3C94">
        <w:t xml:space="preserve">a petition </w:t>
      </w:r>
      <w:r w:rsidRPr="6696D2CF" w:rsidR="00AB0DA6">
        <w:t xml:space="preserve">seeking </w:t>
      </w:r>
      <w:r w:rsidRPr="6696D2CF" w:rsidR="00D653FE">
        <w:t xml:space="preserve">reconsideration of </w:t>
      </w:r>
      <w:r w:rsidRPr="6696D2CF" w:rsidR="00301106">
        <w:t xml:space="preserve">the </w:t>
      </w:r>
      <w:r w:rsidRPr="6696D2CF" w:rsidR="00301106">
        <w:rPr>
          <w:i/>
          <w:iCs/>
        </w:rPr>
        <w:t>PTC-220 Waiver Order</w:t>
      </w:r>
      <w:r w:rsidR="00301106">
        <w:rPr>
          <w:szCs w:val="22"/>
        </w:rPr>
        <w:t>.</w:t>
      </w:r>
      <w:r>
        <w:rPr>
          <w:rStyle w:val="FootnoteReference"/>
        </w:rPr>
        <w:footnoteReference w:id="3"/>
      </w:r>
      <w:r w:rsidR="00301106">
        <w:rPr>
          <w:szCs w:val="22"/>
        </w:rPr>
        <w:t xml:space="preserve">  </w:t>
      </w:r>
      <w:r w:rsidRPr="6696D2CF" w:rsidR="00C33A42">
        <w:t xml:space="preserve">That </w:t>
      </w:r>
      <w:r w:rsidRPr="6696D2CF" w:rsidR="00D653FE">
        <w:t>order granted PTC-220, LLC (PTC-220), a joint venture of the nation’s seven Class I freight railroads,</w:t>
      </w:r>
      <w:r w:rsidR="00301106">
        <w:rPr>
          <w:szCs w:val="22"/>
        </w:rPr>
        <w:t xml:space="preserve"> </w:t>
      </w:r>
      <w:r w:rsidR="71F86F4F">
        <w:rPr>
          <w:szCs w:val="22"/>
        </w:rPr>
        <w:t xml:space="preserve">a </w:t>
      </w:r>
      <w:r w:rsidRPr="6696D2CF" w:rsidR="00C33A42">
        <w:t>conditional</w:t>
      </w:r>
      <w:r w:rsidR="00211EE4">
        <w:rPr>
          <w:szCs w:val="22"/>
        </w:rPr>
        <w:t xml:space="preserve"> </w:t>
      </w:r>
      <w:r w:rsidRPr="6696D2CF" w:rsidR="00D653FE">
        <w:t xml:space="preserve">waiver of </w:t>
      </w:r>
      <w:r w:rsidRPr="6696D2CF" w:rsidR="00C33A42">
        <w:t>section</w:t>
      </w:r>
      <w:r w:rsidRPr="6696D2CF" w:rsidR="2CAB1CB3">
        <w:t>s</w:t>
      </w:r>
      <w:r w:rsidRPr="6696D2CF" w:rsidR="00C33A42">
        <w:t xml:space="preserve"> </w:t>
      </w:r>
      <w:r w:rsidRPr="6696D2CF" w:rsidR="00D653FE">
        <w:t xml:space="preserve">90.723(f) (coordination requirements) </w:t>
      </w:r>
      <w:r w:rsidRPr="6696D2CF" w:rsidR="1A620639">
        <w:t xml:space="preserve">and </w:t>
      </w:r>
      <w:r w:rsidR="1A620639">
        <w:t xml:space="preserve">90.729(b) (power and antenna height limits) </w:t>
      </w:r>
      <w:r w:rsidRPr="6696D2CF" w:rsidR="00D653FE">
        <w:t>of the Commission’s rules</w:t>
      </w:r>
      <w:r>
        <w:rPr>
          <w:rStyle w:val="FootnoteReference"/>
        </w:rPr>
        <w:footnoteReference w:id="4"/>
      </w:r>
      <w:r w:rsidR="00D653FE">
        <w:rPr>
          <w:szCs w:val="22"/>
        </w:rPr>
        <w:t xml:space="preserve"> </w:t>
      </w:r>
      <w:r w:rsidRPr="6696D2CF" w:rsidR="00301106">
        <w:t xml:space="preserve">to </w:t>
      </w:r>
      <w:r w:rsidRPr="6696D2CF" w:rsidR="00F46264">
        <w:t xml:space="preserve">facilitate </w:t>
      </w:r>
      <w:r w:rsidRPr="6696D2CF" w:rsidR="00301106">
        <w:t>deploy</w:t>
      </w:r>
      <w:r w:rsidRPr="6696D2CF">
        <w:t xml:space="preserve">ment of </w:t>
      </w:r>
      <w:r w:rsidRPr="6696D2CF" w:rsidR="00D653FE">
        <w:t>Positive Train Control (PTC) safety systems</w:t>
      </w:r>
      <w:r w:rsidRPr="00211EE4" w:rsidR="00211EE4">
        <w:rPr>
          <w:szCs w:val="22"/>
        </w:rPr>
        <w:t xml:space="preserve"> </w:t>
      </w:r>
      <w:r w:rsidRPr="6696D2CF">
        <w:t xml:space="preserve">in </w:t>
      </w:r>
      <w:r w:rsidRPr="6696D2CF" w:rsidR="00D653FE">
        <w:t xml:space="preserve">the </w:t>
      </w:r>
      <w:r w:rsidRPr="6696D2CF" w:rsidR="00C33A42">
        <w:t xml:space="preserve">upper one megahertz segment of the </w:t>
      </w:r>
      <w:r w:rsidRPr="6696D2CF" w:rsidR="00D653FE">
        <w:t>220-222 MHz Band.</w:t>
      </w:r>
      <w:r>
        <w:rPr>
          <w:rStyle w:val="FootnoteReference"/>
        </w:rPr>
        <w:footnoteReference w:id="5"/>
      </w:r>
    </w:p>
    <w:p w:rsidR="00211EE4" w:rsidP="00D653FE" w14:paraId="7C25B513" w14:textId="4DA081C1">
      <w:pPr>
        <w:rPr>
          <w:szCs w:val="22"/>
        </w:rPr>
      </w:pPr>
      <w:r>
        <w:rPr>
          <w:szCs w:val="22"/>
        </w:rPr>
        <w:tab/>
      </w:r>
    </w:p>
    <w:p w:rsidR="004A50D1" w:rsidP="002076F0" w14:paraId="5EED6EF5" w14:textId="4959294B">
      <w:pPr>
        <w:ind w:firstLine="720"/>
      </w:pPr>
      <w:r w:rsidRPr="6696D2CF">
        <w:t xml:space="preserve">Cornerstone SMR, Inc. (Cornerstone) and Comtran Associates, Inc. (Comtran) filed a </w:t>
      </w:r>
      <w:r w:rsidRPr="6696D2CF" w:rsidR="00AB0DA6">
        <w:t xml:space="preserve">joint </w:t>
      </w:r>
      <w:r w:rsidR="00A12D56">
        <w:t>P</w:t>
      </w:r>
      <w:r w:rsidRPr="6696D2CF">
        <w:t>etit</w:t>
      </w:r>
      <w:r w:rsidRPr="6696D2CF" w:rsidR="00301106">
        <w:t>i</w:t>
      </w:r>
      <w:r w:rsidRPr="6696D2CF">
        <w:t xml:space="preserve">on for </w:t>
      </w:r>
      <w:r w:rsidR="00A12D56">
        <w:t>R</w:t>
      </w:r>
      <w:r w:rsidRPr="6696D2CF">
        <w:t xml:space="preserve">econsideration of the </w:t>
      </w:r>
      <w:r w:rsidRPr="6696D2CF" w:rsidR="00301106">
        <w:rPr>
          <w:i/>
          <w:iCs/>
        </w:rPr>
        <w:t>PTC-220 Waiver Order</w:t>
      </w:r>
      <w:r w:rsidRPr="00626F55" w:rsidR="00626F55">
        <w:t xml:space="preserve"> </w:t>
      </w:r>
      <w:r w:rsidR="00626F55">
        <w:t>(</w:t>
      </w:r>
      <w:r w:rsidRPr="6696D2CF" w:rsidR="00626F55">
        <w:t>Petition for Reconsideration</w:t>
      </w:r>
      <w:r w:rsidR="00626F55">
        <w:t>).</w:t>
      </w:r>
      <w:r>
        <w:rPr>
          <w:rStyle w:val="FootnoteReference"/>
        </w:rPr>
        <w:footnoteReference w:id="6"/>
      </w:r>
      <w:r w:rsidR="00301106">
        <w:rPr>
          <w:szCs w:val="22"/>
        </w:rPr>
        <w:t xml:space="preserve">  </w:t>
      </w:r>
      <w:r w:rsidRPr="6696D2CF" w:rsidR="00AB0DA6">
        <w:t xml:space="preserve">Each </w:t>
      </w:r>
      <w:r w:rsidRPr="6696D2CF" w:rsidR="00F46264">
        <w:t>part</w:t>
      </w:r>
      <w:r w:rsidRPr="6696D2CF" w:rsidR="00AB0DA6">
        <w:t xml:space="preserve">y </w:t>
      </w:r>
      <w:r w:rsidR="00E2652B">
        <w:t xml:space="preserve">subsequently </w:t>
      </w:r>
      <w:r w:rsidRPr="6696D2CF" w:rsidR="00F46264">
        <w:t xml:space="preserve">filed </w:t>
      </w:r>
      <w:r w:rsidRPr="6696D2CF" w:rsidR="00AB0DA6">
        <w:t xml:space="preserve">a </w:t>
      </w:r>
      <w:r w:rsidRPr="6696D2CF" w:rsidR="00F46264">
        <w:t>request to withdraw the petition.</w:t>
      </w:r>
      <w:r>
        <w:rPr>
          <w:rStyle w:val="FootnoteReference"/>
        </w:rPr>
        <w:footnoteReference w:id="7"/>
      </w:r>
      <w:r>
        <w:rPr>
          <w:szCs w:val="22"/>
        </w:rPr>
        <w:t xml:space="preserve">  </w:t>
      </w:r>
      <w:r w:rsidRPr="6696D2CF" w:rsidR="00AB0DA6">
        <w:t>And, p</w:t>
      </w:r>
      <w:r w:rsidRPr="6696D2CF" w:rsidR="004B1E45">
        <w:t>ursuant to secti</w:t>
      </w:r>
      <w:r w:rsidRPr="6696D2CF">
        <w:t>o</w:t>
      </w:r>
      <w:r w:rsidRPr="6696D2CF" w:rsidR="004B1E45">
        <w:t xml:space="preserve">n </w:t>
      </w:r>
      <w:r w:rsidRPr="6696D2CF" w:rsidR="00A91886">
        <w:t>1.935</w:t>
      </w:r>
      <w:r w:rsidRPr="6696D2CF" w:rsidR="00F03F15">
        <w:t>(a)</w:t>
      </w:r>
      <w:r w:rsidRPr="6696D2CF" w:rsidR="00A91886">
        <w:t xml:space="preserve"> of the Commiss</w:t>
      </w:r>
      <w:r w:rsidRPr="6696D2CF" w:rsidR="3FF66734">
        <w:t>ion'</w:t>
      </w:r>
      <w:r w:rsidRPr="6696D2CF" w:rsidR="00A91886">
        <w:t>s rules,</w:t>
      </w:r>
      <w:r>
        <w:rPr>
          <w:rStyle w:val="FootnoteReference"/>
        </w:rPr>
        <w:footnoteReference w:id="8"/>
      </w:r>
      <w:r w:rsidRPr="6696D2CF">
        <w:t xml:space="preserve"> each party </w:t>
      </w:r>
      <w:r w:rsidRPr="6696D2CF" w:rsidR="00A91886">
        <w:t xml:space="preserve">filed </w:t>
      </w:r>
      <w:r w:rsidRPr="6696D2CF">
        <w:t xml:space="preserve">a declaration certifying that </w:t>
      </w:r>
      <w:r w:rsidRPr="6696D2CF" w:rsidR="00AB0DA6">
        <w:t xml:space="preserve">it is </w:t>
      </w:r>
      <w:r w:rsidRPr="6696D2CF">
        <w:t xml:space="preserve">unilaterally withdrawing the </w:t>
      </w:r>
      <w:r w:rsidR="00E2652B">
        <w:t xml:space="preserve">petition </w:t>
      </w:r>
      <w:r w:rsidRPr="6696D2CF">
        <w:t xml:space="preserve">and that neither </w:t>
      </w:r>
      <w:r w:rsidRPr="6696D2CF" w:rsidR="00F03F15">
        <w:t xml:space="preserve">the party </w:t>
      </w:r>
      <w:r w:rsidRPr="6696D2CF">
        <w:t xml:space="preserve">nor its principals </w:t>
      </w:r>
      <w:r w:rsidRPr="6696D2CF" w:rsidR="00F03F15">
        <w:t xml:space="preserve">has received or </w:t>
      </w:r>
      <w:r w:rsidRPr="6696D2CF">
        <w:t xml:space="preserve">will receive any </w:t>
      </w:r>
      <w:r w:rsidRPr="6696D2CF" w:rsidR="00F03F15">
        <w:t xml:space="preserve">money </w:t>
      </w:r>
      <w:r w:rsidRPr="6696D2CF">
        <w:t xml:space="preserve">or other consideration </w:t>
      </w:r>
      <w:r w:rsidRPr="6696D2CF" w:rsidR="00F03F15">
        <w:t xml:space="preserve">in exchange for </w:t>
      </w:r>
      <w:r w:rsidRPr="6696D2CF">
        <w:t xml:space="preserve">the withdrawal, and that it is not a party to any oral or written agreement </w:t>
      </w:r>
      <w:r w:rsidRPr="6696D2CF">
        <w:t>re</w:t>
      </w:r>
      <w:r w:rsidRPr="6696D2CF" w:rsidR="00F03F15">
        <w:t xml:space="preserve">lated to </w:t>
      </w:r>
      <w:r w:rsidR="00E2652B">
        <w:t xml:space="preserve">the </w:t>
      </w:r>
      <w:r w:rsidRPr="6696D2CF">
        <w:t>withdrawal.</w:t>
      </w:r>
      <w:r>
        <w:rPr>
          <w:rStyle w:val="FootnoteReference"/>
        </w:rPr>
        <w:footnoteReference w:id="9"/>
      </w:r>
    </w:p>
    <w:p w:rsidR="004A50D1" w:rsidP="002076F0" w14:paraId="3F7A1840" w14:textId="77777777">
      <w:pPr>
        <w:ind w:firstLine="720"/>
        <w:rPr>
          <w:szCs w:val="22"/>
        </w:rPr>
      </w:pPr>
    </w:p>
    <w:p w:rsidR="00B046A4" w:rsidRPr="00B046A4" w:rsidP="00B046A4" w14:paraId="75CC0893" w14:textId="40E56ACF">
      <w:r w:rsidRPr="00B046A4">
        <w:rPr>
          <w:szCs w:val="22"/>
        </w:rPr>
        <w:tab/>
      </w:r>
      <w:r w:rsidRPr="6696D2CF">
        <w:t xml:space="preserve">We have reviewed </w:t>
      </w:r>
      <w:r w:rsidRPr="6696D2CF" w:rsidR="7935E9E7">
        <w:t xml:space="preserve">each </w:t>
      </w:r>
      <w:r w:rsidRPr="6696D2CF" w:rsidR="00C03F74">
        <w:t>part</w:t>
      </w:r>
      <w:r w:rsidRPr="6696D2CF" w:rsidR="409A6EA7">
        <w:t>y’s</w:t>
      </w:r>
      <w:r w:rsidRPr="6696D2CF" w:rsidR="00C03F74">
        <w:t xml:space="preserve"> withdrawal request and s</w:t>
      </w:r>
      <w:r w:rsidRPr="6696D2CF" w:rsidR="00757061">
        <w:t>ection 1.935</w:t>
      </w:r>
      <w:r w:rsidR="00A4031A">
        <w:t>(a)</w:t>
      </w:r>
      <w:r w:rsidR="000A787B">
        <w:t xml:space="preserve"> declaration</w:t>
      </w:r>
      <w:r w:rsidRPr="6696D2CF" w:rsidR="002076F0">
        <w:t xml:space="preserve">, and </w:t>
      </w:r>
      <w:r w:rsidRPr="6696D2CF">
        <w:t xml:space="preserve">find that </w:t>
      </w:r>
      <w:r w:rsidRPr="6696D2CF" w:rsidR="008D3C94">
        <w:t>approving</w:t>
      </w:r>
      <w:r w:rsidRPr="00B046A4">
        <w:rPr>
          <w:szCs w:val="22"/>
        </w:rPr>
        <w:t xml:space="preserve"> </w:t>
      </w:r>
      <w:r w:rsidRPr="6696D2CF" w:rsidR="008D3C94">
        <w:t xml:space="preserve">the </w:t>
      </w:r>
      <w:r w:rsidRPr="6696D2CF">
        <w:t>withdraw</w:t>
      </w:r>
      <w:r w:rsidR="00B74C60">
        <w:t>al requests</w:t>
      </w:r>
      <w:r w:rsidR="008D3C94">
        <w:rPr>
          <w:szCs w:val="22"/>
        </w:rPr>
        <w:t xml:space="preserve"> </w:t>
      </w:r>
      <w:r w:rsidRPr="6696D2CF">
        <w:t>will serve the public interest.</w:t>
      </w:r>
      <w:r>
        <w:rPr>
          <w:rStyle w:val="FootnoteReference"/>
        </w:rPr>
        <w:footnoteReference w:id="10"/>
      </w:r>
      <w:r w:rsidRPr="00B046A4">
        <w:rPr>
          <w:szCs w:val="22"/>
        </w:rPr>
        <w:t xml:space="preserve"> </w:t>
      </w:r>
      <w:r w:rsidR="00983169">
        <w:rPr>
          <w:szCs w:val="22"/>
        </w:rPr>
        <w:t xml:space="preserve"> </w:t>
      </w:r>
      <w:r w:rsidRPr="6696D2CF">
        <w:t>We accordingly approve th</w:t>
      </w:r>
      <w:r w:rsidRPr="6696D2CF" w:rsidR="00C03F74">
        <w:t xml:space="preserve">e </w:t>
      </w:r>
      <w:r w:rsidR="000F7DAD">
        <w:t xml:space="preserve">withdrawal </w:t>
      </w:r>
      <w:r w:rsidRPr="6696D2CF">
        <w:t>request</w:t>
      </w:r>
      <w:r w:rsidRPr="6696D2CF" w:rsidR="00C03F74">
        <w:t>s</w:t>
      </w:r>
      <w:r w:rsidRPr="6696D2CF">
        <w:t xml:space="preserve"> and hereby dismiss, with prejudice, the </w:t>
      </w:r>
      <w:r w:rsidRPr="6696D2CF" w:rsidR="555C2DDB">
        <w:t>P</w:t>
      </w:r>
      <w:r w:rsidRPr="6696D2CF">
        <w:t>etition</w:t>
      </w:r>
      <w:r w:rsidRPr="6696D2CF" w:rsidR="00C03F74">
        <w:t xml:space="preserve"> for </w:t>
      </w:r>
      <w:r w:rsidRPr="6696D2CF" w:rsidR="4E781100">
        <w:t>R</w:t>
      </w:r>
      <w:r w:rsidRPr="6696D2CF" w:rsidR="00C03F74">
        <w:t>econsideration</w:t>
      </w:r>
      <w:r w:rsidRPr="6696D2CF">
        <w:t>.</w:t>
      </w:r>
    </w:p>
    <w:p w:rsidR="00B046A4" w:rsidRPr="00B046A4" w:rsidP="00B046A4" w14:paraId="2F71E4BE" w14:textId="77777777">
      <w:pPr>
        <w:rPr>
          <w:szCs w:val="22"/>
        </w:rPr>
      </w:pPr>
    </w:p>
    <w:p w:rsidR="00B046A4" w:rsidRPr="00B046A4" w:rsidP="00B046A4" w14:paraId="3F6111E2" w14:textId="6B86D5E2">
      <w:pPr>
        <w:rPr>
          <w:szCs w:val="22"/>
        </w:rPr>
      </w:pPr>
      <w:r w:rsidRPr="00B046A4">
        <w:rPr>
          <w:szCs w:val="22"/>
        </w:rPr>
        <w:tab/>
        <w:t xml:space="preserve">For further information, please contact </w:t>
      </w:r>
      <w:r w:rsidR="00C03F74">
        <w:rPr>
          <w:szCs w:val="22"/>
        </w:rPr>
        <w:t>Richard Arsenault</w:t>
      </w:r>
      <w:r w:rsidR="00945806">
        <w:rPr>
          <w:szCs w:val="22"/>
        </w:rPr>
        <w:t xml:space="preserve">, </w:t>
      </w:r>
      <w:r w:rsidR="00C03F74">
        <w:rPr>
          <w:szCs w:val="22"/>
        </w:rPr>
        <w:t xml:space="preserve">Chief </w:t>
      </w:r>
      <w:r w:rsidR="00945806">
        <w:rPr>
          <w:szCs w:val="22"/>
        </w:rPr>
        <w:t>Counsel</w:t>
      </w:r>
      <w:r w:rsidR="00947652">
        <w:rPr>
          <w:szCs w:val="22"/>
        </w:rPr>
        <w:t xml:space="preserve">, </w:t>
      </w:r>
      <w:r w:rsidR="00C03F74">
        <w:rPr>
          <w:szCs w:val="22"/>
        </w:rPr>
        <w:t xml:space="preserve">Mobility </w:t>
      </w:r>
      <w:r w:rsidR="00947652">
        <w:rPr>
          <w:szCs w:val="22"/>
        </w:rPr>
        <w:t xml:space="preserve">Division, Wireless Telecommunications Bureau, at </w:t>
      </w:r>
      <w:hyperlink r:id="rId5" w:history="1">
        <w:r w:rsidRPr="008C5914" w:rsidR="00C03F74">
          <w:rPr>
            <w:rStyle w:val="Hyperlink"/>
            <w:szCs w:val="22"/>
          </w:rPr>
          <w:t>Richard.Arsenault@fcc.gov</w:t>
        </w:r>
      </w:hyperlink>
      <w:r w:rsidR="00947652">
        <w:rPr>
          <w:szCs w:val="22"/>
        </w:rPr>
        <w:t xml:space="preserve"> or 202-418-</w:t>
      </w:r>
      <w:r w:rsidR="00C03F74">
        <w:rPr>
          <w:szCs w:val="22"/>
        </w:rPr>
        <w:t>0920</w:t>
      </w:r>
      <w:r w:rsidR="00947652">
        <w:rPr>
          <w:szCs w:val="22"/>
        </w:rPr>
        <w:t>.</w:t>
      </w:r>
      <w:r w:rsidR="00945806">
        <w:rPr>
          <w:szCs w:val="22"/>
        </w:rPr>
        <w:t xml:space="preserve"> </w:t>
      </w:r>
    </w:p>
    <w:p w:rsidR="00B046A4" w:rsidRPr="00B046A4" w:rsidP="00B046A4" w14:paraId="09F7E22C" w14:textId="77777777">
      <w:pPr>
        <w:rPr>
          <w:szCs w:val="22"/>
        </w:rPr>
      </w:pPr>
    </w:p>
    <w:p w:rsidR="00B046A4" w:rsidRPr="00B046A4" w:rsidP="00B046A4" w14:paraId="05AC6803" w14:textId="55DC9354">
      <w:r w:rsidRPr="00B046A4">
        <w:rPr>
          <w:szCs w:val="22"/>
        </w:rPr>
        <w:tab/>
      </w:r>
      <w:r w:rsidRPr="6696D2CF">
        <w:t xml:space="preserve">Action by the </w:t>
      </w:r>
      <w:r w:rsidRPr="6696D2CF" w:rsidR="006D7B43">
        <w:t>Chief,</w:t>
      </w:r>
      <w:r w:rsidRPr="00B046A4">
        <w:rPr>
          <w:szCs w:val="22"/>
        </w:rPr>
        <w:t xml:space="preserve"> </w:t>
      </w:r>
      <w:r w:rsidRPr="6696D2CF" w:rsidR="00C03F74">
        <w:t xml:space="preserve">Mobility Division, </w:t>
      </w:r>
      <w:r w:rsidRPr="6696D2CF">
        <w:t>Wireless Telecommunications Bureau, pursuant to Sections 1, 308, and 309 of the Communications Act of 1934, as amended,</w:t>
      </w:r>
      <w:r w:rsidRPr="6696D2CF" w:rsidR="0D164A87">
        <w:t xml:space="preserve"> </w:t>
      </w:r>
      <w:r w:rsidR="0D164A87">
        <w:t>47 U.S.C. §§ 151, 308, and 309,</w:t>
      </w:r>
      <w:r w:rsidRPr="6696D2CF">
        <w:t xml:space="preserve"> and </w:t>
      </w:r>
      <w:r w:rsidR="00AA2ED9">
        <w:t>s</w:t>
      </w:r>
      <w:r w:rsidRPr="6696D2CF">
        <w:t>ections 0.331 and 1.935 of the Commission’s rules</w:t>
      </w:r>
      <w:r w:rsidRPr="6696D2CF" w:rsidR="635A2A38">
        <w:t>,</w:t>
      </w:r>
      <w:r w:rsidR="635A2A38">
        <w:t xml:space="preserve"> 47 CFR §§ 0.331, and 1.935.</w:t>
      </w:r>
    </w:p>
    <w:p w:rsidR="00930ECF" w:rsidRPr="00B046A4" w:rsidP="00F96F63" w14:paraId="421EED24"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5DD03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AEEC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54672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65E66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6678" w14:paraId="377C64CE" w14:textId="77777777">
      <w:r>
        <w:separator/>
      </w:r>
    </w:p>
  </w:footnote>
  <w:footnote w:type="continuationSeparator" w:id="1">
    <w:p w:rsidR="00EE6678" w14:paraId="7A023894" w14:textId="77777777">
      <w:pPr>
        <w:rPr>
          <w:sz w:val="20"/>
        </w:rPr>
      </w:pPr>
      <w:r>
        <w:rPr>
          <w:sz w:val="20"/>
        </w:rPr>
        <w:t xml:space="preserve">(Continued from previous page)  </w:t>
      </w:r>
      <w:r>
        <w:rPr>
          <w:sz w:val="20"/>
        </w:rPr>
        <w:separator/>
      </w:r>
    </w:p>
  </w:footnote>
  <w:footnote w:type="continuationNotice" w:id="2">
    <w:p w:rsidR="00EE6678" w:rsidP="00910F12" w14:paraId="63285605" w14:textId="77777777">
      <w:pPr>
        <w:jc w:val="right"/>
        <w:rPr>
          <w:sz w:val="20"/>
        </w:rPr>
      </w:pPr>
      <w:r>
        <w:rPr>
          <w:sz w:val="20"/>
        </w:rPr>
        <w:t>(continued….)</w:t>
      </w:r>
    </w:p>
  </w:footnote>
  <w:footnote w:id="3">
    <w:p w:rsidR="00301106" w:rsidRPr="00590368" w:rsidP="0027688E" w14:paraId="4B727463" w14:textId="560073B0">
      <w:pPr>
        <w:pStyle w:val="FootnoteText"/>
      </w:pPr>
      <w:r w:rsidRPr="6696D2CF">
        <w:rPr>
          <w:rStyle w:val="FootnoteReference"/>
          <w:sz w:val="20"/>
        </w:rPr>
        <w:footnoteRef/>
      </w:r>
      <w:r w:rsidRPr="00590368" w:rsidR="6696D2CF">
        <w:t xml:space="preserve"> </w:t>
      </w:r>
      <w:r w:rsidRPr="6696D2CF" w:rsidR="6696D2CF">
        <w:rPr>
          <w:i/>
          <w:iCs/>
        </w:rPr>
        <w:t>PTC-220, LLC, Request for Waiver to Facilitate Deployment of Positive Train Control Systems</w:t>
      </w:r>
      <w:r w:rsidRPr="00590368" w:rsidR="6696D2CF">
        <w:t>, WT Docket 13-59, Memorandum Opinion and Order, DA 15-332, 30 FCC Rcd 2281 (WTB M</w:t>
      </w:r>
      <w:r w:rsidR="009561A1">
        <w:t>D</w:t>
      </w:r>
      <w:r w:rsidRPr="00590368" w:rsidR="6696D2CF">
        <w:t xml:space="preserve"> 2015) (</w:t>
      </w:r>
      <w:r w:rsidRPr="6696D2CF" w:rsidR="6696D2CF">
        <w:rPr>
          <w:i/>
          <w:iCs/>
        </w:rPr>
        <w:t>PTC-220 Waiver Order</w:t>
      </w:r>
      <w:r w:rsidRPr="00590368" w:rsidR="6696D2CF">
        <w:t>).</w:t>
      </w:r>
    </w:p>
  </w:footnote>
  <w:footnote w:id="4">
    <w:p w:rsidR="00D653FE" w:rsidRPr="00590368" w:rsidP="0027688E" w14:paraId="6D7D335B" w14:textId="185F8DD1">
      <w:pPr>
        <w:pStyle w:val="FootnoteText"/>
      </w:pPr>
      <w:r w:rsidRPr="6696D2CF">
        <w:rPr>
          <w:rStyle w:val="FootnoteReference"/>
          <w:sz w:val="20"/>
        </w:rPr>
        <w:footnoteRef/>
      </w:r>
      <w:r w:rsidRPr="00590368" w:rsidR="6696D2CF">
        <w:t xml:space="preserve"> 47 CFR §§ </w:t>
      </w:r>
      <w:r w:rsidR="6696D2CF">
        <w:t>90.723(f)</w:t>
      </w:r>
      <w:r w:rsidRPr="00590368" w:rsidR="6696D2CF">
        <w:t xml:space="preserve"> and </w:t>
      </w:r>
      <w:r w:rsidR="6696D2CF">
        <w:t>90.729(b).</w:t>
      </w:r>
    </w:p>
  </w:footnote>
  <w:footnote w:id="5">
    <w:p w:rsidR="00D653FE" w:rsidRPr="00590368" w:rsidP="0027688E" w14:paraId="55492B73" w14:textId="0C9849F0">
      <w:pPr>
        <w:pStyle w:val="FootnoteText"/>
      </w:pPr>
      <w:r w:rsidRPr="00590368">
        <w:rPr>
          <w:rStyle w:val="FootnoteReference"/>
          <w:sz w:val="20"/>
        </w:rPr>
        <w:footnoteRef/>
      </w:r>
      <w:r w:rsidRPr="00590368" w:rsidR="00B9623F">
        <w:t xml:space="preserve"> </w:t>
      </w:r>
      <w:r w:rsidRPr="006C14EC" w:rsidR="00B9623F">
        <w:rPr>
          <w:i/>
          <w:iCs/>
        </w:rPr>
        <w:t>PTC-220 Waiver Order</w:t>
      </w:r>
      <w:r w:rsidRPr="00590368" w:rsidR="00B9623F">
        <w:t>, 30 FCC Rcd at</w:t>
      </w:r>
      <w:r w:rsidR="00C33A42">
        <w:t xml:space="preserve"> 2293, para </w:t>
      </w:r>
      <w:r w:rsidRPr="00275CCC" w:rsidR="00C33A42">
        <w:t>45.</w:t>
      </w:r>
      <w:r w:rsidRPr="00590368" w:rsidR="00B9623F">
        <w:t xml:space="preserve">  The </w:t>
      </w:r>
      <w:r w:rsidRPr="00590368" w:rsidR="00B9623F">
        <w:rPr>
          <w:i/>
          <w:iCs/>
        </w:rPr>
        <w:t>Rail Safety Improvement Act of 2008</w:t>
      </w:r>
      <w:r w:rsidRPr="00590368" w:rsidR="00B9623F">
        <w:t xml:space="preserve">, as amended by </w:t>
      </w:r>
      <w:r w:rsidRPr="00590368" w:rsidR="00B9623F">
        <w:rPr>
          <w:i/>
        </w:rPr>
        <w:t xml:space="preserve">the </w:t>
      </w:r>
      <w:r w:rsidRPr="00590368" w:rsidR="00B9623F">
        <w:rPr>
          <w:rFonts w:eastAsia="Arial"/>
          <w:i/>
        </w:rPr>
        <w:t>Positive Train Control Enforcement and Implementation Act of 2015</w:t>
      </w:r>
      <w:r w:rsidRPr="00590368" w:rsidR="00B9623F">
        <w:rPr>
          <w:rFonts w:eastAsia="Arial"/>
          <w:iCs/>
        </w:rPr>
        <w:t>,</w:t>
      </w:r>
      <w:r w:rsidRPr="00590368" w:rsidR="00B9623F">
        <w:t xml:space="preserve"> required most U.S. freight, passenger, and commuter railroads to install and operate interoperable PTC systems by December 31, 2018.</w:t>
      </w:r>
      <w:r w:rsidR="0027688E">
        <w:t xml:space="preserve">  </w:t>
      </w:r>
      <w:r w:rsidR="0027688E">
        <w:rPr>
          <w:i/>
          <w:iCs/>
        </w:rPr>
        <w:t>Ra</w:t>
      </w:r>
      <w:r w:rsidRPr="00590368" w:rsidR="00B9623F">
        <w:rPr>
          <w:i/>
          <w:iCs/>
        </w:rPr>
        <w:t>il Safety Improvement Act of 2008</w:t>
      </w:r>
      <w:r w:rsidRPr="00590368" w:rsidR="00B9623F">
        <w:t xml:space="preserve">, </w:t>
      </w:r>
      <w:r w:rsidRPr="00590368" w:rsidR="00B9623F">
        <w:rPr>
          <w:rFonts w:eastAsia="Arial"/>
        </w:rPr>
        <w:t xml:space="preserve">Pub. L. No. 110-432, § 104, 122 Stat. 4848, 4857 (2008), amended by the </w:t>
      </w:r>
      <w:r w:rsidRPr="00590368" w:rsidR="00B9623F">
        <w:rPr>
          <w:rFonts w:eastAsia="Arial"/>
          <w:i/>
          <w:iCs/>
        </w:rPr>
        <w:t>Positive Train Control Enforcement and Implementation Act of 2015</w:t>
      </w:r>
      <w:r w:rsidRPr="00590368" w:rsidR="00B9623F">
        <w:rPr>
          <w:rFonts w:eastAsia="Arial"/>
        </w:rPr>
        <w:t xml:space="preserve">, Pub. L. No. 114-73, § 1302, 129 Stat. 568, 576 (2015).  PTC systems are designed to reduce the risk of human-error rail accidents, by “prevent[ing] train-to-train collisions, over-speed derailments, incursions into established work zone limits, and the movement of a train through a switch left in the wrong position.”  </w:t>
      </w:r>
      <w:r w:rsidRPr="00590368" w:rsidR="00B9623F">
        <w:t>49 U.S.C. § 20157(i)(5).</w:t>
      </w:r>
    </w:p>
  </w:footnote>
  <w:footnote w:id="6">
    <w:p w:rsidR="004B1E45" w:rsidRPr="00590368" w:rsidP="0027688E" w14:paraId="0B9522AF" w14:textId="53164EA7">
      <w:pPr>
        <w:pStyle w:val="FootnoteText"/>
      </w:pPr>
      <w:r w:rsidRPr="00590368">
        <w:rPr>
          <w:rStyle w:val="FootnoteReference"/>
          <w:sz w:val="20"/>
        </w:rPr>
        <w:footnoteRef/>
      </w:r>
      <w:r w:rsidRPr="00590368">
        <w:t xml:space="preserve"> </w:t>
      </w:r>
      <w:r w:rsidRPr="00590368" w:rsidR="0092568F">
        <w:t>WT Docket 13-59</w:t>
      </w:r>
      <w:r w:rsidR="0092568F">
        <w:t xml:space="preserve">, </w:t>
      </w:r>
      <w:r w:rsidRPr="00590368">
        <w:t>Petition for Reconsideration (filed Apr. 13, 2015).</w:t>
      </w:r>
      <w:r w:rsidR="004A50D1">
        <w:t xml:space="preserve">  </w:t>
      </w:r>
      <w:r w:rsidRPr="00F46264" w:rsidR="004A50D1">
        <w:t>PTC-220 filed an opposition to the petition.</w:t>
      </w:r>
      <w:r w:rsidR="004A50D1">
        <w:t xml:space="preserve">  </w:t>
      </w:r>
      <w:r w:rsidR="0092568F">
        <w:t xml:space="preserve">WT Docket 13-59, </w:t>
      </w:r>
      <w:r w:rsidRPr="00590368" w:rsidR="004A50D1">
        <w:t>Opposition to Petition for Reconsideration (filed Apr. 23, 2015).</w:t>
      </w:r>
    </w:p>
  </w:footnote>
  <w:footnote w:id="7">
    <w:p w:rsidR="00F46264" w:rsidRPr="00590368" w:rsidP="0027688E" w14:paraId="1CBD56FB" w14:textId="7C414DA1">
      <w:pPr>
        <w:pStyle w:val="FootnoteText"/>
      </w:pPr>
      <w:r w:rsidRPr="6696D2CF">
        <w:rPr>
          <w:rStyle w:val="FootnoteReference"/>
          <w:sz w:val="20"/>
        </w:rPr>
        <w:footnoteRef/>
      </w:r>
      <w:r w:rsidRPr="00590368" w:rsidR="6696D2CF">
        <w:t xml:space="preserve"> WT Docket 13-59</w:t>
      </w:r>
      <w:r w:rsidR="6696D2CF">
        <w:t xml:space="preserve">, Cornerstone </w:t>
      </w:r>
      <w:r w:rsidRPr="00590368" w:rsidR="6696D2CF">
        <w:t xml:space="preserve">Request for Withdrawal of Petition for Reconsideration </w:t>
      </w:r>
      <w:r w:rsidR="6696D2CF">
        <w:t xml:space="preserve">(filed </w:t>
      </w:r>
      <w:r w:rsidRPr="00590368" w:rsidR="6696D2CF">
        <w:t>Oct. 26, 2016)</w:t>
      </w:r>
      <w:r w:rsidR="6696D2CF">
        <w:t xml:space="preserve"> (Cornerstone Request);</w:t>
      </w:r>
      <w:r w:rsidRPr="00590368" w:rsidR="6696D2CF">
        <w:t xml:space="preserve"> WT Docket 13-59</w:t>
      </w:r>
      <w:r w:rsidR="6696D2CF">
        <w:t xml:space="preserve">, Comtran </w:t>
      </w:r>
      <w:r w:rsidRPr="00590368" w:rsidR="6696D2CF">
        <w:t xml:space="preserve">Request </w:t>
      </w:r>
      <w:r w:rsidR="6696D2CF">
        <w:t>t</w:t>
      </w:r>
      <w:r w:rsidRPr="00590368" w:rsidR="6696D2CF">
        <w:t>o Withdraw Petition for Reconsideration (filed</w:t>
      </w:r>
      <w:r w:rsidR="6696D2CF">
        <w:t xml:space="preserve"> </w:t>
      </w:r>
      <w:r w:rsidRPr="00590368" w:rsidR="6696D2CF">
        <w:t>Nov. 4, 2021)</w:t>
      </w:r>
      <w:r w:rsidR="6696D2CF">
        <w:t xml:space="preserve"> (Comtran Request)</w:t>
      </w:r>
      <w:r w:rsidRPr="00590368" w:rsidR="6696D2CF">
        <w:t>.</w:t>
      </w:r>
    </w:p>
  </w:footnote>
  <w:footnote w:id="8">
    <w:p w:rsidR="00A91886" w:rsidRPr="00590368" w:rsidP="0027688E" w14:paraId="4CD75AC4" w14:textId="3A5CC51A">
      <w:pPr>
        <w:pStyle w:val="FootnoteText"/>
      </w:pPr>
      <w:r w:rsidRPr="00590368">
        <w:rPr>
          <w:rStyle w:val="FootnoteReference"/>
          <w:sz w:val="20"/>
        </w:rPr>
        <w:footnoteRef/>
      </w:r>
      <w:r w:rsidRPr="00590368">
        <w:t xml:space="preserve"> 47 CFR § 1.935.</w:t>
      </w:r>
    </w:p>
  </w:footnote>
  <w:footnote w:id="9">
    <w:p w:rsidR="004A50D1" w:rsidRPr="00590368" w:rsidP="0027688E" w14:paraId="47F47107" w14:textId="704C1F15">
      <w:pPr>
        <w:pStyle w:val="FootnoteText"/>
      </w:pPr>
      <w:r w:rsidRPr="00590368">
        <w:rPr>
          <w:rStyle w:val="FootnoteReference"/>
          <w:sz w:val="20"/>
        </w:rPr>
        <w:footnoteRef/>
      </w:r>
      <w:r w:rsidRPr="00F46264">
        <w:t xml:space="preserve"> </w:t>
      </w:r>
      <w:r>
        <w:rPr>
          <w:szCs w:val="22"/>
        </w:rPr>
        <w:t>Declaration of Henry Urick, President and Chief Executive Officer</w:t>
      </w:r>
      <w:r w:rsidR="00C45B0F">
        <w:rPr>
          <w:szCs w:val="22"/>
        </w:rPr>
        <w:t>, Cornerstone</w:t>
      </w:r>
      <w:r>
        <w:rPr>
          <w:szCs w:val="22"/>
        </w:rPr>
        <w:t xml:space="preserve"> (</w:t>
      </w:r>
      <w:r w:rsidRPr="00590368">
        <w:t>dated Oct</w:t>
      </w:r>
      <w:r>
        <w:t>.</w:t>
      </w:r>
      <w:r w:rsidRPr="00590368">
        <w:t xml:space="preserve"> 26, 2016</w:t>
      </w:r>
      <w:r>
        <w:t>)</w:t>
      </w:r>
      <w:r w:rsidR="00C45B0F">
        <w:t xml:space="preserve"> (attached to Cornerstone Request)</w:t>
      </w:r>
      <w:r>
        <w:rPr>
          <w:szCs w:val="22"/>
        </w:rPr>
        <w:t xml:space="preserve">; </w:t>
      </w:r>
      <w:r w:rsidRPr="00590368">
        <w:t xml:space="preserve">Declaration of Leonard Knigin, </w:t>
      </w:r>
      <w:r>
        <w:t>President</w:t>
      </w:r>
      <w:r w:rsidR="00C45B0F">
        <w:t>, Comtran</w:t>
      </w:r>
      <w:r>
        <w:t xml:space="preserve"> (</w:t>
      </w:r>
      <w:r w:rsidRPr="00590368">
        <w:t>dated Nov</w:t>
      </w:r>
      <w:r>
        <w:t>.</w:t>
      </w:r>
      <w:r w:rsidRPr="00590368">
        <w:t xml:space="preserve"> 4, 2021</w:t>
      </w:r>
      <w:r>
        <w:t>)</w:t>
      </w:r>
      <w:r w:rsidR="00C45B0F">
        <w:t xml:space="preserve"> (att</w:t>
      </w:r>
      <w:r w:rsidR="0092568F">
        <w:t>a</w:t>
      </w:r>
      <w:r w:rsidR="00C45B0F">
        <w:t>ched to Comtran Request)</w:t>
      </w:r>
      <w:r w:rsidRPr="00590368">
        <w:t>.</w:t>
      </w:r>
    </w:p>
  </w:footnote>
  <w:footnote w:id="10">
    <w:p w:rsidR="002076F0" w:rsidRPr="00590368" w:rsidP="0027688E" w14:paraId="07807ACC" w14:textId="147CBACA">
      <w:pPr>
        <w:pStyle w:val="FootnoteText"/>
      </w:pPr>
      <w:r w:rsidRPr="00590368">
        <w:rPr>
          <w:rStyle w:val="FootnoteReference"/>
          <w:sz w:val="20"/>
        </w:rPr>
        <w:footnoteRef/>
      </w:r>
      <w:r w:rsidRPr="00590368">
        <w:t xml:space="preserve"> Section 1.935 requires parties that have filed a pleading against an application</w:t>
      </w:r>
      <w:r w:rsidRPr="00590368" w:rsidR="00945806">
        <w:t xml:space="preserve"> to</w:t>
      </w:r>
      <w:r w:rsidRPr="00590368">
        <w:t xml:space="preserve"> obtain Commission approval to withdraw the pleading.  47 </w:t>
      </w:r>
      <w:r w:rsidRPr="00590368" w:rsidR="00983169">
        <w:t>CFR</w:t>
      </w:r>
      <w:r w:rsidRPr="00590368">
        <w:t xml:space="preserve"> § 1.935</w:t>
      </w:r>
      <w:r w:rsidRPr="00590368" w:rsidR="009831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D1F3848" w14:textId="1A69092C">
    <w:pPr>
      <w:tabs>
        <w:tab w:val="center" w:pos="4680"/>
        <w:tab w:val="right" w:pos="9360"/>
      </w:tabs>
    </w:pPr>
    <w:r w:rsidRPr="009838BC">
      <w:rPr>
        <w:b/>
      </w:rPr>
      <w:tab/>
    </w:r>
    <w:r w:rsidRPr="009838BC">
      <w:rPr>
        <w:b/>
      </w:rPr>
      <w:t>Federal Communications Commission</w:t>
    </w:r>
    <w:r w:rsidRPr="009838BC">
      <w:rPr>
        <w:b/>
      </w:rPr>
      <w:tab/>
    </w:r>
    <w:r w:rsidR="00C03F3F">
      <w:rPr>
        <w:b/>
      </w:rPr>
      <w:t xml:space="preserve">DA </w:t>
    </w:r>
    <w:r w:rsidR="00F03F15">
      <w:rPr>
        <w:b/>
      </w:rPr>
      <w:t>2</w:t>
    </w:r>
    <w:r w:rsidR="00843358">
      <w:rPr>
        <w:b/>
      </w:rPr>
      <w:t>2</w:t>
    </w:r>
    <w:r w:rsidR="00C03F3F">
      <w:rPr>
        <w:b/>
      </w:rPr>
      <w:t>-</w:t>
    </w:r>
    <w:r w:rsidR="00BE6DF9">
      <w:rPr>
        <w:b/>
      </w:rPr>
      <w:t>79</w:t>
    </w:r>
  </w:p>
  <w:p w:rsidR="009838BC" w:rsidRPr="009838BC" w:rsidP="009838BC" w14:paraId="21BEEBE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46C331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2686943"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268BC805">
                          <w:pPr>
                            <w:rPr>
                              <w:rFonts w:ascii="Arial" w:hAnsi="Arial"/>
                              <w:b/>
                            </w:rPr>
                          </w:pPr>
                          <w:r w:rsidRPr="00F46264">
                            <w:rPr>
                              <w:rFonts w:ascii="Arial" w:hAnsi="Arial"/>
                              <w:b/>
                            </w:rPr>
                            <w:t xml:space="preserve">45 </w:t>
                          </w:r>
                          <w:r w:rsidRPr="00F46264" w:rsidR="00F46264">
                            <w:rPr>
                              <w:rFonts w:ascii="Arial" w:hAnsi="Arial"/>
                              <w:b/>
                            </w:rPr>
                            <w:t>L</w:t>
                          </w:r>
                          <w:r w:rsidRPr="00F46264">
                            <w:rPr>
                              <w:rFonts w:ascii="Arial" w:hAnsi="Arial"/>
                              <w:b/>
                            </w:rPr>
                            <w:t xml:space="preserve"> St., </w:t>
                          </w:r>
                          <w:r w:rsidRPr="00F46264" w:rsidR="00F46264">
                            <w:rPr>
                              <w:rFonts w:ascii="Arial" w:hAnsi="Arial"/>
                              <w:b/>
                            </w:rPr>
                            <w:t>N</w:t>
                          </w:r>
                          <w:r w:rsidRPr="00F46264">
                            <w:rPr>
                              <w:rFonts w:ascii="Arial" w:hAnsi="Arial"/>
                              <w:b/>
                            </w:rPr>
                            <w:t>.</w:t>
                          </w:r>
                          <w:r w:rsidRPr="00F46264" w:rsidR="00F46264">
                            <w:rPr>
                              <w:rFonts w:ascii="Arial" w:hAnsi="Arial"/>
                              <w:b/>
                            </w:rPr>
                            <w:t>E</w:t>
                          </w:r>
                          <w:r w:rsidRPr="00F46264">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D2FA258" w14:textId="77777777">
                    <w:pPr>
                      <w:rPr>
                        <w:rFonts w:ascii="Arial" w:hAnsi="Arial"/>
                        <w:b/>
                      </w:rPr>
                    </w:pPr>
                    <w:r>
                      <w:rPr>
                        <w:rFonts w:ascii="Arial" w:hAnsi="Arial"/>
                        <w:b/>
                      </w:rPr>
                      <w:t>Federal Communications Commission</w:t>
                    </w:r>
                  </w:p>
                  <w:p w:rsidR="009838BC" w:rsidP="009838BC" w14:paraId="1773C7A3" w14:textId="268BC805">
                    <w:pPr>
                      <w:rPr>
                        <w:rFonts w:ascii="Arial" w:hAnsi="Arial"/>
                        <w:b/>
                      </w:rPr>
                    </w:pPr>
                    <w:r w:rsidRPr="00F46264">
                      <w:rPr>
                        <w:rFonts w:ascii="Arial" w:hAnsi="Arial"/>
                        <w:b/>
                      </w:rPr>
                      <w:t xml:space="preserve">45 </w:t>
                    </w:r>
                    <w:r w:rsidRPr="00F46264" w:rsidR="00F46264">
                      <w:rPr>
                        <w:rFonts w:ascii="Arial" w:hAnsi="Arial"/>
                        <w:b/>
                      </w:rPr>
                      <w:t>L</w:t>
                    </w:r>
                    <w:r w:rsidRPr="00F46264">
                      <w:rPr>
                        <w:rFonts w:ascii="Arial" w:hAnsi="Arial"/>
                        <w:b/>
                      </w:rPr>
                      <w:t xml:space="preserve"> St., </w:t>
                    </w:r>
                    <w:r w:rsidRPr="00F46264" w:rsidR="00F46264">
                      <w:rPr>
                        <w:rFonts w:ascii="Arial" w:hAnsi="Arial"/>
                        <w:b/>
                      </w:rPr>
                      <w:t>N</w:t>
                    </w:r>
                    <w:r w:rsidRPr="00F46264">
                      <w:rPr>
                        <w:rFonts w:ascii="Arial" w:hAnsi="Arial"/>
                        <w:b/>
                      </w:rPr>
                      <w:t>.</w:t>
                    </w:r>
                    <w:r w:rsidRPr="00F46264" w:rsidR="00F46264">
                      <w:rPr>
                        <w:rFonts w:ascii="Arial" w:hAnsi="Arial"/>
                        <w:b/>
                      </w:rPr>
                      <w:t>E</w:t>
                    </w:r>
                    <w:r w:rsidRPr="00F46264">
                      <w:rPr>
                        <w:rFonts w:ascii="Arial" w:hAnsi="Arial"/>
                        <w:b/>
                      </w:rPr>
                      <w:t>.</w:t>
                    </w:r>
                  </w:p>
                  <w:p w:rsidR="009838BC" w:rsidP="009838BC" w14:paraId="4FBE7E7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A9B0DFA"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4F19A66" w14:textId="77777777">
                    <w:pPr>
                      <w:spacing w:before="40"/>
                      <w:jc w:val="right"/>
                      <w:rPr>
                        <w:rFonts w:ascii="Arial" w:hAnsi="Arial"/>
                        <w:b/>
                        <w:sz w:val="16"/>
                      </w:rPr>
                    </w:pPr>
                    <w:r>
                      <w:rPr>
                        <w:rFonts w:ascii="Arial" w:hAnsi="Arial"/>
                        <w:b/>
                        <w:sz w:val="16"/>
                      </w:rPr>
                      <w:t>News Media Information 202 / 418-0500</w:t>
                    </w:r>
                  </w:p>
                  <w:p w:rsidR="009838BC" w:rsidP="009838BC" w14:paraId="73BD40F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E719AE5" w14:textId="77777777">
                    <w:pPr>
                      <w:jc w:val="right"/>
                    </w:pPr>
                    <w:r>
                      <w:rPr>
                        <w:rFonts w:ascii="Arial" w:hAnsi="Arial"/>
                        <w:b/>
                        <w:sz w:val="16"/>
                      </w:rPr>
                      <w:t>TTY: 1-888-835-5322</w:t>
                    </w:r>
                  </w:p>
                </w:txbxContent>
              </v:textbox>
            </v:shape>
          </w:pict>
        </mc:Fallback>
      </mc:AlternateContent>
    </w:r>
  </w:p>
  <w:p w:rsidR="006F7393" w:rsidRPr="009838BC" w:rsidP="009838BC" w14:paraId="7973F31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A4"/>
    <w:rsid w:val="000072CE"/>
    <w:rsid w:val="00013A8B"/>
    <w:rsid w:val="00020216"/>
    <w:rsid w:val="00021445"/>
    <w:rsid w:val="00036039"/>
    <w:rsid w:val="00037F90"/>
    <w:rsid w:val="00047B51"/>
    <w:rsid w:val="000875BF"/>
    <w:rsid w:val="00096D8C"/>
    <w:rsid w:val="000A787B"/>
    <w:rsid w:val="000C0B65"/>
    <w:rsid w:val="000E3D42"/>
    <w:rsid w:val="000E5884"/>
    <w:rsid w:val="000F7DAD"/>
    <w:rsid w:val="00122BD5"/>
    <w:rsid w:val="00124B6C"/>
    <w:rsid w:val="001979D9"/>
    <w:rsid w:val="001D6BCF"/>
    <w:rsid w:val="001E01CA"/>
    <w:rsid w:val="001E5ADC"/>
    <w:rsid w:val="001E664C"/>
    <w:rsid w:val="002060D9"/>
    <w:rsid w:val="002076F0"/>
    <w:rsid w:val="00211EE4"/>
    <w:rsid w:val="00226822"/>
    <w:rsid w:val="00240994"/>
    <w:rsid w:val="00260594"/>
    <w:rsid w:val="00275CCC"/>
    <w:rsid w:val="0027688E"/>
    <w:rsid w:val="00285017"/>
    <w:rsid w:val="002A2D2E"/>
    <w:rsid w:val="00301106"/>
    <w:rsid w:val="00322E5D"/>
    <w:rsid w:val="00330848"/>
    <w:rsid w:val="00343749"/>
    <w:rsid w:val="00357D50"/>
    <w:rsid w:val="003925DC"/>
    <w:rsid w:val="003A2CE9"/>
    <w:rsid w:val="003B0550"/>
    <w:rsid w:val="003B694F"/>
    <w:rsid w:val="003F171C"/>
    <w:rsid w:val="00412FC5"/>
    <w:rsid w:val="004168D1"/>
    <w:rsid w:val="00422276"/>
    <w:rsid w:val="004242F1"/>
    <w:rsid w:val="00445A00"/>
    <w:rsid w:val="00451B0F"/>
    <w:rsid w:val="00457B7B"/>
    <w:rsid w:val="0046125F"/>
    <w:rsid w:val="00472988"/>
    <w:rsid w:val="00474D0A"/>
    <w:rsid w:val="00484998"/>
    <w:rsid w:val="00487524"/>
    <w:rsid w:val="00491691"/>
    <w:rsid w:val="00496106"/>
    <w:rsid w:val="004A50D1"/>
    <w:rsid w:val="004B1E45"/>
    <w:rsid w:val="004C12D0"/>
    <w:rsid w:val="004C2EE3"/>
    <w:rsid w:val="004E4A22"/>
    <w:rsid w:val="00511968"/>
    <w:rsid w:val="00551D72"/>
    <w:rsid w:val="0055614C"/>
    <w:rsid w:val="00590368"/>
    <w:rsid w:val="005940DA"/>
    <w:rsid w:val="005B54B3"/>
    <w:rsid w:val="00607BA5"/>
    <w:rsid w:val="00626EB6"/>
    <w:rsid w:val="00626F55"/>
    <w:rsid w:val="006353A3"/>
    <w:rsid w:val="00655B75"/>
    <w:rsid w:val="00655D03"/>
    <w:rsid w:val="00683F84"/>
    <w:rsid w:val="006A6A81"/>
    <w:rsid w:val="006C14EC"/>
    <w:rsid w:val="006D7B43"/>
    <w:rsid w:val="006E26AF"/>
    <w:rsid w:val="006F7393"/>
    <w:rsid w:val="0070224F"/>
    <w:rsid w:val="00705DD2"/>
    <w:rsid w:val="007115F7"/>
    <w:rsid w:val="007168C4"/>
    <w:rsid w:val="00726488"/>
    <w:rsid w:val="00757061"/>
    <w:rsid w:val="007849D2"/>
    <w:rsid w:val="00785689"/>
    <w:rsid w:val="0079754B"/>
    <w:rsid w:val="007A1E6D"/>
    <w:rsid w:val="007A647D"/>
    <w:rsid w:val="007D0A35"/>
    <w:rsid w:val="00822CE0"/>
    <w:rsid w:val="00837C62"/>
    <w:rsid w:val="00841AB1"/>
    <w:rsid w:val="00843358"/>
    <w:rsid w:val="008C22FD"/>
    <w:rsid w:val="008C5914"/>
    <w:rsid w:val="008D3C94"/>
    <w:rsid w:val="00910F12"/>
    <w:rsid w:val="0092568F"/>
    <w:rsid w:val="00926503"/>
    <w:rsid w:val="00930ECF"/>
    <w:rsid w:val="00945806"/>
    <w:rsid w:val="00947652"/>
    <w:rsid w:val="009561A1"/>
    <w:rsid w:val="00983169"/>
    <w:rsid w:val="009838BC"/>
    <w:rsid w:val="009A1CB1"/>
    <w:rsid w:val="009B47DE"/>
    <w:rsid w:val="00A0010A"/>
    <w:rsid w:val="00A12D56"/>
    <w:rsid w:val="00A23C35"/>
    <w:rsid w:val="00A4031A"/>
    <w:rsid w:val="00A42FE8"/>
    <w:rsid w:val="00A45F4F"/>
    <w:rsid w:val="00A600A9"/>
    <w:rsid w:val="00A866AC"/>
    <w:rsid w:val="00A91886"/>
    <w:rsid w:val="00AA2ED9"/>
    <w:rsid w:val="00AA55B7"/>
    <w:rsid w:val="00AA5B9E"/>
    <w:rsid w:val="00AB0DA6"/>
    <w:rsid w:val="00AB2407"/>
    <w:rsid w:val="00AB53DF"/>
    <w:rsid w:val="00AD7589"/>
    <w:rsid w:val="00AF5389"/>
    <w:rsid w:val="00AF72DB"/>
    <w:rsid w:val="00B046A4"/>
    <w:rsid w:val="00B07E5C"/>
    <w:rsid w:val="00B20363"/>
    <w:rsid w:val="00B326E3"/>
    <w:rsid w:val="00B364A7"/>
    <w:rsid w:val="00B4409C"/>
    <w:rsid w:val="00B67FF9"/>
    <w:rsid w:val="00B74C60"/>
    <w:rsid w:val="00B811F7"/>
    <w:rsid w:val="00B9623F"/>
    <w:rsid w:val="00BA5DC6"/>
    <w:rsid w:val="00BA6196"/>
    <w:rsid w:val="00BC6D8C"/>
    <w:rsid w:val="00BD3E7E"/>
    <w:rsid w:val="00BE6DF9"/>
    <w:rsid w:val="00BF0616"/>
    <w:rsid w:val="00C03F3F"/>
    <w:rsid w:val="00C03F74"/>
    <w:rsid w:val="00C168F3"/>
    <w:rsid w:val="00C16AF2"/>
    <w:rsid w:val="00C33A42"/>
    <w:rsid w:val="00C34006"/>
    <w:rsid w:val="00C426B1"/>
    <w:rsid w:val="00C45B0F"/>
    <w:rsid w:val="00C50F6E"/>
    <w:rsid w:val="00C82B6B"/>
    <w:rsid w:val="00C90D6A"/>
    <w:rsid w:val="00CC484E"/>
    <w:rsid w:val="00CC72B6"/>
    <w:rsid w:val="00CD4080"/>
    <w:rsid w:val="00D0218D"/>
    <w:rsid w:val="00D216CD"/>
    <w:rsid w:val="00D653FE"/>
    <w:rsid w:val="00D92803"/>
    <w:rsid w:val="00DA2529"/>
    <w:rsid w:val="00DB130A"/>
    <w:rsid w:val="00DC10A1"/>
    <w:rsid w:val="00DC655F"/>
    <w:rsid w:val="00DD7EBD"/>
    <w:rsid w:val="00DF62B6"/>
    <w:rsid w:val="00E034FE"/>
    <w:rsid w:val="00E07225"/>
    <w:rsid w:val="00E155B7"/>
    <w:rsid w:val="00E24DA2"/>
    <w:rsid w:val="00E2652B"/>
    <w:rsid w:val="00E5409F"/>
    <w:rsid w:val="00E66566"/>
    <w:rsid w:val="00EC0185"/>
    <w:rsid w:val="00EE6678"/>
    <w:rsid w:val="00F021FA"/>
    <w:rsid w:val="00F03F15"/>
    <w:rsid w:val="00F123CD"/>
    <w:rsid w:val="00F46264"/>
    <w:rsid w:val="00F57ACA"/>
    <w:rsid w:val="00F62E97"/>
    <w:rsid w:val="00F64209"/>
    <w:rsid w:val="00F93BF5"/>
    <w:rsid w:val="00F96F63"/>
    <w:rsid w:val="00FB697E"/>
    <w:rsid w:val="08134DF4"/>
    <w:rsid w:val="0D164A87"/>
    <w:rsid w:val="1A620639"/>
    <w:rsid w:val="1D61E47D"/>
    <w:rsid w:val="1EFDB4DE"/>
    <w:rsid w:val="20446A7B"/>
    <w:rsid w:val="2CAB1CB3"/>
    <w:rsid w:val="2F1BC62E"/>
    <w:rsid w:val="34AEA074"/>
    <w:rsid w:val="3652C7BB"/>
    <w:rsid w:val="3726D813"/>
    <w:rsid w:val="3E89DC8A"/>
    <w:rsid w:val="3FF66734"/>
    <w:rsid w:val="409A6EA7"/>
    <w:rsid w:val="43EC32BE"/>
    <w:rsid w:val="4E781100"/>
    <w:rsid w:val="555C2DDB"/>
    <w:rsid w:val="5760CEA9"/>
    <w:rsid w:val="57F2202B"/>
    <w:rsid w:val="612826BD"/>
    <w:rsid w:val="635A2A38"/>
    <w:rsid w:val="6696D2CF"/>
    <w:rsid w:val="6782A83C"/>
    <w:rsid w:val="71F86F4F"/>
    <w:rsid w:val="75301011"/>
    <w:rsid w:val="7935E9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354D92"/>
  <w15:chartTrackingRefBased/>
  <w15:docId w15:val="{24E5F5F6-6B8D-480F-8373-22C9669A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4,Style 6,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947652"/>
    <w:rPr>
      <w:color w:val="605E5C"/>
      <w:shd w:val="clear" w:color="auto" w:fill="E1DFDD"/>
    </w:rPr>
  </w:style>
  <w:style w:type="paragraph" w:styleId="BalloonText">
    <w:name w:val="Balloon Text"/>
    <w:basedOn w:val="Normal"/>
    <w:link w:val="BalloonTextChar"/>
    <w:uiPriority w:val="99"/>
    <w:semiHidden/>
    <w:unhideWhenUsed/>
    <w:rsid w:val="008D3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C9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983169"/>
    <w:rPr>
      <w:sz w:val="16"/>
      <w:szCs w:val="16"/>
    </w:rPr>
  </w:style>
  <w:style w:type="paragraph" w:styleId="CommentText">
    <w:name w:val="annotation text"/>
    <w:basedOn w:val="Normal"/>
    <w:link w:val="CommentTextChar"/>
    <w:uiPriority w:val="99"/>
    <w:semiHidden/>
    <w:unhideWhenUsed/>
    <w:rsid w:val="00983169"/>
    <w:rPr>
      <w:sz w:val="20"/>
    </w:rPr>
  </w:style>
  <w:style w:type="character" w:customStyle="1" w:styleId="CommentTextChar">
    <w:name w:val="Comment Text Char"/>
    <w:basedOn w:val="DefaultParagraphFont"/>
    <w:link w:val="CommentText"/>
    <w:uiPriority w:val="99"/>
    <w:semiHidden/>
    <w:rsid w:val="00983169"/>
    <w:rPr>
      <w:snapToGrid w:val="0"/>
      <w:kern w:val="28"/>
    </w:rPr>
  </w:style>
  <w:style w:type="paragraph" w:styleId="CommentSubject">
    <w:name w:val="annotation subject"/>
    <w:basedOn w:val="CommentText"/>
    <w:next w:val="CommentText"/>
    <w:link w:val="CommentSubjectChar"/>
    <w:uiPriority w:val="99"/>
    <w:semiHidden/>
    <w:unhideWhenUsed/>
    <w:rsid w:val="00983169"/>
    <w:rPr>
      <w:b/>
      <w:bCs/>
    </w:rPr>
  </w:style>
  <w:style w:type="character" w:customStyle="1" w:styleId="CommentSubjectChar">
    <w:name w:val="Comment Subject Char"/>
    <w:basedOn w:val="CommentTextChar"/>
    <w:link w:val="CommentSubject"/>
    <w:uiPriority w:val="99"/>
    <w:semiHidden/>
    <w:rsid w:val="00983169"/>
    <w:rPr>
      <w:b/>
      <w:bCs/>
      <w:snapToGrid w:val="0"/>
      <w:kern w:val="28"/>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1"/>
    <w:link w:val="FootnoteText"/>
    <w:rsid w:val="00D653FE"/>
  </w:style>
  <w:style w:type="character" w:customStyle="1" w:styleId="ALTSFOOTNOTEChar">
    <w:name w:val="ALTS FOOTNOTE Char"/>
    <w:aliases w:val="Footnote Text Char Char Char4 Char Char,Footnote Text Char1 Char,Footnote Text Char3 Char,Footnote Text Char4 Char1 Char Char,Footnote Text Char4 Char1 Char Char Char Char Char,Footnote Text Char7 Char Char,fn Char"/>
    <w:basedOn w:val="DefaultParagraphFont"/>
    <w:rsid w:val="00B9623F"/>
  </w:style>
  <w:style w:type="character" w:customStyle="1" w:styleId="UnresolvedMention">
    <w:name w:val="Unresolved Mention"/>
    <w:basedOn w:val="DefaultParagraphFont"/>
    <w:uiPriority w:val="99"/>
    <w:rsid w:val="00C0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ichard.Arsenaul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