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80E420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607FBA8" w14:textId="77777777">
      <w:pPr>
        <w:pStyle w:val="StyleBoldCentered"/>
      </w:pPr>
      <w:r>
        <w:t>F</w:t>
      </w:r>
      <w:r>
        <w:rPr>
          <w:caps w:val="0"/>
        </w:rPr>
        <w:t>ederal Communications Commission</w:t>
      </w:r>
    </w:p>
    <w:p w:rsidR="004C2EE3" w:rsidP="00096D8C" w14:paraId="1B4E3234" w14:textId="77777777">
      <w:pPr>
        <w:pStyle w:val="StyleBoldCentered"/>
      </w:pPr>
      <w:r>
        <w:rPr>
          <w:caps w:val="0"/>
        </w:rPr>
        <w:t>Washington, D.C. 20554</w:t>
      </w:r>
    </w:p>
    <w:p w:rsidR="004C2EE3" w:rsidP="0070224F" w14:paraId="21E8A406" w14:textId="77777777"/>
    <w:p w:rsidR="004C2EE3" w:rsidP="0070224F" w14:paraId="74E93751" w14:textId="77777777"/>
    <w:tbl>
      <w:tblPr>
        <w:tblW w:w="0" w:type="auto"/>
        <w:tblLayout w:type="fixed"/>
        <w:tblLook w:val="0000"/>
      </w:tblPr>
      <w:tblGrid>
        <w:gridCol w:w="4698"/>
        <w:gridCol w:w="630"/>
        <w:gridCol w:w="4248"/>
      </w:tblGrid>
      <w:tr w14:paraId="4EA59BAB" w14:textId="77777777">
        <w:tblPrEx>
          <w:tblW w:w="0" w:type="auto"/>
          <w:tblLayout w:type="fixed"/>
          <w:tblLook w:val="0000"/>
        </w:tblPrEx>
        <w:tc>
          <w:tcPr>
            <w:tcW w:w="4698" w:type="dxa"/>
          </w:tcPr>
          <w:p w:rsidR="004C2EE3" w14:paraId="31FC2705" w14:textId="77777777">
            <w:pPr>
              <w:tabs>
                <w:tab w:val="center" w:pos="4680"/>
              </w:tabs>
              <w:suppressAutoHyphens/>
              <w:rPr>
                <w:spacing w:val="-2"/>
              </w:rPr>
            </w:pPr>
            <w:r>
              <w:rPr>
                <w:spacing w:val="-2"/>
              </w:rPr>
              <w:t>In the Matter of</w:t>
            </w:r>
          </w:p>
          <w:p w:rsidR="004C2EE3" w14:paraId="3171C9C0" w14:textId="77777777">
            <w:pPr>
              <w:tabs>
                <w:tab w:val="center" w:pos="4680"/>
              </w:tabs>
              <w:suppressAutoHyphens/>
              <w:rPr>
                <w:spacing w:val="-2"/>
              </w:rPr>
            </w:pPr>
          </w:p>
          <w:p w:rsidR="00A93B0A" w:rsidRPr="00A93B0A" w:rsidP="00A93B0A" w14:paraId="514508CE" w14:textId="77777777">
            <w:pPr>
              <w:tabs>
                <w:tab w:val="center" w:pos="4680"/>
              </w:tabs>
              <w:suppressAutoHyphens/>
              <w:rPr>
                <w:spacing w:val="-2"/>
              </w:rPr>
            </w:pPr>
            <w:r w:rsidRPr="00A93B0A">
              <w:rPr>
                <w:spacing w:val="-2"/>
              </w:rPr>
              <w:t>Peloton Interactive, Inc.</w:t>
            </w:r>
          </w:p>
          <w:p w:rsidR="00A93B0A" w:rsidRPr="00A93B0A" w:rsidP="00A93B0A" w14:paraId="606FB0C8" w14:textId="77777777">
            <w:pPr>
              <w:tabs>
                <w:tab w:val="center" w:pos="4680"/>
              </w:tabs>
              <w:suppressAutoHyphens/>
              <w:rPr>
                <w:spacing w:val="-2"/>
              </w:rPr>
            </w:pPr>
          </w:p>
          <w:p w:rsidR="004C2EE3" w:rsidRPr="007115F7" w:rsidP="00A93B0A" w14:paraId="7555A9E8" w14:textId="37DDE2B7">
            <w:pPr>
              <w:tabs>
                <w:tab w:val="center" w:pos="4680"/>
              </w:tabs>
              <w:suppressAutoHyphens/>
              <w:rPr>
                <w:spacing w:val="-2"/>
              </w:rPr>
            </w:pPr>
            <w:r w:rsidRPr="00A93B0A">
              <w:rPr>
                <w:spacing w:val="-2"/>
              </w:rPr>
              <w:t>Petition for Limited Waiver of Accessible User Interfaces Requirements</w:t>
            </w:r>
          </w:p>
        </w:tc>
        <w:tc>
          <w:tcPr>
            <w:tcW w:w="630" w:type="dxa"/>
          </w:tcPr>
          <w:p w:rsidR="004C2EE3" w14:paraId="72641D58" w14:textId="77777777">
            <w:pPr>
              <w:tabs>
                <w:tab w:val="center" w:pos="4680"/>
              </w:tabs>
              <w:suppressAutoHyphens/>
              <w:rPr>
                <w:b/>
                <w:spacing w:val="-2"/>
              </w:rPr>
            </w:pPr>
            <w:r>
              <w:rPr>
                <w:b/>
                <w:spacing w:val="-2"/>
              </w:rPr>
              <w:t>)</w:t>
            </w:r>
          </w:p>
          <w:p w:rsidR="004C2EE3" w14:paraId="05C6A0C0" w14:textId="77777777">
            <w:pPr>
              <w:tabs>
                <w:tab w:val="center" w:pos="4680"/>
              </w:tabs>
              <w:suppressAutoHyphens/>
              <w:rPr>
                <w:b/>
                <w:spacing w:val="-2"/>
              </w:rPr>
            </w:pPr>
            <w:r>
              <w:rPr>
                <w:b/>
                <w:spacing w:val="-2"/>
              </w:rPr>
              <w:t>)</w:t>
            </w:r>
          </w:p>
          <w:p w:rsidR="004C2EE3" w14:paraId="301188E5" w14:textId="77777777">
            <w:pPr>
              <w:tabs>
                <w:tab w:val="center" w:pos="4680"/>
              </w:tabs>
              <w:suppressAutoHyphens/>
              <w:rPr>
                <w:b/>
                <w:spacing w:val="-2"/>
              </w:rPr>
            </w:pPr>
            <w:r>
              <w:rPr>
                <w:b/>
                <w:spacing w:val="-2"/>
              </w:rPr>
              <w:t>)</w:t>
            </w:r>
          </w:p>
          <w:p w:rsidR="004C2EE3" w14:paraId="2BBD73F0" w14:textId="77777777">
            <w:pPr>
              <w:tabs>
                <w:tab w:val="center" w:pos="4680"/>
              </w:tabs>
              <w:suppressAutoHyphens/>
              <w:rPr>
                <w:b/>
                <w:spacing w:val="-2"/>
              </w:rPr>
            </w:pPr>
            <w:r>
              <w:rPr>
                <w:b/>
                <w:spacing w:val="-2"/>
              </w:rPr>
              <w:t>)</w:t>
            </w:r>
          </w:p>
          <w:p w:rsidR="004C2EE3" w14:paraId="1E158140" w14:textId="77777777">
            <w:pPr>
              <w:tabs>
                <w:tab w:val="center" w:pos="4680"/>
              </w:tabs>
              <w:suppressAutoHyphens/>
              <w:rPr>
                <w:b/>
                <w:spacing w:val="-2"/>
              </w:rPr>
            </w:pPr>
            <w:r>
              <w:rPr>
                <w:b/>
                <w:spacing w:val="-2"/>
              </w:rPr>
              <w:t>)</w:t>
            </w:r>
          </w:p>
          <w:p w:rsidR="004C2EE3" w14:paraId="3A0C3D88" w14:textId="77777777">
            <w:pPr>
              <w:tabs>
                <w:tab w:val="center" w:pos="4680"/>
              </w:tabs>
              <w:suppressAutoHyphens/>
              <w:rPr>
                <w:b/>
                <w:spacing w:val="-2"/>
              </w:rPr>
            </w:pPr>
            <w:r>
              <w:rPr>
                <w:b/>
                <w:spacing w:val="-2"/>
              </w:rPr>
              <w:t>)</w:t>
            </w:r>
          </w:p>
          <w:p w:rsidR="004C2EE3" w:rsidRPr="00A93B0A" w14:paraId="2D807D3E" w14:textId="0F2AF20E">
            <w:pPr>
              <w:tabs>
                <w:tab w:val="center" w:pos="4680"/>
              </w:tabs>
              <w:suppressAutoHyphens/>
              <w:rPr>
                <w:b/>
                <w:spacing w:val="-2"/>
              </w:rPr>
            </w:pPr>
            <w:r>
              <w:rPr>
                <w:b/>
                <w:spacing w:val="-2"/>
              </w:rPr>
              <w:t>)</w:t>
            </w:r>
          </w:p>
        </w:tc>
        <w:tc>
          <w:tcPr>
            <w:tcW w:w="4248" w:type="dxa"/>
          </w:tcPr>
          <w:p w:rsidR="004C2EE3" w14:paraId="35517AED" w14:textId="77777777">
            <w:pPr>
              <w:tabs>
                <w:tab w:val="center" w:pos="4680"/>
              </w:tabs>
              <w:suppressAutoHyphens/>
              <w:rPr>
                <w:spacing w:val="-2"/>
              </w:rPr>
            </w:pPr>
          </w:p>
          <w:p w:rsidR="004C2EE3" w14:paraId="11E5AC45" w14:textId="77777777">
            <w:pPr>
              <w:pStyle w:val="TOAHeading"/>
              <w:tabs>
                <w:tab w:val="center" w:pos="4680"/>
                <w:tab w:val="clear" w:pos="9360"/>
              </w:tabs>
              <w:rPr>
                <w:spacing w:val="-2"/>
              </w:rPr>
            </w:pPr>
          </w:p>
          <w:p w:rsidR="00A93B0A" w:rsidRPr="00A93B0A" w:rsidP="00A93B0A" w14:paraId="494BEFB2" w14:textId="77777777">
            <w:pPr>
              <w:pStyle w:val="TOAHeading"/>
              <w:tabs>
                <w:tab w:val="center" w:pos="4680"/>
              </w:tabs>
              <w:rPr>
                <w:spacing w:val="-2"/>
              </w:rPr>
            </w:pPr>
            <w:r w:rsidRPr="00A93B0A">
              <w:rPr>
                <w:spacing w:val="-2"/>
              </w:rPr>
              <w:t xml:space="preserve">MB Docket No. 12-108 </w:t>
            </w:r>
          </w:p>
          <w:p w:rsidR="00A93B0A" w:rsidRPr="00A93B0A" w:rsidP="00A93B0A" w14:paraId="0137650C" w14:textId="77777777">
            <w:pPr>
              <w:pStyle w:val="TOAHeading"/>
              <w:tabs>
                <w:tab w:val="center" w:pos="4680"/>
              </w:tabs>
              <w:rPr>
                <w:spacing w:val="-2"/>
              </w:rPr>
            </w:pPr>
          </w:p>
          <w:p w:rsidR="004C2EE3" w:rsidP="00A93B0A" w14:paraId="330E8233" w14:textId="452C279E">
            <w:pPr>
              <w:tabs>
                <w:tab w:val="center" w:pos="4680"/>
              </w:tabs>
              <w:suppressAutoHyphens/>
              <w:rPr>
                <w:spacing w:val="-2"/>
              </w:rPr>
            </w:pPr>
            <w:r w:rsidRPr="00A93B0A">
              <w:rPr>
                <w:spacing w:val="-2"/>
              </w:rPr>
              <w:t>GN Docket No. 21-140</w:t>
            </w:r>
          </w:p>
        </w:tc>
      </w:tr>
    </w:tbl>
    <w:p w:rsidR="004C2EE3" w:rsidP="0070224F" w14:paraId="4251D15A" w14:textId="77777777"/>
    <w:p w:rsidR="00841AB1" w:rsidP="00F021FA" w14:paraId="57D9488E" w14:textId="2B4A2137">
      <w:pPr>
        <w:pStyle w:val="StyleBoldCentered"/>
      </w:pPr>
      <w:r>
        <w:t>Order</w:t>
      </w:r>
    </w:p>
    <w:p w:rsidR="004C2EE3" w14:paraId="45C147C7" w14:textId="77777777">
      <w:pPr>
        <w:tabs>
          <w:tab w:val="left" w:pos="-720"/>
        </w:tabs>
        <w:suppressAutoHyphens/>
        <w:spacing w:line="227" w:lineRule="auto"/>
        <w:rPr>
          <w:spacing w:val="-2"/>
        </w:rPr>
      </w:pPr>
    </w:p>
    <w:p w:rsidR="004C2EE3" w:rsidP="00133F79" w14:paraId="22EB6F1E" w14:textId="3B2FC2EE">
      <w:pPr>
        <w:tabs>
          <w:tab w:val="left" w:pos="720"/>
          <w:tab w:val="right" w:pos="9360"/>
        </w:tabs>
        <w:suppressAutoHyphens/>
        <w:spacing w:line="227" w:lineRule="auto"/>
        <w:rPr>
          <w:spacing w:val="-2"/>
        </w:rPr>
      </w:pPr>
      <w:r>
        <w:rPr>
          <w:b/>
          <w:spacing w:val="-2"/>
        </w:rPr>
        <w:t xml:space="preserve">Adopted:  </w:t>
      </w:r>
      <w:r w:rsidR="00A93B0A">
        <w:rPr>
          <w:b/>
          <w:spacing w:val="-2"/>
        </w:rPr>
        <w:t>August 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93B0A">
        <w:rPr>
          <w:b/>
          <w:spacing w:val="-2"/>
        </w:rPr>
        <w:t>August 1, 2022</w:t>
      </w:r>
    </w:p>
    <w:p w:rsidR="00822CE0" w14:paraId="3D1292DD" w14:textId="77777777"/>
    <w:p w:rsidR="004C2EE3" w14:paraId="0C98EE46" w14:textId="6E17E35F">
      <w:pPr>
        <w:rPr>
          <w:spacing w:val="-2"/>
        </w:rPr>
      </w:pPr>
      <w:r>
        <w:t xml:space="preserve">By </w:t>
      </w:r>
      <w:r w:rsidR="004E4A22">
        <w:t>the</w:t>
      </w:r>
      <w:r w:rsidR="002A2D2E">
        <w:t xml:space="preserve"> </w:t>
      </w:r>
      <w:r w:rsidR="00A93B0A">
        <w:rPr>
          <w:spacing w:val="-2"/>
        </w:rPr>
        <w:t>Chief, Policy Division, Media Bureau</w:t>
      </w:r>
      <w:r>
        <w:rPr>
          <w:spacing w:val="-2"/>
        </w:rPr>
        <w:t>:</w:t>
      </w:r>
    </w:p>
    <w:p w:rsidR="00822CE0" w14:paraId="61F99991" w14:textId="77777777">
      <w:pPr>
        <w:rPr>
          <w:spacing w:val="-2"/>
        </w:rPr>
      </w:pPr>
    </w:p>
    <w:p w:rsidR="00A93B0A" w:rsidRPr="00F2444D" w:rsidP="00A93B0A" w14:paraId="3F853AF9" w14:textId="77777777">
      <w:pPr>
        <w:pStyle w:val="ParaNum"/>
      </w:pPr>
      <w:r w:rsidRPr="00A775EF">
        <w:t>On December 20, 2021, Peloton Interactive, Inc. (Peloton) filed a petition requesting a limited waiver of the Commission’s rules requiring the accessibility of user interfaces on covered digital apparatus.</w:t>
      </w:r>
      <w:r>
        <w:rPr>
          <w:sz w:val="20"/>
          <w:vertAlign w:val="superscript"/>
        </w:rPr>
        <w:footnoteReference w:id="3"/>
      </w:r>
      <w:r w:rsidRPr="00A775EF">
        <w:t xml:space="preserve">  On July 15, 2022, Peloton filed a request to withdraw the Petition.</w:t>
      </w:r>
      <w:r>
        <w:rPr>
          <w:rStyle w:val="FootnoteReference"/>
        </w:rPr>
        <w:footnoteReference w:id="4"/>
      </w:r>
      <w:r w:rsidRPr="00A775EF">
        <w:t xml:space="preserve">  </w:t>
      </w:r>
      <w:r>
        <w:t>Peloton references</w:t>
      </w:r>
      <w:r w:rsidRPr="00A775EF">
        <w:t xml:space="preserve"> collaborati</w:t>
      </w:r>
      <w:r>
        <w:t>on</w:t>
      </w:r>
      <w:r w:rsidRPr="00A775EF">
        <w:t xml:space="preserve"> with </w:t>
      </w:r>
      <w:r>
        <w:t xml:space="preserve">stakeholders </w:t>
      </w:r>
      <w:r w:rsidRPr="00A775EF">
        <w:t xml:space="preserve">including the American </w:t>
      </w:r>
      <w:r w:rsidRPr="00F2444D">
        <w:t>Council of the Blind (ACB) and Telecommunications for the Deaf and Hard of Hearing, Inc.</w:t>
      </w:r>
      <w:r>
        <w:t xml:space="preserve"> (TDI).</w:t>
      </w:r>
      <w:r>
        <w:rPr>
          <w:rStyle w:val="FootnoteReference"/>
        </w:rPr>
        <w:footnoteReference w:id="5"/>
      </w:r>
      <w:r w:rsidRPr="00F2444D">
        <w:t xml:space="preserve">  </w:t>
      </w:r>
      <w:r>
        <w:t>ACB and TDI along with the Hearing Loss Association of America (HLAA), Helen Keller National Center (HKNC), and National Association of the Deaf (NAD) have indicated that they</w:t>
      </w:r>
      <w:r w:rsidRPr="00F2444D">
        <w:t xml:space="preserve"> support the Withdrawal Request.</w:t>
      </w:r>
      <w:r>
        <w:rPr>
          <w:rStyle w:val="FootnoteReference"/>
        </w:rPr>
        <w:footnoteReference w:id="6"/>
      </w:r>
      <w:r w:rsidRPr="00F2444D">
        <w:t xml:space="preserve"> </w:t>
      </w:r>
    </w:p>
    <w:p w:rsidR="00A93B0A" w:rsidP="00A93B0A" w14:paraId="7002F585" w14:textId="3EF8C562">
      <w:pPr>
        <w:pStyle w:val="ParaNum"/>
        <w:keepNext/>
        <w:keepLines/>
        <w:widowControl/>
      </w:pPr>
      <w:r w:rsidRPr="00F2444D">
        <w:t xml:space="preserve">Accordingly, </w:t>
      </w:r>
      <w:r w:rsidRPr="700E4D73">
        <w:rPr>
          <w:b/>
          <w:bCs/>
        </w:rPr>
        <w:t>IT IS ORDERED</w:t>
      </w:r>
      <w:r>
        <w:t xml:space="preserve"> that pursuant to section 4(</w:t>
      </w:r>
      <w:r>
        <w:t>i</w:t>
      </w:r>
      <w:r>
        <w:t xml:space="preserve">) of the Communications Act of 1934, as amended, and sections 0.283, 1.3 and 1.8 of the Commission’s Rules, 47 CFR §§ 0.283, 1.3, 1.8, </w:t>
      </w:r>
      <w:r w:rsidRPr="00F2444D">
        <w:t xml:space="preserve">Peloton Interactive, Inc.’s </w:t>
      </w:r>
      <w:r>
        <w:t>W</w:t>
      </w:r>
      <w:r w:rsidRPr="00F2444D">
        <w:t xml:space="preserve">ithdrawal </w:t>
      </w:r>
      <w:r>
        <w:t>R</w:t>
      </w:r>
      <w:r w:rsidRPr="00F2444D">
        <w:t xml:space="preserve">equest </w:t>
      </w:r>
      <w:r w:rsidRPr="00F2444D">
        <w:rPr>
          <w:b/>
        </w:rPr>
        <w:t xml:space="preserve">IS GRANTED </w:t>
      </w:r>
      <w:r w:rsidRPr="00F2444D">
        <w:rPr>
          <w:bCs/>
        </w:rPr>
        <w:t xml:space="preserve">and the Petition </w:t>
      </w:r>
      <w:r w:rsidRPr="00F2444D">
        <w:rPr>
          <w:b/>
        </w:rPr>
        <w:t>IS DISMISSED</w:t>
      </w:r>
      <w:r w:rsidRPr="00F2444D">
        <w:rPr>
          <w:bCs/>
        </w:rPr>
        <w:t>.</w:t>
      </w:r>
      <w:r>
        <w:rPr>
          <w:rStyle w:val="FootnoteReference"/>
          <w:bCs/>
        </w:rPr>
        <w:footnoteReference w:id="7"/>
      </w:r>
    </w:p>
    <w:p w:rsidR="00A93B0A" w:rsidP="0017296B" w14:paraId="771B1447" w14:textId="77777777">
      <w:r>
        <w:tab/>
      </w:r>
      <w:r>
        <w:tab/>
      </w:r>
      <w:r>
        <w:tab/>
      </w:r>
      <w:r>
        <w:tab/>
      </w:r>
      <w:r>
        <w:tab/>
      </w:r>
      <w:r>
        <w:tab/>
        <w:t>FEDERAL COMMUNICATIONS COMMISSION</w:t>
      </w:r>
    </w:p>
    <w:p w:rsidR="00A93B0A" w:rsidP="0017296B" w14:paraId="64E5CD9F" w14:textId="77777777"/>
    <w:p w:rsidR="00A93B0A" w:rsidP="0017296B" w14:paraId="5F0E2C72" w14:textId="77777777"/>
    <w:p w:rsidR="00A93B0A" w:rsidP="0017296B" w14:paraId="3DCBE988" w14:textId="77777777"/>
    <w:p w:rsidR="00A93B0A" w:rsidRPr="00A775EF" w:rsidP="00A93B0A" w14:paraId="419C614F" w14:textId="5872C2A3"/>
    <w:p w:rsidR="00A93B0A" w:rsidRPr="00A775EF" w:rsidP="00A93B0A" w14:paraId="6F7EB355" w14:textId="77777777">
      <w:pPr>
        <w:keepNext/>
        <w:keepLines/>
        <w:widowControl/>
      </w:pPr>
      <w:r w:rsidRPr="00A775EF">
        <w:tab/>
      </w:r>
      <w:r w:rsidRPr="00A775EF">
        <w:tab/>
      </w:r>
      <w:r w:rsidRPr="00A775EF">
        <w:tab/>
      </w:r>
      <w:r w:rsidRPr="00A775EF">
        <w:tab/>
      </w:r>
      <w:r w:rsidRPr="00A775EF">
        <w:tab/>
      </w:r>
      <w:r w:rsidRPr="00A775EF">
        <w:tab/>
        <w:t>Maria Mullarkey</w:t>
      </w:r>
      <w:r>
        <w:t xml:space="preserve"> </w:t>
      </w:r>
    </w:p>
    <w:p w:rsidR="00A93B0A" w:rsidRPr="00A775EF" w:rsidP="00A93B0A" w14:paraId="6AB2A462" w14:textId="77777777">
      <w:pPr>
        <w:keepNext/>
        <w:keepLines/>
        <w:widowControl/>
      </w:pPr>
      <w:r w:rsidRPr="00A775EF">
        <w:tab/>
      </w:r>
      <w:r w:rsidRPr="00A775EF">
        <w:tab/>
      </w:r>
      <w:r w:rsidRPr="00A775EF">
        <w:tab/>
      </w:r>
      <w:r w:rsidRPr="00A775EF">
        <w:tab/>
      </w:r>
      <w:r w:rsidRPr="00A775EF">
        <w:tab/>
      </w:r>
      <w:r w:rsidRPr="00A775EF">
        <w:tab/>
        <w:t>Chief, Policy Division</w:t>
      </w:r>
    </w:p>
    <w:p w:rsidR="00412FC5" w:rsidP="00A93B0A" w14:paraId="15460A9D" w14:textId="472A1ADE">
      <w:pPr>
        <w:keepNext/>
        <w:keepLines/>
        <w:widowControl/>
        <w:ind w:left="3600" w:firstLine="720"/>
      </w:pPr>
      <w:r w:rsidRPr="00A775EF">
        <w:t>Media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32BBC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25998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8BC1AA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357761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C9DED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3B0A" w14:paraId="6C15147C" w14:textId="77777777">
      <w:r>
        <w:separator/>
      </w:r>
    </w:p>
  </w:footnote>
  <w:footnote w:type="continuationSeparator" w:id="1">
    <w:p w:rsidR="00A93B0A" w:rsidP="00C721AC" w14:paraId="79DC6D96" w14:textId="77777777">
      <w:pPr>
        <w:spacing w:before="120"/>
        <w:rPr>
          <w:sz w:val="20"/>
        </w:rPr>
      </w:pPr>
      <w:r>
        <w:rPr>
          <w:sz w:val="20"/>
        </w:rPr>
        <w:t xml:space="preserve">(Continued from previous page)  </w:t>
      </w:r>
      <w:r>
        <w:rPr>
          <w:sz w:val="20"/>
        </w:rPr>
        <w:separator/>
      </w:r>
    </w:p>
  </w:footnote>
  <w:footnote w:type="continuationNotice" w:id="2">
    <w:p w:rsidR="00A93B0A" w:rsidP="00C721AC" w14:paraId="76FC7911" w14:textId="77777777">
      <w:pPr>
        <w:jc w:val="right"/>
        <w:rPr>
          <w:sz w:val="20"/>
        </w:rPr>
      </w:pPr>
      <w:r>
        <w:rPr>
          <w:sz w:val="20"/>
        </w:rPr>
        <w:t>(continued….)</w:t>
      </w:r>
    </w:p>
  </w:footnote>
  <w:footnote w:id="3">
    <w:p w:rsidR="00A93B0A" w:rsidRPr="00F2444D" w:rsidP="00A93B0A" w14:paraId="06CDA10E" w14:textId="77777777">
      <w:pPr>
        <w:pStyle w:val="FootnoteText"/>
        <w:rPr>
          <w:i/>
          <w:iCs/>
        </w:rPr>
      </w:pPr>
      <w:r w:rsidRPr="00317EC3">
        <w:rPr>
          <w:rStyle w:val="FootnoteReference"/>
        </w:rPr>
        <w:footnoteRef/>
      </w:r>
      <w:r w:rsidRPr="00317EC3">
        <w:t xml:space="preserve"> </w:t>
      </w:r>
      <w:r>
        <w:t xml:space="preserve">Peloton Interactive, Inc., </w:t>
      </w:r>
      <w:r w:rsidRPr="00317EC3">
        <w:t>Petition for Limited Waiver, MB Docket No. 12-108, GN Docket No. 21-140 (Dec. 20, 2021) (Petition).</w:t>
      </w:r>
      <w:r>
        <w:t xml:space="preserve">  Specifically, Peloton requested an 18-month waiver of the obligations in section 79.107 of the Commission’s rules to implement additional accessibility features for its connected fitness equipment.  </w:t>
      </w:r>
      <w:r>
        <w:rPr>
          <w:i/>
          <w:iCs/>
        </w:rPr>
        <w:t xml:space="preserve">See </w:t>
      </w:r>
      <w:r>
        <w:t xml:space="preserve">Petition at 2.  </w:t>
      </w:r>
      <w:r>
        <w:rPr>
          <w:i/>
          <w:iCs/>
        </w:rPr>
        <w:t>See also Media Bureau Seeks Comment on Peloton Interactive, Inc.’s Petition for Limited Waiver of Accessible User Interfaces Requirements</w:t>
      </w:r>
      <w:r>
        <w:t>, Public Notice, MB Docket No. 12-108, GN Docket No. 21-140, DA 21-1639 (Dec. 23, 2021).  Comments were due January 24, 2022, and reply comments were due February 8, 2022.</w:t>
      </w:r>
    </w:p>
  </w:footnote>
  <w:footnote w:id="4">
    <w:p w:rsidR="00A93B0A" w:rsidP="00A93B0A" w14:paraId="19A840CC" w14:textId="77777777">
      <w:pPr>
        <w:pStyle w:val="FootnoteText"/>
      </w:pPr>
      <w:r>
        <w:rPr>
          <w:rStyle w:val="FootnoteReference"/>
        </w:rPr>
        <w:footnoteRef/>
      </w:r>
      <w:r>
        <w:t xml:space="preserve"> </w:t>
      </w:r>
      <w:r>
        <w:t xml:space="preserve">Peloton Interactive, Inc., Request to Withdraw Petition for Limited Waiver, MB Docket No. 12-108, GN Docket No. 21-140 (Jul. 15, 2022) (Withdrawal Request). </w:t>
      </w:r>
      <w:r w:rsidRPr="00FB0F51">
        <w:t xml:space="preserve"> </w:t>
      </w:r>
      <w:r w:rsidRPr="00A775EF">
        <w:t>Peloton indicates that since it filed the Petition, it “has continued to closely review the accessibility of its products and successfully tested and rolled out innovative features that enhance the fitness experience for all of its members.”</w:t>
      </w:r>
      <w:r w:rsidRPr="00FB0F51">
        <w:rPr>
          <w:i/>
          <w:iCs/>
        </w:rPr>
        <w:t xml:space="preserve"> </w:t>
      </w:r>
      <w:r>
        <w:rPr>
          <w:i/>
          <w:iCs/>
        </w:rPr>
        <w:t xml:space="preserve"> Id.</w:t>
      </w:r>
      <w:r>
        <w:t xml:space="preserve"> at 1</w:t>
      </w:r>
    </w:p>
  </w:footnote>
  <w:footnote w:id="5">
    <w:p w:rsidR="00A93B0A" w:rsidRPr="00A60208" w:rsidP="00A93B0A" w14:paraId="66CA9A1D" w14:textId="77777777">
      <w:pPr>
        <w:pStyle w:val="FootnoteText"/>
      </w:pPr>
      <w:r>
        <w:rPr>
          <w:rStyle w:val="FootnoteReference"/>
        </w:rPr>
        <w:footnoteRef/>
      </w:r>
      <w:r>
        <w:t xml:space="preserve"> </w:t>
      </w:r>
      <w:r>
        <w:rPr>
          <w:i/>
          <w:iCs/>
        </w:rPr>
        <w:t xml:space="preserve">Id. </w:t>
      </w:r>
      <w:r>
        <w:t>at 1.</w:t>
      </w:r>
    </w:p>
  </w:footnote>
  <w:footnote w:id="6">
    <w:p w:rsidR="00A93B0A" w:rsidP="00A93B0A" w14:paraId="058739BC" w14:textId="77777777">
      <w:pPr>
        <w:pStyle w:val="FootnoteText"/>
      </w:pPr>
      <w:r>
        <w:rPr>
          <w:rStyle w:val="FootnoteReference"/>
        </w:rPr>
        <w:footnoteRef/>
      </w:r>
      <w:r>
        <w:t xml:space="preserve"> </w:t>
      </w:r>
      <w:r>
        <w:t xml:space="preserve">Letter from Clark </w:t>
      </w:r>
      <w:r>
        <w:t>Rachfal</w:t>
      </w:r>
      <w:r>
        <w:t>, Director of Advocacy and Governmental Affairs, ACB, to Marlene H. Dortch, Secretary, FCC, MB Docket No. 12-108, GN Docket No. 21-140 (Jul. 21, 2022) (agreeing with Peloton “that withdrawal of the petition, combined with Peloton’s ongoing commitments to ensure the accessibility of its products and services and the Commission’s continuing oversight of Peloton’s efforts, including with respect to Precor products, and those of the broader connected fitness industry, would serve the public interest”); Letter from Blake E. Reid, Director, Samuelson-</w:t>
      </w:r>
      <w:r>
        <w:t>Glusko</w:t>
      </w:r>
      <w:r>
        <w:t xml:space="preserve"> </w:t>
      </w:r>
      <w:r>
        <w:t>Techology</w:t>
      </w:r>
      <w:r>
        <w:t xml:space="preserve"> Law &amp; Policy Clinic, Counsel to TDI, Eric </w:t>
      </w:r>
      <w:r>
        <w:t>Kaika</w:t>
      </w:r>
      <w:r>
        <w:t xml:space="preserve">, CEO, TDI, Barbara Kelley, Executive Director, and Lise Hamlin, Director of Public Policy, HLAA, Christopher C. </w:t>
      </w:r>
      <w:r>
        <w:t>Woodfill</w:t>
      </w:r>
      <w:r>
        <w:t>, Associate Executive Director, HKNC, &amp; Howard Rosenblum, CEO, NAD, to Marlene H. Dortch, Secretary, FCC, MB Docket No. 12-108, GN Docket No. 21-140 (Jul. 20, 2022) (same).</w:t>
      </w:r>
    </w:p>
  </w:footnote>
  <w:footnote w:id="7">
    <w:p w:rsidR="00A93B0A" w:rsidP="00A93B0A" w14:paraId="2FBE83B1" w14:textId="77777777">
      <w:pPr>
        <w:pStyle w:val="FootnoteText"/>
      </w:pPr>
      <w:r>
        <w:rPr>
          <w:rStyle w:val="FootnoteReference"/>
        </w:rPr>
        <w:footnoteRef/>
      </w:r>
      <w:r>
        <w:t xml:space="preserve"> </w:t>
      </w:r>
      <w:r>
        <w:t>47 U.S.C. § 154(</w:t>
      </w:r>
      <w:r>
        <w:t>i</w:t>
      </w:r>
      <w:r>
        <w:t xml:space="preserve">); </w:t>
      </w:r>
      <w:r w:rsidRPr="00A775EF">
        <w:rPr>
          <w:lang w:val="da-DK"/>
        </w:rPr>
        <w:t>47 CFR §</w:t>
      </w:r>
      <w:r>
        <w:t>§</w:t>
      </w:r>
      <w:r w:rsidRPr="00A775EF">
        <w:rPr>
          <w:lang w:val="da-DK"/>
        </w:rPr>
        <w:t xml:space="preserve"> </w:t>
      </w:r>
      <w:r>
        <w:t>0.283, 1.3, 1.8</w:t>
      </w:r>
      <w:r w:rsidRPr="00A775EF">
        <w:rPr>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58804F" w14:textId="4BD28D84">
    <w:pPr>
      <w:pStyle w:val="Header"/>
      <w:rPr>
        <w:b w:val="0"/>
      </w:rPr>
    </w:pPr>
    <w:r>
      <w:tab/>
    </w:r>
    <w:r>
      <w:t>Federal Communications Commission</w:t>
    </w:r>
    <w:r>
      <w:tab/>
    </w:r>
    <w:r w:rsidR="00A93B0A">
      <w:t>DA 22-809</w:t>
    </w:r>
  </w:p>
  <w:p w:rsidR="00D25FB5" w14:paraId="213F0C2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AC0EEA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F2C916" w14:textId="0B1D252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A93B0A">
      <w:rPr>
        <w:spacing w:val="-2"/>
      </w:rPr>
      <w:t>DA 22-809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0A"/>
    <w:rsid w:val="00036039"/>
    <w:rsid w:val="00037F90"/>
    <w:rsid w:val="000875BF"/>
    <w:rsid w:val="00096D8C"/>
    <w:rsid w:val="000C0B65"/>
    <w:rsid w:val="000E05FE"/>
    <w:rsid w:val="000E3D42"/>
    <w:rsid w:val="00122BD5"/>
    <w:rsid w:val="00133F79"/>
    <w:rsid w:val="0017296B"/>
    <w:rsid w:val="00194A66"/>
    <w:rsid w:val="001D6BCF"/>
    <w:rsid w:val="001E01CA"/>
    <w:rsid w:val="00275CF5"/>
    <w:rsid w:val="0028301F"/>
    <w:rsid w:val="00285017"/>
    <w:rsid w:val="002A2D2E"/>
    <w:rsid w:val="002C00E8"/>
    <w:rsid w:val="00317EC3"/>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A7B6D"/>
    <w:rsid w:val="008C68F1"/>
    <w:rsid w:val="00921803"/>
    <w:rsid w:val="00926503"/>
    <w:rsid w:val="009726D8"/>
    <w:rsid w:val="009D7308"/>
    <w:rsid w:val="009F76DB"/>
    <w:rsid w:val="00A32C3B"/>
    <w:rsid w:val="00A45F4F"/>
    <w:rsid w:val="00A600A9"/>
    <w:rsid w:val="00A60208"/>
    <w:rsid w:val="00A775EF"/>
    <w:rsid w:val="00A93B0A"/>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444D"/>
    <w:rsid w:val="00F62E97"/>
    <w:rsid w:val="00F64209"/>
    <w:rsid w:val="00F93BF5"/>
    <w:rsid w:val="00FB0F51"/>
    <w:rsid w:val="700E4D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1B8E20"/>
  <w15:chartTrackingRefBased/>
  <w15:docId w15:val="{57B20BE0-F4A2-4D45-AE1A-2673BB20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A7B6D"/>
    <w:pPr>
      <w:widowControl w:val="0"/>
    </w:pPr>
    <w:rPr>
      <w:snapToGrid w:val="0"/>
      <w:kern w:val="28"/>
      <w:sz w:val="22"/>
    </w:rPr>
  </w:style>
  <w:style w:type="paragraph" w:styleId="Heading1">
    <w:name w:val="heading 1"/>
    <w:basedOn w:val="Normal"/>
    <w:next w:val="ParaNum"/>
    <w:qFormat/>
    <w:rsid w:val="008A7B6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A7B6D"/>
    <w:pPr>
      <w:keepNext/>
      <w:numPr>
        <w:ilvl w:val="1"/>
        <w:numId w:val="3"/>
      </w:numPr>
      <w:spacing w:after="120"/>
      <w:outlineLvl w:val="1"/>
    </w:pPr>
    <w:rPr>
      <w:b/>
    </w:rPr>
  </w:style>
  <w:style w:type="paragraph" w:styleId="Heading3">
    <w:name w:val="heading 3"/>
    <w:basedOn w:val="Normal"/>
    <w:next w:val="ParaNum"/>
    <w:qFormat/>
    <w:rsid w:val="008A7B6D"/>
    <w:pPr>
      <w:keepNext/>
      <w:numPr>
        <w:ilvl w:val="2"/>
        <w:numId w:val="3"/>
      </w:numPr>
      <w:tabs>
        <w:tab w:val="left" w:pos="2160"/>
      </w:tabs>
      <w:spacing w:after="120"/>
      <w:outlineLvl w:val="2"/>
    </w:pPr>
    <w:rPr>
      <w:b/>
    </w:rPr>
  </w:style>
  <w:style w:type="paragraph" w:styleId="Heading4">
    <w:name w:val="heading 4"/>
    <w:basedOn w:val="Normal"/>
    <w:next w:val="ParaNum"/>
    <w:qFormat/>
    <w:rsid w:val="008A7B6D"/>
    <w:pPr>
      <w:keepNext/>
      <w:numPr>
        <w:ilvl w:val="3"/>
        <w:numId w:val="3"/>
      </w:numPr>
      <w:tabs>
        <w:tab w:val="left" w:pos="2880"/>
      </w:tabs>
      <w:spacing w:after="120"/>
      <w:outlineLvl w:val="3"/>
    </w:pPr>
    <w:rPr>
      <w:b/>
    </w:rPr>
  </w:style>
  <w:style w:type="paragraph" w:styleId="Heading5">
    <w:name w:val="heading 5"/>
    <w:basedOn w:val="Normal"/>
    <w:next w:val="ParaNum"/>
    <w:qFormat/>
    <w:rsid w:val="008A7B6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A7B6D"/>
    <w:pPr>
      <w:numPr>
        <w:ilvl w:val="5"/>
        <w:numId w:val="3"/>
      </w:numPr>
      <w:tabs>
        <w:tab w:val="left" w:pos="4320"/>
      </w:tabs>
      <w:spacing w:after="120"/>
      <w:outlineLvl w:val="5"/>
    </w:pPr>
    <w:rPr>
      <w:b/>
    </w:rPr>
  </w:style>
  <w:style w:type="paragraph" w:styleId="Heading7">
    <w:name w:val="heading 7"/>
    <w:basedOn w:val="Normal"/>
    <w:next w:val="ParaNum"/>
    <w:qFormat/>
    <w:rsid w:val="008A7B6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A7B6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A7B6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7B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7B6D"/>
  </w:style>
  <w:style w:type="paragraph" w:customStyle="1" w:styleId="ParaNum">
    <w:name w:val="ParaNum"/>
    <w:basedOn w:val="Normal"/>
    <w:rsid w:val="008A7B6D"/>
    <w:pPr>
      <w:numPr>
        <w:numId w:val="2"/>
      </w:numPr>
      <w:tabs>
        <w:tab w:val="clear" w:pos="1080"/>
        <w:tab w:val="num" w:pos="1440"/>
      </w:tabs>
      <w:spacing w:after="120"/>
    </w:pPr>
  </w:style>
  <w:style w:type="paragraph" w:styleId="EndnoteText">
    <w:name w:val="endnote text"/>
    <w:basedOn w:val="Normal"/>
    <w:semiHidden/>
    <w:rsid w:val="008A7B6D"/>
    <w:rPr>
      <w:sz w:val="20"/>
    </w:rPr>
  </w:style>
  <w:style w:type="character" w:styleId="EndnoteReference">
    <w:name w:val="endnote reference"/>
    <w:semiHidden/>
    <w:rsid w:val="008A7B6D"/>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8A7B6D"/>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A7B6D"/>
    <w:rPr>
      <w:rFonts w:ascii="Times New Roman" w:hAnsi="Times New Roman"/>
      <w:dstrike w:val="0"/>
      <w:color w:val="auto"/>
      <w:sz w:val="20"/>
      <w:vertAlign w:val="superscript"/>
    </w:rPr>
  </w:style>
  <w:style w:type="paragraph" w:styleId="TOC1">
    <w:name w:val="toc 1"/>
    <w:basedOn w:val="Normal"/>
    <w:next w:val="Normal"/>
    <w:semiHidden/>
    <w:rsid w:val="008A7B6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A7B6D"/>
    <w:pPr>
      <w:tabs>
        <w:tab w:val="left" w:pos="720"/>
        <w:tab w:val="right" w:leader="dot" w:pos="9360"/>
      </w:tabs>
      <w:suppressAutoHyphens/>
      <w:ind w:left="720" w:right="720" w:hanging="360"/>
    </w:pPr>
    <w:rPr>
      <w:noProof/>
    </w:rPr>
  </w:style>
  <w:style w:type="paragraph" w:styleId="TOC3">
    <w:name w:val="toc 3"/>
    <w:basedOn w:val="Normal"/>
    <w:next w:val="Normal"/>
    <w:semiHidden/>
    <w:rsid w:val="008A7B6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7B6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7B6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7B6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7B6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7B6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7B6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A7B6D"/>
    <w:pPr>
      <w:tabs>
        <w:tab w:val="right" w:pos="9360"/>
      </w:tabs>
      <w:suppressAutoHyphens/>
    </w:pPr>
  </w:style>
  <w:style w:type="character" w:customStyle="1" w:styleId="EquationCaption">
    <w:name w:val="_Equation Caption"/>
    <w:rsid w:val="008A7B6D"/>
  </w:style>
  <w:style w:type="paragraph" w:styleId="Header">
    <w:name w:val="header"/>
    <w:basedOn w:val="Normal"/>
    <w:autoRedefine/>
    <w:rsid w:val="008A7B6D"/>
    <w:pPr>
      <w:tabs>
        <w:tab w:val="center" w:pos="4680"/>
        <w:tab w:val="right" w:pos="9360"/>
      </w:tabs>
    </w:pPr>
    <w:rPr>
      <w:b/>
    </w:rPr>
  </w:style>
  <w:style w:type="paragraph" w:styleId="Footer">
    <w:name w:val="footer"/>
    <w:basedOn w:val="Normal"/>
    <w:link w:val="FooterChar"/>
    <w:uiPriority w:val="99"/>
    <w:rsid w:val="008A7B6D"/>
    <w:pPr>
      <w:tabs>
        <w:tab w:val="center" w:pos="4320"/>
        <w:tab w:val="right" w:pos="8640"/>
      </w:tabs>
    </w:pPr>
  </w:style>
  <w:style w:type="character" w:styleId="PageNumber">
    <w:name w:val="page number"/>
    <w:basedOn w:val="DefaultParagraphFont"/>
    <w:rsid w:val="008A7B6D"/>
  </w:style>
  <w:style w:type="paragraph" w:styleId="BlockText">
    <w:name w:val="Block Text"/>
    <w:basedOn w:val="Normal"/>
    <w:rsid w:val="008A7B6D"/>
    <w:pPr>
      <w:spacing w:after="240"/>
      <w:ind w:left="1440" w:right="1440"/>
    </w:pPr>
  </w:style>
  <w:style w:type="paragraph" w:customStyle="1" w:styleId="Paratitle">
    <w:name w:val="Para title"/>
    <w:basedOn w:val="Normal"/>
    <w:rsid w:val="008A7B6D"/>
    <w:pPr>
      <w:tabs>
        <w:tab w:val="center" w:pos="9270"/>
      </w:tabs>
      <w:spacing w:after="240"/>
    </w:pPr>
    <w:rPr>
      <w:spacing w:val="-2"/>
    </w:rPr>
  </w:style>
  <w:style w:type="paragraph" w:customStyle="1" w:styleId="Bullet">
    <w:name w:val="Bullet"/>
    <w:basedOn w:val="Normal"/>
    <w:rsid w:val="008A7B6D"/>
    <w:pPr>
      <w:tabs>
        <w:tab w:val="left" w:pos="2160"/>
      </w:tabs>
      <w:spacing w:after="220"/>
      <w:ind w:left="2160" w:hanging="720"/>
    </w:pPr>
  </w:style>
  <w:style w:type="paragraph" w:customStyle="1" w:styleId="TableFormat">
    <w:name w:val="TableFormat"/>
    <w:basedOn w:val="Bullet"/>
    <w:rsid w:val="008A7B6D"/>
    <w:pPr>
      <w:tabs>
        <w:tab w:val="clear" w:pos="2160"/>
        <w:tab w:val="left" w:pos="5040"/>
      </w:tabs>
      <w:ind w:left="5040" w:hanging="3600"/>
    </w:pPr>
  </w:style>
  <w:style w:type="paragraph" w:customStyle="1" w:styleId="TOCTitle">
    <w:name w:val="TOC Title"/>
    <w:basedOn w:val="Normal"/>
    <w:rsid w:val="008A7B6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7B6D"/>
    <w:pPr>
      <w:jc w:val="center"/>
    </w:pPr>
    <w:rPr>
      <w:rFonts w:ascii="Times New Roman Bold" w:hAnsi="Times New Roman Bold"/>
      <w:b/>
      <w:bCs/>
      <w:caps/>
      <w:szCs w:val="22"/>
    </w:rPr>
  </w:style>
  <w:style w:type="character" w:styleId="Hyperlink">
    <w:name w:val="Hyperlink"/>
    <w:rsid w:val="008A7B6D"/>
    <w:rPr>
      <w:color w:val="0000FF"/>
      <w:u w:val="single"/>
    </w:rPr>
  </w:style>
  <w:style w:type="character" w:customStyle="1" w:styleId="FooterChar">
    <w:name w:val="Footer Char"/>
    <w:link w:val="Footer"/>
    <w:uiPriority w:val="99"/>
    <w:rsid w:val="008A7B6D"/>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A9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