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273E3" w:rsidRPr="00790B4B" w:rsidP="008464FB" w14:paraId="1D6B5E6E" w14:textId="77777777">
      <w:pPr>
        <w:widowControl/>
        <w:jc w:val="center"/>
        <w:rPr>
          <w:b/>
        </w:rPr>
      </w:pPr>
      <w:r w:rsidRPr="00790B4B">
        <w:rPr>
          <w:b/>
          <w:kern w:val="0"/>
          <w:szCs w:val="22"/>
        </w:rPr>
        <w:t>Before</w:t>
      </w:r>
      <w:r w:rsidRPr="00790B4B">
        <w:rPr>
          <w:b/>
        </w:rPr>
        <w:t xml:space="preserve"> the</w:t>
      </w:r>
    </w:p>
    <w:p w:rsidR="00E273E3" w:rsidRPr="00790B4B" w:rsidP="008464FB" w14:paraId="3B126D90" w14:textId="77777777">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rsidR="00E273E3" w:rsidRPr="00790B4B" w:rsidP="008464FB" w14:paraId="4D0211B7" w14:textId="26A2CF55">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w:t>
      </w:r>
      <w:r w:rsidR="007B161C">
        <w:rPr>
          <w:rFonts w:ascii="Times New Roman" w:hAnsi="Times New Roman"/>
        </w:rPr>
        <w:t>.</w:t>
      </w:r>
      <w:r w:rsidRPr="00790B4B">
        <w:rPr>
          <w:rFonts w:ascii="Times New Roman" w:hAnsi="Times New Roman"/>
        </w:rPr>
        <w:t>C</w:t>
      </w:r>
      <w:r w:rsidR="007B161C">
        <w:rPr>
          <w:rFonts w:ascii="Times New Roman" w:hAnsi="Times New Roman"/>
        </w:rPr>
        <w:t>.</w:t>
      </w:r>
      <w:r w:rsidRPr="00790B4B">
        <w:rPr>
          <w:rFonts w:ascii="Times New Roman" w:hAnsi="Times New Roman"/>
        </w:rPr>
        <w:t xml:space="preserve"> 20554</w:t>
      </w:r>
    </w:p>
    <w:p w:rsidR="00E273E3" w:rsidRPr="00790B4B" w:rsidP="008464FB" w14:paraId="636E829A" w14:textId="77777777">
      <w:pPr>
        <w:widowControl/>
      </w:pPr>
    </w:p>
    <w:tbl>
      <w:tblPr>
        <w:tblW w:w="0" w:type="auto"/>
        <w:tblLayout w:type="fixed"/>
        <w:tblLook w:val="0000"/>
      </w:tblPr>
      <w:tblGrid>
        <w:gridCol w:w="4698"/>
        <w:gridCol w:w="630"/>
        <w:gridCol w:w="4248"/>
      </w:tblGrid>
      <w:tr w14:paraId="689E26C2" w14:textId="77777777">
        <w:tblPrEx>
          <w:tblW w:w="0" w:type="auto"/>
          <w:tblLayout w:type="fixed"/>
          <w:tblLook w:val="0000"/>
        </w:tblPrEx>
        <w:tc>
          <w:tcPr>
            <w:tcW w:w="4698" w:type="dxa"/>
          </w:tcPr>
          <w:p w:rsidR="00E273E3" w:rsidRPr="00790B4B" w:rsidP="008464FB" w14:paraId="21954815" w14:textId="77777777">
            <w:pPr>
              <w:widowControl/>
              <w:suppressAutoHyphens/>
              <w:rPr>
                <w:spacing w:val="-2"/>
              </w:rPr>
            </w:pPr>
            <w:r w:rsidRPr="00790B4B">
              <w:rPr>
                <w:spacing w:val="-2"/>
              </w:rPr>
              <w:t>In the Matter of</w:t>
            </w:r>
          </w:p>
          <w:p w:rsidR="00E273E3" w:rsidRPr="00790B4B" w:rsidP="008464FB" w14:paraId="76FB03F3" w14:textId="77777777">
            <w:pPr>
              <w:widowControl/>
              <w:suppressAutoHyphens/>
              <w:rPr>
                <w:spacing w:val="-2"/>
              </w:rPr>
            </w:pPr>
          </w:p>
          <w:p w:rsidR="00610DB8" w:rsidRPr="00B63FC8" w:rsidP="008464FB" w14:paraId="41617A66" w14:textId="77777777">
            <w:pPr>
              <w:widowControl/>
              <w:tabs>
                <w:tab w:val="center" w:pos="4680"/>
              </w:tabs>
              <w:suppressAutoHyphens/>
              <w:rPr>
                <w:color w:val="000000"/>
                <w:spacing w:val="-2"/>
                <w:szCs w:val="22"/>
              </w:rPr>
            </w:pPr>
            <w:r w:rsidRPr="00B63FC8">
              <w:rPr>
                <w:color w:val="000000"/>
                <w:spacing w:val="-2"/>
                <w:szCs w:val="22"/>
              </w:rPr>
              <w:t>Jupiter Community Radio, Inc.</w:t>
            </w:r>
          </w:p>
          <w:p w:rsidR="00E273E3" w:rsidP="008464FB" w14:paraId="655456AB" w14:textId="77777777">
            <w:pPr>
              <w:widowControl/>
              <w:suppressAutoHyphens/>
              <w:rPr>
                <w:spacing w:val="-2"/>
              </w:rPr>
            </w:pPr>
          </w:p>
          <w:p w:rsidR="00610DB8" w:rsidRPr="00B63FC8" w:rsidP="008464FB" w14:paraId="0D4A92E8" w14:textId="77777777">
            <w:pPr>
              <w:widowControl/>
              <w:tabs>
                <w:tab w:val="center" w:pos="4680"/>
              </w:tabs>
              <w:suppressAutoHyphens/>
              <w:rPr>
                <w:color w:val="000000"/>
                <w:spacing w:val="-2"/>
                <w:szCs w:val="22"/>
              </w:rPr>
            </w:pPr>
            <w:r w:rsidRPr="00B63FC8">
              <w:rPr>
                <w:color w:val="000000"/>
                <w:spacing w:val="-2"/>
                <w:szCs w:val="22"/>
              </w:rPr>
              <w:t>Licensee of Station WJUP-LP</w:t>
            </w:r>
          </w:p>
          <w:p w:rsidR="00610DB8" w:rsidRPr="00610DB8" w:rsidP="008464FB" w14:paraId="16D37592" w14:textId="22C87B2F">
            <w:pPr>
              <w:widowControl/>
              <w:tabs>
                <w:tab w:val="center" w:pos="4680"/>
              </w:tabs>
              <w:suppressAutoHyphens/>
              <w:rPr>
                <w:color w:val="000000"/>
                <w:spacing w:val="-2"/>
                <w:szCs w:val="22"/>
              </w:rPr>
            </w:pPr>
            <w:r w:rsidRPr="00B63FC8">
              <w:rPr>
                <w:color w:val="000000"/>
                <w:spacing w:val="-2"/>
                <w:szCs w:val="22"/>
              </w:rPr>
              <w:t>Jupiter, Florida</w:t>
            </w:r>
          </w:p>
        </w:tc>
        <w:tc>
          <w:tcPr>
            <w:tcW w:w="630" w:type="dxa"/>
          </w:tcPr>
          <w:p w:rsidR="00E273E3" w:rsidRPr="00344C0B" w:rsidP="008464FB" w14:paraId="495211EB" w14:textId="77777777">
            <w:pPr>
              <w:widowControl/>
              <w:suppressAutoHyphens/>
              <w:rPr>
                <w:spacing w:val="-2"/>
              </w:rPr>
            </w:pPr>
            <w:r w:rsidRPr="00344C0B">
              <w:rPr>
                <w:spacing w:val="-2"/>
              </w:rPr>
              <w:t>)</w:t>
            </w:r>
          </w:p>
          <w:p w:rsidR="00E273E3" w:rsidRPr="00344C0B" w:rsidP="008464FB" w14:paraId="6C8640D5" w14:textId="77777777">
            <w:pPr>
              <w:widowControl/>
              <w:suppressAutoHyphens/>
              <w:rPr>
                <w:spacing w:val="-2"/>
              </w:rPr>
            </w:pPr>
            <w:r w:rsidRPr="00344C0B">
              <w:rPr>
                <w:spacing w:val="-2"/>
              </w:rPr>
              <w:t>)</w:t>
            </w:r>
          </w:p>
          <w:p w:rsidR="00E273E3" w:rsidRPr="00344C0B" w:rsidP="008464FB" w14:paraId="75720AC2" w14:textId="77777777">
            <w:pPr>
              <w:widowControl/>
              <w:suppressAutoHyphens/>
              <w:rPr>
                <w:spacing w:val="-2"/>
              </w:rPr>
            </w:pPr>
            <w:r w:rsidRPr="00344C0B">
              <w:rPr>
                <w:spacing w:val="-2"/>
              </w:rPr>
              <w:t>)</w:t>
            </w:r>
          </w:p>
          <w:p w:rsidR="00E273E3" w:rsidRPr="00344C0B" w:rsidP="008464FB" w14:paraId="3313BD86" w14:textId="77777777">
            <w:pPr>
              <w:widowControl/>
              <w:suppressAutoHyphens/>
              <w:rPr>
                <w:spacing w:val="-2"/>
              </w:rPr>
            </w:pPr>
            <w:r w:rsidRPr="00344C0B">
              <w:rPr>
                <w:spacing w:val="-2"/>
              </w:rPr>
              <w:t>)</w:t>
            </w:r>
          </w:p>
          <w:p w:rsidR="00E273E3" w:rsidP="008464FB" w14:paraId="223F49F6" w14:textId="77777777">
            <w:pPr>
              <w:widowControl/>
              <w:suppressAutoHyphens/>
              <w:rPr>
                <w:spacing w:val="-2"/>
              </w:rPr>
            </w:pPr>
            <w:r w:rsidRPr="00344C0B">
              <w:rPr>
                <w:spacing w:val="-2"/>
              </w:rPr>
              <w:t>)</w:t>
            </w:r>
          </w:p>
          <w:p w:rsidR="00610DB8" w:rsidRPr="00344C0B" w:rsidP="008464FB" w14:paraId="175A79B3" w14:textId="71052187">
            <w:pPr>
              <w:widowControl/>
              <w:suppressAutoHyphens/>
              <w:rPr>
                <w:spacing w:val="-2"/>
              </w:rPr>
            </w:pPr>
            <w:r>
              <w:rPr>
                <w:spacing w:val="-2"/>
              </w:rPr>
              <w:t>)</w:t>
            </w:r>
          </w:p>
        </w:tc>
        <w:tc>
          <w:tcPr>
            <w:tcW w:w="4248" w:type="dxa"/>
          </w:tcPr>
          <w:p w:rsidR="00E273E3" w:rsidRPr="00344C0B" w:rsidP="008464FB" w14:paraId="04FB8E77" w14:textId="77777777">
            <w:pPr>
              <w:widowControl/>
              <w:suppressAutoHyphens/>
              <w:rPr>
                <w:spacing w:val="-2"/>
              </w:rPr>
            </w:pPr>
          </w:p>
          <w:p w:rsidR="00610DB8" w:rsidRPr="0007571D" w:rsidP="008464FB" w14:paraId="3F9C25CC" w14:textId="77777777">
            <w:pPr>
              <w:widowControl/>
              <w:suppressAutoHyphens/>
              <w:ind w:left="432"/>
              <w:rPr>
                <w:spacing w:val="-2"/>
              </w:rPr>
            </w:pPr>
            <w:r w:rsidRPr="00344C0B">
              <w:rPr>
                <w:spacing w:val="-2"/>
              </w:rPr>
              <w:t xml:space="preserve">File No.: </w:t>
            </w:r>
            <w:r w:rsidRPr="00B63FC8">
              <w:rPr>
                <w:color w:val="000000"/>
                <w:spacing w:val="-2"/>
                <w:szCs w:val="22"/>
              </w:rPr>
              <w:t>EB-FIELDSCR-17-00025789</w:t>
            </w:r>
          </w:p>
          <w:p w:rsidR="00E273E3" w:rsidRPr="0007571D" w:rsidP="008464FB" w14:paraId="0151B06C" w14:textId="211019AF">
            <w:pPr>
              <w:widowControl/>
              <w:suppressAutoHyphens/>
              <w:ind w:left="432"/>
              <w:rPr>
                <w:spacing w:val="-2"/>
              </w:rPr>
            </w:pPr>
            <w:r w:rsidRPr="00344C0B">
              <w:rPr>
                <w:spacing w:val="-2"/>
              </w:rPr>
              <w:t xml:space="preserve">NAL/Acct. No.: </w:t>
            </w:r>
            <w:r w:rsidRPr="00710547" w:rsidR="00610DB8">
              <w:rPr>
                <w:color w:val="000000"/>
                <w:spacing w:val="-2"/>
                <w:szCs w:val="22"/>
              </w:rPr>
              <w:t>202032020007</w:t>
            </w:r>
          </w:p>
          <w:p w:rsidR="00E273E3" w:rsidP="008464FB" w14:paraId="0B03B290" w14:textId="01B60F04">
            <w:pPr>
              <w:widowControl/>
              <w:suppressAutoHyphens/>
              <w:ind w:left="432"/>
              <w:rPr>
                <w:color w:val="000000"/>
                <w:spacing w:val="-2"/>
                <w:szCs w:val="22"/>
              </w:rPr>
            </w:pPr>
            <w:r w:rsidRPr="00344C0B">
              <w:rPr>
                <w:spacing w:val="-2"/>
              </w:rPr>
              <w:t xml:space="preserve">FRN: </w:t>
            </w:r>
            <w:r w:rsidRPr="00B63FC8" w:rsidR="00610DB8">
              <w:rPr>
                <w:color w:val="000000"/>
                <w:spacing w:val="-2"/>
                <w:szCs w:val="22"/>
              </w:rPr>
              <w:t>0009817149</w:t>
            </w:r>
          </w:p>
          <w:p w:rsidR="00610DB8" w:rsidP="008464FB" w14:paraId="0476CE89" w14:textId="77777777">
            <w:pPr>
              <w:widowControl/>
              <w:suppressAutoHyphens/>
              <w:ind w:left="432"/>
              <w:rPr>
                <w:spacing w:val="-2"/>
              </w:rPr>
            </w:pPr>
          </w:p>
          <w:p w:rsidR="00610DB8" w:rsidRPr="0007571D" w:rsidP="008464FB" w14:paraId="35E9E25F" w14:textId="4F8D40F2">
            <w:pPr>
              <w:widowControl/>
              <w:suppressAutoHyphens/>
              <w:ind w:left="432"/>
              <w:rPr>
                <w:spacing w:val="-2"/>
              </w:rPr>
            </w:pPr>
            <w:r w:rsidRPr="00B63FC8">
              <w:rPr>
                <w:color w:val="000000"/>
                <w:spacing w:val="-2"/>
                <w:szCs w:val="22"/>
              </w:rPr>
              <w:t>Facility ID: 133909</w:t>
            </w:r>
          </w:p>
        </w:tc>
      </w:tr>
    </w:tbl>
    <w:p w:rsidR="00610DB8" w:rsidRPr="00344C0B" w:rsidP="008464FB" w14:paraId="353D6DDA" w14:textId="77777777">
      <w:pPr>
        <w:widowControl/>
      </w:pPr>
    </w:p>
    <w:p w:rsidR="00E273E3" w:rsidRPr="00344C0B" w:rsidP="008464FB" w14:paraId="7763CFBE" w14:textId="77777777">
      <w:pPr>
        <w:pStyle w:val="StyleBoldCentered"/>
        <w:widowControl/>
        <w:spacing w:after="220"/>
      </w:pPr>
      <w:r w:rsidRPr="00344C0B">
        <w:t>forfeiture ORDER</w:t>
      </w:r>
    </w:p>
    <w:p w:rsidR="00E273E3" w:rsidRPr="0007571D" w:rsidP="008464FB" w14:paraId="4B25ACAD" w14:textId="6BACCAF7">
      <w:pPr>
        <w:widowControl/>
        <w:tabs>
          <w:tab w:val="right" w:pos="9360"/>
        </w:tabs>
        <w:suppressAutoHyphens/>
        <w:rPr>
          <w:spacing w:val="-2"/>
        </w:rPr>
      </w:pPr>
      <w:r w:rsidRPr="00344C0B">
        <w:rPr>
          <w:b/>
          <w:spacing w:val="-2"/>
        </w:rPr>
        <w:t xml:space="preserve">Adopted: </w:t>
      </w:r>
      <w:r w:rsidR="007F7142">
        <w:rPr>
          <w:b/>
          <w:spacing w:val="-2"/>
        </w:rPr>
        <w:t>August 11, 2022</w:t>
      </w:r>
      <w:r w:rsidRPr="0007571D" w:rsidR="006D2212">
        <w:rPr>
          <w:b/>
          <w:spacing w:val="-2"/>
        </w:rPr>
        <w:tab/>
        <w:t xml:space="preserve">Released: </w:t>
      </w:r>
      <w:r w:rsidR="007F7142">
        <w:rPr>
          <w:b/>
          <w:spacing w:val="-2"/>
        </w:rPr>
        <w:t>August 11, 2022</w:t>
      </w:r>
    </w:p>
    <w:p w:rsidR="00E273E3" w:rsidRPr="00344C0B" w:rsidP="008464FB" w14:paraId="7F5E3E0A" w14:textId="77777777">
      <w:pPr>
        <w:widowControl/>
        <w:jc w:val="center"/>
      </w:pPr>
    </w:p>
    <w:p w:rsidR="00E273E3" w:rsidRPr="00610DB8" w:rsidP="008464FB" w14:paraId="5D7EF3A0" w14:textId="0A0F95EF">
      <w:pPr>
        <w:widowControl/>
        <w:tabs>
          <w:tab w:val="left" w:pos="720"/>
          <w:tab w:val="left" w:pos="5760"/>
        </w:tabs>
        <w:suppressAutoHyphens/>
        <w:spacing w:line="227" w:lineRule="auto"/>
        <w:jc w:val="both"/>
        <w:rPr>
          <w:spacing w:val="-2"/>
          <w:szCs w:val="22"/>
        </w:rPr>
      </w:pPr>
      <w:r w:rsidRPr="00344C0B">
        <w:t xml:space="preserve">By the </w:t>
      </w:r>
      <w:r w:rsidR="00610DB8">
        <w:rPr>
          <w:spacing w:val="-2"/>
          <w:szCs w:val="22"/>
        </w:rPr>
        <w:t>Regional Director, Region Two, Enforcement Bureau</w:t>
      </w:r>
      <w:r w:rsidRPr="006D73F2" w:rsidR="00610DB8">
        <w:rPr>
          <w:spacing w:val="-2"/>
          <w:szCs w:val="22"/>
        </w:rPr>
        <w:t>:</w:t>
      </w:r>
    </w:p>
    <w:p w:rsidR="00E273E3" w:rsidRPr="00344C0B" w:rsidP="008464FB" w14:paraId="6A5533D7" w14:textId="77777777">
      <w:pPr>
        <w:widowControl/>
        <w:rPr>
          <w:spacing w:val="-2"/>
        </w:rPr>
      </w:pPr>
    </w:p>
    <w:p w:rsidR="00E273E3" w:rsidRPr="00344C0B" w:rsidP="008464FB" w14:paraId="61B29C77" w14:textId="77777777">
      <w:pPr>
        <w:pStyle w:val="Heading1"/>
        <w:widowControl/>
      </w:pPr>
      <w:bookmarkStart w:id="0" w:name="_Toc379288998"/>
      <w:bookmarkStart w:id="1" w:name="_Toc379365499"/>
      <w:r w:rsidRPr="00344C0B">
        <w:t>INTRODUCTION</w:t>
      </w:r>
      <w:bookmarkEnd w:id="0"/>
      <w:bookmarkEnd w:id="1"/>
    </w:p>
    <w:p w:rsidR="00E273E3" w:rsidRPr="00344C0B" w:rsidP="008464FB" w14:paraId="3D7414B0" w14:textId="00A85E7D">
      <w:pPr>
        <w:pStyle w:val="ParaNum"/>
        <w:widowControl/>
      </w:pPr>
      <w:r w:rsidRPr="00344C0B">
        <w:t>We impose a penalty of $</w:t>
      </w:r>
      <w:r w:rsidR="00734734">
        <w:t>25,000</w:t>
      </w:r>
      <w:r w:rsidRPr="0007571D">
        <w:t xml:space="preserve"> against</w:t>
      </w:r>
      <w:r w:rsidR="00734734">
        <w:t xml:space="preserve"> Jupiter Community Radio, Inc. </w:t>
      </w:r>
      <w:r w:rsidRPr="00981F23" w:rsidR="00734734">
        <w:t>(</w:t>
      </w:r>
      <w:r w:rsidR="00734734">
        <w:t>Jupiter), licensee of Low Power FM (LPFM) station WJUP-LP, Jupiter, Florida (Station),</w:t>
      </w:r>
      <w:r w:rsidRPr="00344C0B">
        <w:t xml:space="preserve"> for</w:t>
      </w:r>
      <w:r w:rsidR="005F0923">
        <w:t xml:space="preserve"> failing to operate </w:t>
      </w:r>
      <w:r w:rsidR="00E706C6">
        <w:t xml:space="preserve">the </w:t>
      </w:r>
      <w:r w:rsidR="005F0923">
        <w:t xml:space="preserve">Station in accordance with the terms of its </w:t>
      </w:r>
      <w:r w:rsidR="00802184">
        <w:t xml:space="preserve">Federal Communications Commission (FCC or Commission) </w:t>
      </w:r>
      <w:r w:rsidR="005F0923">
        <w:t xml:space="preserve">authorization and the applicable LPFM technical rules, </w:t>
      </w:r>
      <w:r w:rsidR="00E706C6">
        <w:t xml:space="preserve">for </w:t>
      </w:r>
      <w:r w:rsidR="005F0923">
        <w:t xml:space="preserve">failing to make the Station available for inspection, and </w:t>
      </w:r>
      <w:r w:rsidR="00E706C6">
        <w:t xml:space="preserve">for </w:t>
      </w:r>
      <w:r w:rsidR="005F0923">
        <w:t>failing to maintain Emergency Alert System (EAS) equipment</w:t>
      </w:r>
      <w:r w:rsidR="00F339D3">
        <w:t>,</w:t>
      </w:r>
      <w:r w:rsidR="00FB45BC">
        <w:t xml:space="preserve"> </w:t>
      </w:r>
      <w:r w:rsidR="001F3368">
        <w:t>each a</w:t>
      </w:r>
      <w:r w:rsidR="002A6E9D">
        <w:t xml:space="preserve"> violation of the Communications Act of 1934, as amended (Act),</w:t>
      </w:r>
      <w:r>
        <w:rPr>
          <w:rStyle w:val="FootnoteReference"/>
        </w:rPr>
        <w:footnoteReference w:id="3"/>
      </w:r>
      <w:r w:rsidR="002A6E9D">
        <w:t xml:space="preserve"> </w:t>
      </w:r>
      <w:r w:rsidR="004B01B9">
        <w:t>and</w:t>
      </w:r>
      <w:r w:rsidR="002A6E9D">
        <w:t xml:space="preserve"> the Commission’s rules</w:t>
      </w:r>
      <w:r w:rsidR="00802184">
        <w:t>.</w:t>
      </w:r>
      <w:r>
        <w:rPr>
          <w:rStyle w:val="FootnoteReference"/>
        </w:rPr>
        <w:footnoteReference w:id="4"/>
      </w:r>
      <w:r w:rsidR="00802184">
        <w:t xml:space="preserve"> </w:t>
      </w:r>
      <w:r w:rsidR="000B7E44">
        <w:t xml:space="preserve"> </w:t>
      </w:r>
      <w:r w:rsidR="00894C98">
        <w:t xml:space="preserve">This action is taken as part of the Commission’s duty to </w:t>
      </w:r>
      <w:r w:rsidR="00F4743F">
        <w:t xml:space="preserve">manage the radio spectrum, to ensure the accuracy and reliability of the technical data in its licensing databases, to fully investigate violations, and to ensure </w:t>
      </w:r>
      <w:r w:rsidR="002A6E9D">
        <w:t xml:space="preserve">the </w:t>
      </w:r>
      <w:r w:rsidR="0018481A">
        <w:t>S</w:t>
      </w:r>
      <w:r w:rsidR="002A6E9D">
        <w:t xml:space="preserve">tation conveys critical emergency information to the </w:t>
      </w:r>
      <w:r w:rsidR="0018481A">
        <w:t>S</w:t>
      </w:r>
      <w:r w:rsidR="002A6E9D">
        <w:t>tation’s audien</w:t>
      </w:r>
      <w:r w:rsidR="00933C71">
        <w:t>c</w:t>
      </w:r>
      <w:r w:rsidR="002A6E9D">
        <w:t>e</w:t>
      </w:r>
      <w:r w:rsidR="00F4743F">
        <w:t>.</w:t>
      </w:r>
      <w:r w:rsidR="00E574B8">
        <w:t xml:space="preserve">  </w:t>
      </w:r>
      <w:r w:rsidR="00E51C8E">
        <w:t xml:space="preserve">The </w:t>
      </w:r>
      <w:r w:rsidR="00802184">
        <w:t xml:space="preserve">Enforcement Bureau (Bureau) </w:t>
      </w:r>
      <w:r w:rsidR="00E51C8E">
        <w:t xml:space="preserve">previously </w:t>
      </w:r>
      <w:r w:rsidR="00187D1A">
        <w:t>proposed a $25,000 penalty for these statutory and regulatory violations.</w:t>
      </w:r>
      <w:r w:rsidR="003811A4">
        <w:t xml:space="preserve">  Jupiter </w:t>
      </w:r>
      <w:r w:rsidR="0096437D">
        <w:t>does not d</w:t>
      </w:r>
      <w:r w:rsidR="002801DE">
        <w:t>eny</w:t>
      </w:r>
      <w:r w:rsidR="0096437D">
        <w:t xml:space="preserve"> </w:t>
      </w:r>
      <w:r w:rsidR="00187D1A">
        <w:t>the violations</w:t>
      </w:r>
      <w:r w:rsidR="003D6D33">
        <w:t xml:space="preserve"> occurred</w:t>
      </w:r>
      <w:r w:rsidR="00187D1A">
        <w:t xml:space="preserve">, but disputes </w:t>
      </w:r>
      <w:r w:rsidR="00BF170C">
        <w:t xml:space="preserve">how the proposed forfeiture was calculated and </w:t>
      </w:r>
      <w:r w:rsidR="003811A4">
        <w:t xml:space="preserve">requests a </w:t>
      </w:r>
      <w:r w:rsidR="00172C38">
        <w:t xml:space="preserve">cancellation or </w:t>
      </w:r>
      <w:r w:rsidR="003811A4">
        <w:t xml:space="preserve">reduction of the </w:t>
      </w:r>
      <w:r w:rsidR="0096437D">
        <w:t xml:space="preserve">proposed forfeiture amount.  </w:t>
      </w:r>
      <w:r w:rsidRPr="00E574B8" w:rsidR="0078649E">
        <w:rPr>
          <w:szCs w:val="22"/>
        </w:rPr>
        <w:t xml:space="preserve">After </w:t>
      </w:r>
      <w:r w:rsidRPr="00E574B8" w:rsidR="00BF170C">
        <w:rPr>
          <w:szCs w:val="22"/>
        </w:rPr>
        <w:t>con</w:t>
      </w:r>
      <w:r w:rsidRPr="00E574B8" w:rsidR="00187D1A">
        <w:rPr>
          <w:szCs w:val="22"/>
        </w:rPr>
        <w:t xml:space="preserve">sidering the entire record, </w:t>
      </w:r>
      <w:r w:rsidRPr="00E574B8" w:rsidR="0078649E">
        <w:rPr>
          <w:szCs w:val="22"/>
        </w:rPr>
        <w:t>we find no reason to cancel</w:t>
      </w:r>
      <w:r w:rsidRPr="00344C0B" w:rsidR="007B161C">
        <w:rPr>
          <w:szCs w:val="22"/>
        </w:rPr>
        <w:t>, withdraw,</w:t>
      </w:r>
      <w:r w:rsidRPr="00E574B8" w:rsidR="0096437D">
        <w:rPr>
          <w:szCs w:val="22"/>
        </w:rPr>
        <w:t xml:space="preserve"> </w:t>
      </w:r>
      <w:r w:rsidRPr="00E574B8" w:rsidR="0078649E">
        <w:rPr>
          <w:szCs w:val="22"/>
        </w:rPr>
        <w:t xml:space="preserve">or reduce the proposed </w:t>
      </w:r>
      <w:r w:rsidRPr="00E574B8" w:rsidR="00CA60E2">
        <w:rPr>
          <w:szCs w:val="22"/>
        </w:rPr>
        <w:t>penalty</w:t>
      </w:r>
      <w:r w:rsidRPr="00E574B8" w:rsidR="0078649E">
        <w:rPr>
          <w:szCs w:val="22"/>
        </w:rPr>
        <w:t>, and</w:t>
      </w:r>
      <w:r w:rsidRPr="00E574B8" w:rsidR="00CA60E2">
        <w:rPr>
          <w:szCs w:val="22"/>
        </w:rPr>
        <w:t xml:space="preserve"> we</w:t>
      </w:r>
      <w:r w:rsidRPr="00E574B8" w:rsidR="0078649E">
        <w:rPr>
          <w:szCs w:val="22"/>
        </w:rPr>
        <w:t xml:space="preserve"> therefore assess </w:t>
      </w:r>
      <w:r w:rsidRPr="00E574B8" w:rsidR="0096437D">
        <w:rPr>
          <w:szCs w:val="22"/>
        </w:rPr>
        <w:t xml:space="preserve">Jupiter </w:t>
      </w:r>
      <w:r w:rsidRPr="00E574B8" w:rsidR="0078649E">
        <w:rPr>
          <w:szCs w:val="22"/>
        </w:rPr>
        <w:t xml:space="preserve">the </w:t>
      </w:r>
      <w:r w:rsidR="009626A3">
        <w:rPr>
          <w:szCs w:val="22"/>
        </w:rPr>
        <w:t xml:space="preserve">full </w:t>
      </w:r>
      <w:r w:rsidRPr="00E574B8" w:rsidR="0078649E">
        <w:rPr>
          <w:szCs w:val="22"/>
        </w:rPr>
        <w:t>$</w:t>
      </w:r>
      <w:r w:rsidRPr="00E574B8" w:rsidR="0096437D">
        <w:rPr>
          <w:szCs w:val="22"/>
        </w:rPr>
        <w:t>25,000</w:t>
      </w:r>
      <w:r w:rsidRPr="00E574B8" w:rsidR="0078649E">
        <w:rPr>
          <w:szCs w:val="22"/>
        </w:rPr>
        <w:t xml:space="preserve"> forfeiture.</w:t>
      </w:r>
    </w:p>
    <w:p w:rsidR="00E273E3" w:rsidRPr="00344C0B" w:rsidP="008464FB" w14:paraId="294A6D85" w14:textId="77777777">
      <w:pPr>
        <w:pStyle w:val="Heading1"/>
        <w:widowControl/>
      </w:pPr>
      <w:bookmarkStart w:id="2" w:name="_Toc379288999"/>
      <w:bookmarkStart w:id="3" w:name="_Toc379365500"/>
      <w:r w:rsidRPr="00344C0B">
        <w:t>BACKGROUND</w:t>
      </w:r>
      <w:bookmarkEnd w:id="2"/>
      <w:bookmarkEnd w:id="3"/>
    </w:p>
    <w:p w:rsidR="002B17E2" w:rsidRPr="00344C0B" w:rsidP="008464FB" w14:paraId="27584908" w14:textId="4B3A1526">
      <w:pPr>
        <w:pStyle w:val="ParaNum"/>
        <w:widowControl/>
      </w:pPr>
      <w:r w:rsidRPr="00AB21EE">
        <w:rPr>
          <w:i/>
          <w:iCs/>
        </w:rPr>
        <w:t>Legal Framework</w:t>
      </w:r>
      <w:r>
        <w:t>.  Section 301 of the Act states that “[n]o person shall use or operate any apparatus for the transmission of energy or communications or signals by radio” within the United States except under and in accordance with the Act and with a license granted by the Commission.</w:t>
      </w:r>
      <w:r>
        <w:rPr>
          <w:sz w:val="20"/>
          <w:vertAlign w:val="superscript"/>
        </w:rPr>
        <w:footnoteReference w:id="5"/>
      </w:r>
      <w:r>
        <w:t xml:space="preserve">  Section 73.840 of the Commission’s rules requires each LPFM station to maintain its transmitter power output as near as practicable to, but not more than 105% of, its authorized transmitter power output.</w:t>
      </w:r>
      <w:r>
        <w:rPr>
          <w:sz w:val="20"/>
          <w:vertAlign w:val="superscript"/>
        </w:rPr>
        <w:footnoteReference w:id="6"/>
      </w:r>
      <w:r>
        <w:t xml:space="preserve">  Section 73.845 requires e</w:t>
      </w:r>
      <w:r w:rsidRPr="000452C2">
        <w:t>ach LPFM</w:t>
      </w:r>
      <w:r>
        <w:t xml:space="preserve"> licensee to maintain and operate its broadcast </w:t>
      </w:r>
      <w:r w:rsidRPr="000452C2">
        <w:t xml:space="preserve">station in accordance with the terms of </w:t>
      </w:r>
      <w:r>
        <w:t>its</w:t>
      </w:r>
      <w:r w:rsidRPr="000452C2">
        <w:t xml:space="preserve"> station authorization</w:t>
      </w:r>
      <w:r w:rsidR="00FC69B9">
        <w:t>, including</w:t>
      </w:r>
      <w:r w:rsidR="00CD3DC8">
        <w:t xml:space="preserve"> the transmitter power output, the effective radiated power, the antenna type, and the antenna coordinates specified therein</w:t>
      </w:r>
      <w:r>
        <w:t>.</w:t>
      </w:r>
      <w:r>
        <w:rPr>
          <w:sz w:val="20"/>
          <w:vertAlign w:val="superscript"/>
        </w:rPr>
        <w:footnoteReference w:id="7"/>
      </w:r>
      <w:r w:rsidRPr="000452C2">
        <w:t xml:space="preserve"> </w:t>
      </w:r>
      <w:r>
        <w:t xml:space="preserve"> Section 73.878</w:t>
      </w:r>
      <w:r w:rsidRPr="00C62074">
        <w:t xml:space="preserve">(a) requires </w:t>
      </w:r>
      <w:r>
        <w:t>each</w:t>
      </w:r>
      <w:r w:rsidRPr="00C62074">
        <w:t xml:space="preserve"> LPFM </w:t>
      </w:r>
      <w:r>
        <w:t xml:space="preserve">licensee </w:t>
      </w:r>
      <w:r w:rsidRPr="00C62074">
        <w:t xml:space="preserve">to make its station available for inspection by representatives of the Commission during </w:t>
      </w:r>
      <w:r w:rsidRPr="00C62074">
        <w:t>the station’s business hours, and at any time the station is in operation.</w:t>
      </w:r>
      <w:r>
        <w:rPr>
          <w:sz w:val="20"/>
          <w:vertAlign w:val="superscript"/>
        </w:rPr>
        <w:footnoteReference w:id="8"/>
      </w:r>
      <w:r w:rsidRPr="00C62074">
        <w:t xml:space="preserve"> </w:t>
      </w:r>
      <w:r>
        <w:t xml:space="preserve"> </w:t>
      </w:r>
      <w:r w:rsidR="00716917">
        <w:t xml:space="preserve">Finally, </w:t>
      </w:r>
      <w:r w:rsidR="0018481A">
        <w:t>s</w:t>
      </w:r>
      <w:r>
        <w:t>ection 11.11(a) of the Commission’s rules specifies the minimum EAS equipment that must be installed at each LPFM station.</w:t>
      </w:r>
      <w:r>
        <w:rPr>
          <w:rStyle w:val="FootnoteReference"/>
        </w:rPr>
        <w:footnoteReference w:id="9"/>
      </w:r>
    </w:p>
    <w:p w:rsidR="00AB21EE" w:rsidRPr="00344C0B" w:rsidP="008464FB" w14:paraId="1446057F" w14:textId="3B7199D7">
      <w:pPr>
        <w:pStyle w:val="ParaNum"/>
        <w:widowControl/>
      </w:pPr>
      <w:r w:rsidRPr="00AB21EE">
        <w:rPr>
          <w:i/>
          <w:iCs/>
        </w:rPr>
        <w:t>Factual Background</w:t>
      </w:r>
      <w:r>
        <w:t xml:space="preserve">.  </w:t>
      </w:r>
      <w:r w:rsidR="00E51C8E">
        <w:t>On October 26, 2020, the Bureau issued a Notice of Apparent Liability for Forfeiture (</w:t>
      </w:r>
      <w:r w:rsidRPr="003811A4" w:rsidR="00E51C8E">
        <w:rPr>
          <w:i/>
          <w:iCs/>
        </w:rPr>
        <w:t>N</w:t>
      </w:r>
      <w:r w:rsidR="00334F3D">
        <w:rPr>
          <w:i/>
          <w:iCs/>
        </w:rPr>
        <w:t>AL</w:t>
      </w:r>
      <w:r w:rsidR="00E51C8E">
        <w:t>) against Jupiter</w:t>
      </w:r>
      <w:r w:rsidR="00805B0A">
        <w:t>,</w:t>
      </w:r>
      <w:r w:rsidR="00E51C8E">
        <w:t xml:space="preserve"> proposing a $25,000 penalty </w:t>
      </w:r>
      <w:r w:rsidR="0063600B">
        <w:t>for apparent willful</w:t>
      </w:r>
      <w:r w:rsidR="00780410">
        <w:t xml:space="preserve"> </w:t>
      </w:r>
      <w:r w:rsidR="0063600B">
        <w:t>violation of section 301 of the Act, a</w:t>
      </w:r>
      <w:r w:rsidR="00BF170C">
        <w:t>nd</w:t>
      </w:r>
      <w:r w:rsidR="0063600B">
        <w:t xml:space="preserve"> sections</w:t>
      </w:r>
      <w:r w:rsidR="00F339D3">
        <w:t xml:space="preserve"> </w:t>
      </w:r>
      <w:r w:rsidR="0063600B">
        <w:t>73.840</w:t>
      </w:r>
      <w:r w:rsidR="007D0DA2">
        <w:t xml:space="preserve">, </w:t>
      </w:r>
      <w:r w:rsidR="0063600B">
        <w:t>73.845</w:t>
      </w:r>
      <w:r w:rsidR="007D0DA2">
        <w:t>, 73.878</w:t>
      </w:r>
      <w:r w:rsidR="00F339D3">
        <w:t>(a), and 11.11(a)</w:t>
      </w:r>
      <w:r w:rsidR="0063600B">
        <w:t xml:space="preserve"> of the Commission’s rules</w:t>
      </w:r>
      <w:r w:rsidR="00CE5EF5">
        <w:rPr>
          <w:szCs w:val="22"/>
        </w:rPr>
        <w:t>.</w:t>
      </w:r>
      <w:r>
        <w:rPr>
          <w:rStyle w:val="FootnoteReference"/>
          <w:szCs w:val="22"/>
        </w:rPr>
        <w:footnoteReference w:id="10"/>
      </w:r>
      <w:r w:rsidR="00780410">
        <w:t xml:space="preserve"> </w:t>
      </w:r>
      <w:r w:rsidR="00921BEF">
        <w:t xml:space="preserve"> </w:t>
      </w:r>
      <w:r w:rsidR="00805B0A">
        <w:t>O</w:t>
      </w:r>
      <w:r w:rsidR="00321C84">
        <w:t xml:space="preserve">n February 19, 2020, </w:t>
      </w:r>
      <w:r w:rsidR="007D0DA2">
        <w:t>agents</w:t>
      </w:r>
      <w:r w:rsidR="00172C38">
        <w:t xml:space="preserve"> </w:t>
      </w:r>
      <w:r w:rsidR="00DB2399">
        <w:t xml:space="preserve">from the </w:t>
      </w:r>
      <w:r w:rsidR="00716917">
        <w:t xml:space="preserve">Bureau’s </w:t>
      </w:r>
      <w:r w:rsidR="00DB2399">
        <w:t>Miami Field Office</w:t>
      </w:r>
      <w:r w:rsidR="00725681">
        <w:t xml:space="preserve"> </w:t>
      </w:r>
      <w:r w:rsidR="00321C84">
        <w:t xml:space="preserve">monitored the </w:t>
      </w:r>
      <w:r w:rsidR="00805B0A">
        <w:t xml:space="preserve">technical parameters of </w:t>
      </w:r>
      <w:r w:rsidR="00525CFE">
        <w:t xml:space="preserve">the </w:t>
      </w:r>
      <w:r w:rsidR="00321C84">
        <w:t>Station’s transmissions, using direction-finding techniques, to determine whether WJUP-LP was operating in an unauthorized manner.</w:t>
      </w:r>
      <w:r>
        <w:rPr>
          <w:rStyle w:val="FootnoteReference"/>
        </w:rPr>
        <w:footnoteReference w:id="11"/>
      </w:r>
      <w:r w:rsidR="00321C84">
        <w:t xml:space="preserve">  On March 6, 2020, </w:t>
      </w:r>
      <w:r w:rsidR="000D5A8F">
        <w:t xml:space="preserve">the agents </w:t>
      </w:r>
      <w:r w:rsidR="00172C38">
        <w:t>conducted an inspection of the Station’s facilities</w:t>
      </w:r>
      <w:r w:rsidR="00321C84">
        <w:t xml:space="preserve"> </w:t>
      </w:r>
      <w:r w:rsidR="000D5A8F">
        <w:t xml:space="preserve">and </w:t>
      </w:r>
      <w:r w:rsidR="007D0DA2">
        <w:t>observed that Jupiter was</w:t>
      </w:r>
      <w:r w:rsidR="0063600B">
        <w:t xml:space="preserve"> operating the Station with both a transmitter power output and an effective radiated power that exceeded the parameters set forth in the Station’s license</w:t>
      </w:r>
      <w:r>
        <w:rPr>
          <w:rStyle w:val="FootnoteReference"/>
          <w:szCs w:val="22"/>
        </w:rPr>
        <w:footnoteReference w:id="12"/>
      </w:r>
      <w:r w:rsidR="00AB0323">
        <w:t xml:space="preserve"> </w:t>
      </w:r>
      <w:r w:rsidR="0063600B">
        <w:t xml:space="preserve">and in the Commission’s </w:t>
      </w:r>
      <w:r w:rsidR="00381F0C">
        <w:t xml:space="preserve">LPFM </w:t>
      </w:r>
      <w:r w:rsidR="0063600B">
        <w:t xml:space="preserve">rules, and </w:t>
      </w:r>
      <w:r w:rsidR="008513EB">
        <w:t xml:space="preserve">confirmed </w:t>
      </w:r>
      <w:r w:rsidR="008A685E">
        <w:t xml:space="preserve">that </w:t>
      </w:r>
      <w:r w:rsidR="007D0DA2">
        <w:t xml:space="preserve">Jupiter was </w:t>
      </w:r>
      <w:r w:rsidR="0063600B">
        <w:t>operating the Station with an unauthorized antenna from an unauthorized location</w:t>
      </w:r>
      <w:r w:rsidR="0083226B">
        <w:t>.  The Bureau found Jupiter</w:t>
      </w:r>
      <w:r w:rsidR="008A685E">
        <w:t xml:space="preserve"> in apparent violation of section 301 of the Act and sections 73.840 and 73.845 of the Commission’s rules</w:t>
      </w:r>
      <w:r w:rsidR="0063600B">
        <w:t>.</w:t>
      </w:r>
      <w:r>
        <w:rPr>
          <w:sz w:val="20"/>
          <w:vertAlign w:val="superscript"/>
        </w:rPr>
        <w:footnoteReference w:id="13"/>
      </w:r>
      <w:r w:rsidR="0063600B">
        <w:t xml:space="preserve">  </w:t>
      </w:r>
      <w:r w:rsidR="00805B0A">
        <w:t>T</w:t>
      </w:r>
      <w:r w:rsidR="00560EDC">
        <w:t xml:space="preserve">he </w:t>
      </w:r>
      <w:r w:rsidR="00A711BB">
        <w:t>Bureau</w:t>
      </w:r>
      <w:r w:rsidR="00DB3984">
        <w:t xml:space="preserve"> also found </w:t>
      </w:r>
      <w:r w:rsidR="00666C32">
        <w:t xml:space="preserve">that </w:t>
      </w:r>
      <w:r w:rsidR="00DB3984">
        <w:t xml:space="preserve">Jupiter </w:t>
      </w:r>
      <w:r w:rsidR="00666C32">
        <w:t xml:space="preserve">failed to make the </w:t>
      </w:r>
      <w:r w:rsidR="00553342">
        <w:t>S</w:t>
      </w:r>
      <w:r w:rsidR="00666C32">
        <w:t xml:space="preserve">tation available to the Bureau’s agents for inspection </w:t>
      </w:r>
      <w:r w:rsidR="00DB3984">
        <w:t>in apparent violation of section 73.878(a) of the Commission’s rules.</w:t>
      </w:r>
      <w:r>
        <w:rPr>
          <w:rStyle w:val="FootnoteReference"/>
        </w:rPr>
        <w:footnoteReference w:id="14"/>
      </w:r>
      <w:r w:rsidR="00DB3984">
        <w:t xml:space="preserve">  </w:t>
      </w:r>
      <w:r w:rsidR="00AC005F">
        <w:t xml:space="preserve">During the March 6, 2020 inspection, the agents observed that the Station did not appear to have EAS equipment installed at the Transmitter Site. </w:t>
      </w:r>
      <w:r w:rsidR="005D78A7">
        <w:t xml:space="preserve"> </w:t>
      </w:r>
      <w:r w:rsidR="00AC005F">
        <w:t>Jupiter explained that the Station’s EAS equipment was located at the studio on the premises of the Omega Church.</w:t>
      </w:r>
      <w:r>
        <w:rPr>
          <w:rStyle w:val="FootnoteReference"/>
        </w:rPr>
        <w:footnoteReference w:id="15"/>
      </w:r>
      <w:r w:rsidR="00AC005F">
        <w:t xml:space="preserve">  During the inspection, an agent requested EAS logs for the six months prior to the inspection to demonstrate that the Station’s EAS equipment was installed and functioning correctly</w:t>
      </w:r>
      <w:r w:rsidR="00786ECD">
        <w:t xml:space="preserve">.  </w:t>
      </w:r>
      <w:r w:rsidR="006F0693">
        <w:t xml:space="preserve">Instead of providing the agent with the information requested, Jupiter provided EAS logs </w:t>
      </w:r>
      <w:r w:rsidR="006F0693">
        <w:t>associated with WOIB-LP, which is licensed to Omega Church</w:t>
      </w:r>
      <w:r w:rsidR="00786ECD">
        <w:t>.</w:t>
      </w:r>
      <w:r w:rsidR="00AC005F">
        <w:t xml:space="preserve">  In the </w:t>
      </w:r>
      <w:r w:rsidRPr="001A5A25" w:rsidR="00AC005F">
        <w:rPr>
          <w:i/>
          <w:iCs/>
        </w:rPr>
        <w:t>N</w:t>
      </w:r>
      <w:r w:rsidR="00AC005F">
        <w:rPr>
          <w:i/>
          <w:iCs/>
        </w:rPr>
        <w:t>AL</w:t>
      </w:r>
      <w:r w:rsidR="00AC005F">
        <w:t>,</w:t>
      </w:r>
      <w:r w:rsidR="00860271">
        <w:t xml:space="preserve"> the Bureau </w:t>
      </w:r>
      <w:r w:rsidR="003F094F">
        <w:t>foun</w:t>
      </w:r>
      <w:r w:rsidR="00860271">
        <w:t xml:space="preserve">d that Jupiter failed to demonstrate </w:t>
      </w:r>
      <w:r w:rsidR="00C66435">
        <w:t xml:space="preserve">that </w:t>
      </w:r>
      <w:r w:rsidR="003374EB">
        <w:t xml:space="preserve">it had </w:t>
      </w:r>
      <w:r w:rsidR="00860271">
        <w:t xml:space="preserve">installed EAS equipment for the Station in </w:t>
      </w:r>
      <w:r w:rsidR="00666C32">
        <w:t xml:space="preserve">apparent </w:t>
      </w:r>
      <w:r w:rsidR="00860271">
        <w:t>violation of section 11.11(a) of the rules</w:t>
      </w:r>
      <w:r w:rsidRPr="0007571D">
        <w:t>.</w:t>
      </w:r>
      <w:r>
        <w:rPr>
          <w:rStyle w:val="FootnoteReference"/>
          <w:szCs w:val="22"/>
        </w:rPr>
        <w:footnoteReference w:id="16"/>
      </w:r>
    </w:p>
    <w:p w:rsidR="000B29ED" w:rsidRPr="0007571D" w:rsidP="008464FB" w14:paraId="74C98017" w14:textId="7493104D">
      <w:pPr>
        <w:pStyle w:val="ParaNum"/>
        <w:widowControl/>
      </w:pPr>
      <w:r w:rsidRPr="00344C0B">
        <w:t xml:space="preserve">On </w:t>
      </w:r>
      <w:r w:rsidR="001F405C">
        <w:t>November 25, 2020, Jupiter</w:t>
      </w:r>
      <w:r w:rsidRPr="0007571D">
        <w:t xml:space="preserve"> </w:t>
      </w:r>
      <w:r w:rsidRPr="0007571D">
        <w:t xml:space="preserve">filed a response to the </w:t>
      </w:r>
      <w:r w:rsidRPr="00344C0B">
        <w:rPr>
          <w:i/>
        </w:rPr>
        <w:t>N</w:t>
      </w:r>
      <w:r w:rsidR="00334F3D">
        <w:rPr>
          <w:i/>
        </w:rPr>
        <w:t>AL</w:t>
      </w:r>
      <w:r w:rsidRPr="00344C0B">
        <w:t>.</w:t>
      </w:r>
      <w:r>
        <w:rPr>
          <w:rStyle w:val="FootnoteReference"/>
        </w:rPr>
        <w:footnoteReference w:id="17"/>
      </w:r>
      <w:r w:rsidRPr="0007571D">
        <w:t xml:space="preserve">  </w:t>
      </w:r>
      <w:r w:rsidR="001F405C">
        <w:t>Jupiter does not d</w:t>
      </w:r>
      <w:r w:rsidR="001B6316">
        <w:t>eny</w:t>
      </w:r>
      <w:r w:rsidR="001F405C">
        <w:t xml:space="preserve"> that the Bureau</w:t>
      </w:r>
      <w:r w:rsidR="001B6316">
        <w:t>’s agents</w:t>
      </w:r>
      <w:r w:rsidR="001F405C">
        <w:t xml:space="preserve"> observed the violations described in the </w:t>
      </w:r>
      <w:r w:rsidRPr="0096437D" w:rsidR="001F405C">
        <w:rPr>
          <w:i/>
          <w:iCs/>
        </w:rPr>
        <w:t>N</w:t>
      </w:r>
      <w:r w:rsidR="00334F3D">
        <w:rPr>
          <w:i/>
          <w:iCs/>
        </w:rPr>
        <w:t>AL</w:t>
      </w:r>
      <w:r w:rsidR="001F405C">
        <w:t>.  Instead, Jupiter</w:t>
      </w:r>
      <w:r w:rsidR="00590800">
        <w:t xml:space="preserve"> </w:t>
      </w:r>
      <w:r w:rsidR="004F7167">
        <w:t xml:space="preserve">seeks </w:t>
      </w:r>
      <w:r w:rsidR="001F405C">
        <w:t xml:space="preserve">reduction </w:t>
      </w:r>
      <w:r w:rsidR="00384660">
        <w:t xml:space="preserve">or cancellation </w:t>
      </w:r>
      <w:r w:rsidR="001F405C">
        <w:t>of the proposed forfeiture amount</w:t>
      </w:r>
      <w:r w:rsidR="00384660">
        <w:t xml:space="preserve">, arguing (a) that </w:t>
      </w:r>
      <w:bookmarkStart w:id="5" w:name="_Hlk85390145"/>
      <w:r w:rsidR="00384660">
        <w:t>the Bureau assessed the wrong base forfeiture</w:t>
      </w:r>
      <w:r w:rsidR="00F665D5">
        <w:t xml:space="preserve"> for </w:t>
      </w:r>
      <w:r w:rsidR="001B6316">
        <w:t>its</w:t>
      </w:r>
      <w:r w:rsidR="00F665D5">
        <w:t xml:space="preserve"> unauthorized operation</w:t>
      </w:r>
      <w:bookmarkEnd w:id="5"/>
      <w:r w:rsidR="004F7167">
        <w:t xml:space="preserve">; (b) </w:t>
      </w:r>
      <w:r w:rsidR="00384660">
        <w:t xml:space="preserve">that </w:t>
      </w:r>
      <w:r w:rsidR="0005261A">
        <w:t xml:space="preserve">Jupiter </w:t>
      </w:r>
      <w:r w:rsidR="00384660">
        <w:t>will make operational changes to better</w:t>
      </w:r>
      <w:r w:rsidR="004F7167">
        <w:t xml:space="preserve"> permit </w:t>
      </w:r>
      <w:r w:rsidR="00384660">
        <w:t xml:space="preserve">station </w:t>
      </w:r>
      <w:r w:rsidR="004F7167">
        <w:t xml:space="preserve">inspection; (c) </w:t>
      </w:r>
      <w:r w:rsidR="00384660">
        <w:t xml:space="preserve">that providing EAS logs post-NAL warrants </w:t>
      </w:r>
      <w:r w:rsidR="00B57A41">
        <w:t>cancellation of the proposed forfeiture for the EAS violation</w:t>
      </w:r>
      <w:r w:rsidR="004F7167">
        <w:t>; and (d</w:t>
      </w:r>
      <w:r w:rsidR="00097E9D">
        <w:t>) </w:t>
      </w:r>
      <w:r w:rsidR="00384660">
        <w:t xml:space="preserve">that </w:t>
      </w:r>
      <w:r w:rsidR="009676FC">
        <w:t>the proposed forfeiture should be reduced</w:t>
      </w:r>
      <w:r w:rsidR="00290F81">
        <w:t xml:space="preserve"> b</w:t>
      </w:r>
      <w:r w:rsidR="004F7167">
        <w:t xml:space="preserve">ased on </w:t>
      </w:r>
      <w:r w:rsidR="009676FC">
        <w:t>Jupiter’s</w:t>
      </w:r>
      <w:r w:rsidR="004F7167">
        <w:t xml:space="preserve"> record of prior compliance</w:t>
      </w:r>
      <w:r w:rsidR="00B57A41">
        <w:t>.</w:t>
      </w:r>
      <w:r>
        <w:rPr>
          <w:rStyle w:val="FootnoteReference"/>
        </w:rPr>
        <w:footnoteReference w:id="18"/>
      </w:r>
      <w:r w:rsidR="00B57A41">
        <w:t xml:space="preserve">  </w:t>
      </w:r>
      <w:r w:rsidR="009676FC">
        <w:t xml:space="preserve">Specifically, </w:t>
      </w:r>
      <w:r w:rsidR="009D088D">
        <w:t>Jupiter argues, with regard to the</w:t>
      </w:r>
      <w:r w:rsidR="00B57A41">
        <w:t xml:space="preserve"> apparent violation of section 301 of the Act and sections 73.840 and 73.845 of the Commission’s rules, that </w:t>
      </w:r>
      <w:r w:rsidR="0014464E">
        <w:t xml:space="preserve">rather than </w:t>
      </w:r>
      <w:r w:rsidR="00B57A41">
        <w:t>the base forfeiture amount of $10,000 for</w:t>
      </w:r>
      <w:r w:rsidR="00D06A3E">
        <w:t xml:space="preserve"> operating without an instrument of authorization</w:t>
      </w:r>
      <w:r w:rsidR="00B57A41">
        <w:t xml:space="preserve">, </w:t>
      </w:r>
      <w:r w:rsidR="0014464E">
        <w:t>the total base amount for this cluster of violations should be $8,000 (</w:t>
      </w:r>
      <w:r w:rsidR="00E07A2F">
        <w:t xml:space="preserve">$4,000 for exceeding power limits and </w:t>
      </w:r>
      <w:r w:rsidR="0014464E">
        <w:t xml:space="preserve">$4,000 for </w:t>
      </w:r>
      <w:r w:rsidR="00C501C5">
        <w:t xml:space="preserve">operating </w:t>
      </w:r>
      <w:r w:rsidR="0014464E">
        <w:t>from an unauthorized location).</w:t>
      </w:r>
      <w:r>
        <w:rPr>
          <w:rStyle w:val="FootnoteReference"/>
        </w:rPr>
        <w:footnoteReference w:id="19"/>
      </w:r>
      <w:r w:rsidR="0014464E">
        <w:t xml:space="preserve">  Jupiter further a</w:t>
      </w:r>
      <w:r w:rsidR="009D088D">
        <w:t>rgues</w:t>
      </w:r>
      <w:r w:rsidR="0014464E">
        <w:t xml:space="preserve"> that</w:t>
      </w:r>
      <w:r w:rsidR="007B076B">
        <w:t xml:space="preserve"> </w:t>
      </w:r>
      <w:r w:rsidR="0014464E">
        <w:t xml:space="preserve">the </w:t>
      </w:r>
      <w:r w:rsidR="007908B4">
        <w:t xml:space="preserve">proposed </w:t>
      </w:r>
      <w:r w:rsidR="0014464E">
        <w:t xml:space="preserve">forfeiture </w:t>
      </w:r>
      <w:r w:rsidR="009676FC">
        <w:t>for</w:t>
      </w:r>
      <w:r w:rsidR="0014464E">
        <w:t xml:space="preserve"> operating from an unauthorized location should be cancelled </w:t>
      </w:r>
      <w:r w:rsidR="00D72F57">
        <w:t xml:space="preserve">entirely </w:t>
      </w:r>
      <w:r w:rsidR="0014464E">
        <w:t>because th</w:t>
      </w:r>
      <w:r w:rsidR="00B3551A">
        <w:t>e violation</w:t>
      </w:r>
      <w:r w:rsidR="00D72F57">
        <w:t xml:space="preserve"> </w:t>
      </w:r>
      <w:r w:rsidR="0014464E">
        <w:t xml:space="preserve">was </w:t>
      </w:r>
      <w:r w:rsidR="0057268B">
        <w:t>not deliberate</w:t>
      </w:r>
      <w:r w:rsidR="001B6316">
        <w:t>,</w:t>
      </w:r>
      <w:r w:rsidR="0057268B">
        <w:t xml:space="preserve"> but </w:t>
      </w:r>
      <w:r w:rsidR="0014464E">
        <w:t xml:space="preserve">the result of </w:t>
      </w:r>
      <w:r w:rsidR="00931A3A">
        <w:t xml:space="preserve">a </w:t>
      </w:r>
      <w:r w:rsidR="0014464E">
        <w:t>technical error by a consulting engineer</w:t>
      </w:r>
      <w:r w:rsidR="0057268B">
        <w:t>,</w:t>
      </w:r>
      <w:r w:rsidR="009879E0">
        <w:t xml:space="preserve"> and </w:t>
      </w:r>
      <w:r w:rsidR="0014464E">
        <w:t xml:space="preserve">Jupiter </w:t>
      </w:r>
      <w:r w:rsidR="001D2176">
        <w:t xml:space="preserve">will file a modification application to correct the </w:t>
      </w:r>
      <w:r w:rsidR="00D72F57">
        <w:t>situation</w:t>
      </w:r>
      <w:r w:rsidR="009879E0">
        <w:t>.</w:t>
      </w:r>
      <w:r>
        <w:rPr>
          <w:vertAlign w:val="superscript"/>
        </w:rPr>
        <w:footnoteReference w:id="20"/>
      </w:r>
      <w:r w:rsidR="001D2176">
        <w:t xml:space="preserve">  Jupiter asserts that the unauthorized antenna was used as a substitute temporarily because the original was damaged by lightning</w:t>
      </w:r>
      <w:r w:rsidR="00232BF1">
        <w:t>,</w:t>
      </w:r>
      <w:r w:rsidR="001D2176">
        <w:t xml:space="preserve"> and that </w:t>
      </w:r>
      <w:r w:rsidR="00FB5DF0">
        <w:t>Jupiter</w:t>
      </w:r>
      <w:r w:rsidR="00D06A3E">
        <w:t xml:space="preserve"> </w:t>
      </w:r>
      <w:r w:rsidR="00083EB0">
        <w:t xml:space="preserve">installed </w:t>
      </w:r>
      <w:r w:rsidR="001D2176">
        <w:t xml:space="preserve">a new antenna </w:t>
      </w:r>
      <w:r w:rsidR="00C26339">
        <w:t>which</w:t>
      </w:r>
      <w:r w:rsidR="001D2176">
        <w:t xml:space="preserve"> is the model authorized in </w:t>
      </w:r>
      <w:r w:rsidR="005F4F72">
        <w:t>its</w:t>
      </w:r>
      <w:r w:rsidR="001D2176">
        <w:t xml:space="preserve"> Station’s license.</w:t>
      </w:r>
      <w:r>
        <w:rPr>
          <w:rStyle w:val="FootnoteReference"/>
        </w:rPr>
        <w:footnoteReference w:id="21"/>
      </w:r>
      <w:r w:rsidR="0083590C">
        <w:t xml:space="preserve">  Jupiter concedes that the Bureau’s agents were not given access to the Station for several days</w:t>
      </w:r>
      <w:r w:rsidR="00931A3A">
        <w:t>, in violation of section 73.878(a) of the</w:t>
      </w:r>
      <w:r w:rsidR="00C26339">
        <w:t xml:space="preserve"> </w:t>
      </w:r>
      <w:r w:rsidR="00931A3A">
        <w:t>rules,</w:t>
      </w:r>
      <w:r w:rsidR="0083590C">
        <w:t xml:space="preserve"> but asserts that it is taking steps to arrange for additional personnel to be available </w:t>
      </w:r>
      <w:r w:rsidR="00FB5DF0">
        <w:t xml:space="preserve">to allow the Commission to access </w:t>
      </w:r>
      <w:r w:rsidR="0083590C">
        <w:t>the Station in the future.</w:t>
      </w:r>
      <w:r>
        <w:rPr>
          <w:rStyle w:val="FootnoteReference"/>
        </w:rPr>
        <w:footnoteReference w:id="22"/>
      </w:r>
      <w:r w:rsidR="009D088D">
        <w:t xml:space="preserve"> </w:t>
      </w:r>
      <w:r w:rsidR="00D63D2E">
        <w:t xml:space="preserve"> </w:t>
      </w:r>
      <w:r w:rsidR="00FB5DF0">
        <w:t>Regarding</w:t>
      </w:r>
      <w:r w:rsidR="009D088D">
        <w:t xml:space="preserve"> the apparent violation of </w:t>
      </w:r>
      <w:r w:rsidR="00540E32">
        <w:t>s</w:t>
      </w:r>
      <w:r w:rsidR="009D088D">
        <w:t xml:space="preserve">ection 11.11(a) of the </w:t>
      </w:r>
      <w:r w:rsidR="00844622">
        <w:t xml:space="preserve">Commission’s </w:t>
      </w:r>
      <w:r w:rsidR="009D088D">
        <w:t>rules, which specifies the minimum EAS equipment that must be installed at each LPFM station</w:t>
      </w:r>
      <w:r w:rsidR="00995793">
        <w:t>, Jupiter attaches to its Response a copy of the EAS log</w:t>
      </w:r>
      <w:r w:rsidR="00B753CC">
        <w:t>s</w:t>
      </w:r>
      <w:r w:rsidR="00995793">
        <w:t xml:space="preserve"> </w:t>
      </w:r>
      <w:r w:rsidR="001E1FA3">
        <w:t xml:space="preserve">purported to be </w:t>
      </w:r>
      <w:r w:rsidR="00995793">
        <w:t xml:space="preserve">for WJUP-LP for a period of several months </w:t>
      </w:r>
      <w:r w:rsidR="00594BDC">
        <w:t>prior to the date of inspection</w:t>
      </w:r>
      <w:r w:rsidR="00FB5DF0">
        <w:t xml:space="preserve">.  Jupiter argues that, </w:t>
      </w:r>
      <w:r w:rsidR="00594BDC">
        <w:t>“[i]n view of this evidence, the proposed forfeiture for an EAS violation should be cancelled.”</w:t>
      </w:r>
      <w:r>
        <w:rPr>
          <w:rStyle w:val="FootnoteReference"/>
        </w:rPr>
        <w:footnoteReference w:id="23"/>
      </w:r>
    </w:p>
    <w:p w:rsidR="00E273E3" w:rsidRPr="00344C0B" w:rsidP="008464FB" w14:paraId="7B502183" w14:textId="77777777">
      <w:pPr>
        <w:pStyle w:val="Heading1"/>
        <w:widowControl/>
      </w:pPr>
      <w:bookmarkStart w:id="6" w:name="_Toc379289000"/>
      <w:bookmarkStart w:id="7" w:name="_Toc379365501"/>
      <w:r w:rsidRPr="00344C0B">
        <w:t>DISCUSSION</w:t>
      </w:r>
      <w:bookmarkEnd w:id="6"/>
      <w:bookmarkEnd w:id="7"/>
    </w:p>
    <w:p w:rsidR="00371CFB" w:rsidRPr="00371CFB" w:rsidP="008464FB" w14:paraId="0D1F432A" w14:textId="5AEF0E46">
      <w:pPr>
        <w:pStyle w:val="ParaNum"/>
        <w:widowControl/>
      </w:pPr>
      <w:r w:rsidRPr="00344C0B">
        <w:t>The</w:t>
      </w:r>
      <w:r w:rsidRPr="00344C0B" w:rsidR="008D1BE7">
        <w:t xml:space="preserve"> Bureau</w:t>
      </w:r>
      <w:r w:rsidRPr="00344C0B">
        <w:t xml:space="preserve"> </w:t>
      </w:r>
      <w:r w:rsidRPr="00344C0B" w:rsidR="00E273E3">
        <w:t xml:space="preserve">proposed </w:t>
      </w:r>
      <w:r w:rsidRPr="00344C0B">
        <w:t xml:space="preserve">a </w:t>
      </w:r>
      <w:r w:rsidRPr="00344C0B" w:rsidR="00E273E3">
        <w:t xml:space="preserve">forfeiture in this case in accordance with </w:t>
      </w:r>
      <w:r w:rsidR="002722DC">
        <w:t>s</w:t>
      </w:r>
      <w:r w:rsidRPr="00344C0B" w:rsidR="00E273E3">
        <w:t>ection</w:t>
      </w:r>
      <w:r w:rsidR="007627EA">
        <w:t xml:space="preserve"> </w:t>
      </w:r>
      <w:r w:rsidRPr="00344C0B" w:rsidR="00E273E3">
        <w:t>503(b) of the Act,</w:t>
      </w:r>
      <w:r>
        <w:rPr>
          <w:rStyle w:val="FootnoteReference"/>
        </w:rPr>
        <w:footnoteReference w:id="24"/>
      </w:r>
      <w:r w:rsidRPr="0007571D" w:rsidR="00E273E3">
        <w:t xml:space="preserve"> </w:t>
      </w:r>
      <w:r w:rsidR="002722DC">
        <w:t>s</w:t>
      </w:r>
      <w:r w:rsidRPr="0007571D" w:rsidR="00E273E3">
        <w:t xml:space="preserve">ection 1.80 of the </w:t>
      </w:r>
      <w:r w:rsidR="00C339C4">
        <w:t>Commission’s r</w:t>
      </w:r>
      <w:r w:rsidRPr="0007571D" w:rsidR="00E273E3">
        <w:t>ules,</w:t>
      </w:r>
      <w:r>
        <w:rPr>
          <w:vertAlign w:val="superscript"/>
        </w:rPr>
        <w:footnoteReference w:id="25"/>
      </w:r>
      <w:r w:rsidRPr="0007571D" w:rsidR="00E273E3">
        <w:t xml:space="preserve"> and the Commissi</w:t>
      </w:r>
      <w:r w:rsidRPr="00344C0B" w:rsidR="00E273E3">
        <w:t xml:space="preserve">on’s </w:t>
      </w:r>
      <w:r w:rsidRPr="00344C0B" w:rsidR="00E273E3">
        <w:rPr>
          <w:i/>
        </w:rPr>
        <w:t xml:space="preserve">Forfeiture Policy </w:t>
      </w:r>
      <w:r w:rsidRPr="00344C0B" w:rsidR="00E273E3">
        <w:rPr>
          <w:rFonts w:eastAsia="MS Mincho"/>
          <w:i/>
          <w:szCs w:val="22"/>
        </w:rPr>
        <w:t>Statement</w:t>
      </w:r>
      <w:r w:rsidRPr="00344C0B" w:rsidR="00E273E3">
        <w:t>.</w:t>
      </w:r>
      <w:r>
        <w:rPr>
          <w:rStyle w:val="FootnoteReference"/>
          <w:szCs w:val="22"/>
        </w:rPr>
        <w:footnoteReference w:id="26"/>
      </w:r>
      <w:r w:rsidRPr="0007571D" w:rsidR="00E273E3">
        <w:t xml:space="preserve">  </w:t>
      </w:r>
      <w:r w:rsidRPr="00344C0B">
        <w:t>When we assess</w:t>
      </w:r>
      <w:r w:rsidRPr="00344C0B" w:rsidR="00E273E3">
        <w:t xml:space="preserve"> forfeitures, </w:t>
      </w:r>
      <w:r w:rsidR="002722DC">
        <w:t>s</w:t>
      </w:r>
      <w:r w:rsidRPr="00344C0B" w:rsidR="00E273E3">
        <w:t>ection 503(b)(2)(E)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27"/>
      </w:r>
      <w:r w:rsidRPr="0007571D" w:rsidR="00E273E3">
        <w:t xml:space="preserve">  </w:t>
      </w:r>
      <w:r w:rsidR="00B73723">
        <w:t xml:space="preserve">Based on Jupiter’s apparent violations of </w:t>
      </w:r>
      <w:r w:rsidRPr="00DC445E" w:rsidR="00B73723">
        <w:t>(</w:t>
      </w:r>
      <w:r w:rsidR="0056472A">
        <w:t>a</w:t>
      </w:r>
      <w:r w:rsidRPr="00DC445E" w:rsidR="00B73723">
        <w:t>) section 301 of the Act and sections 73.840 and 73.845 of the Commission’s rules (unauthorized operation), (</w:t>
      </w:r>
      <w:r w:rsidR="0056472A">
        <w:t>b</w:t>
      </w:r>
      <w:r w:rsidRPr="00DC445E" w:rsidR="00B73723">
        <w:t>) section 73.878(a)</w:t>
      </w:r>
      <w:r w:rsidR="00CB1BCD">
        <w:t xml:space="preserve"> of the Commission’s rules</w:t>
      </w:r>
      <w:r w:rsidRPr="00DC445E" w:rsidR="00B73723">
        <w:t xml:space="preserve"> (failure to permit inspection), and (</w:t>
      </w:r>
      <w:r w:rsidR="0056472A">
        <w:t>c</w:t>
      </w:r>
      <w:r w:rsidRPr="00DC445E" w:rsidR="00B73723">
        <w:t>)</w:t>
      </w:r>
      <w:r w:rsidR="005E685F">
        <w:t xml:space="preserve"> </w:t>
      </w:r>
      <w:r w:rsidRPr="00DC445E" w:rsidR="00B73723">
        <w:t xml:space="preserve">section 11.11(a) of the Commission’s rules (failure to install required EAS equipment), </w:t>
      </w:r>
      <w:r w:rsidR="00B73723">
        <w:t xml:space="preserve">the Bureau </w:t>
      </w:r>
      <w:r w:rsidRPr="00DC445E" w:rsidR="00B73723">
        <w:t>propose</w:t>
      </w:r>
      <w:r w:rsidR="00B73723">
        <w:t>d</w:t>
      </w:r>
      <w:r w:rsidRPr="00DC445E" w:rsidR="00B73723">
        <w:t xml:space="preserve"> an aggregate forfeiture of $25,000</w:t>
      </w:r>
      <w:r w:rsidR="00B73723">
        <w:t>.</w:t>
      </w:r>
      <w:r w:rsidR="00890D8C">
        <w:t xml:space="preserve"> </w:t>
      </w:r>
      <w:r w:rsidR="00B73723">
        <w:t xml:space="preserve"> </w:t>
      </w:r>
      <w:r w:rsidR="00DD117D">
        <w:t>T</w:t>
      </w:r>
      <w:r w:rsidR="00436AC8">
        <w:t xml:space="preserve">his total results from the </w:t>
      </w:r>
      <w:r w:rsidRPr="00981F23" w:rsidR="00436AC8">
        <w:t>base forfeiture</w:t>
      </w:r>
      <w:r w:rsidR="00436AC8">
        <w:t xml:space="preserve"> of $10,000 for operating without an instrument of authorization, $7,000 for failing to permit an inspection, and $8,000 for failing to install required EAS equipment.</w:t>
      </w:r>
      <w:r>
        <w:rPr>
          <w:rStyle w:val="FootnoteReference"/>
        </w:rPr>
        <w:footnoteReference w:id="28"/>
      </w:r>
      <w:r w:rsidR="00890D8C">
        <w:t xml:space="preserve"> </w:t>
      </w:r>
      <w:r w:rsidR="00436AC8">
        <w:t xml:space="preserve"> </w:t>
      </w:r>
      <w:r w:rsidR="00AB203D">
        <w:rPr>
          <w:szCs w:val="22"/>
        </w:rPr>
        <w:t>W</w:t>
      </w:r>
      <w:r w:rsidRPr="00344C0B" w:rsidR="006B685D">
        <w:rPr>
          <w:szCs w:val="22"/>
        </w:rPr>
        <w:t>e</w:t>
      </w:r>
      <w:r w:rsidRPr="00344C0B">
        <w:rPr>
          <w:szCs w:val="22"/>
        </w:rPr>
        <w:t xml:space="preserve"> have </w:t>
      </w:r>
      <w:r w:rsidRPr="00344C0B" w:rsidR="006B685D">
        <w:rPr>
          <w:szCs w:val="22"/>
        </w:rPr>
        <w:t xml:space="preserve">fully </w:t>
      </w:r>
      <w:r w:rsidRPr="00344C0B">
        <w:rPr>
          <w:szCs w:val="22"/>
        </w:rPr>
        <w:t>considered</w:t>
      </w:r>
      <w:r w:rsidR="00C9491E">
        <w:rPr>
          <w:szCs w:val="22"/>
        </w:rPr>
        <w:t xml:space="preserve"> Jupiter’s</w:t>
      </w:r>
      <w:r w:rsidRPr="0007571D">
        <w:t xml:space="preserve"> </w:t>
      </w:r>
      <w:r w:rsidR="00C9491E">
        <w:rPr>
          <w:szCs w:val="22"/>
        </w:rPr>
        <w:t>R</w:t>
      </w:r>
      <w:r w:rsidRPr="00344C0B">
        <w:rPr>
          <w:szCs w:val="22"/>
        </w:rPr>
        <w:t xml:space="preserve">esponse to the </w:t>
      </w:r>
      <w:r w:rsidRPr="00344C0B">
        <w:rPr>
          <w:i/>
          <w:szCs w:val="22"/>
        </w:rPr>
        <w:t>N</w:t>
      </w:r>
      <w:r w:rsidR="00334F3D">
        <w:rPr>
          <w:i/>
          <w:szCs w:val="22"/>
        </w:rPr>
        <w:t>AL</w:t>
      </w:r>
      <w:r w:rsidRPr="00344C0B">
        <w:rPr>
          <w:szCs w:val="22"/>
        </w:rPr>
        <w:t>,</w:t>
      </w:r>
      <w:r w:rsidR="00C9491E">
        <w:rPr>
          <w:szCs w:val="22"/>
        </w:rPr>
        <w:t xml:space="preserve"> </w:t>
      </w:r>
      <w:r w:rsidRPr="00344C0B">
        <w:rPr>
          <w:szCs w:val="22"/>
        </w:rPr>
        <w:t xml:space="preserve">which includes a variety of legal and factual arguments, but we find </w:t>
      </w:r>
      <w:r w:rsidR="005E7EDA">
        <w:rPr>
          <w:szCs w:val="22"/>
        </w:rPr>
        <w:t>none</w:t>
      </w:r>
      <w:r w:rsidR="00A22204">
        <w:rPr>
          <w:szCs w:val="22"/>
        </w:rPr>
        <w:t xml:space="preserve"> of</w:t>
      </w:r>
      <w:r w:rsidRPr="00344C0B">
        <w:rPr>
          <w:szCs w:val="22"/>
        </w:rPr>
        <w:t xml:space="preserve"> the</w:t>
      </w:r>
      <w:r w:rsidR="00061FF8">
        <w:rPr>
          <w:szCs w:val="22"/>
        </w:rPr>
        <w:t xml:space="preserve">m </w:t>
      </w:r>
      <w:r w:rsidRPr="00344C0B">
        <w:rPr>
          <w:szCs w:val="22"/>
        </w:rPr>
        <w:t>persuasive.  We therefore affirm the $</w:t>
      </w:r>
      <w:r w:rsidR="00C9491E">
        <w:rPr>
          <w:szCs w:val="22"/>
        </w:rPr>
        <w:t>25,000</w:t>
      </w:r>
      <w:r w:rsidRPr="0007571D">
        <w:rPr>
          <w:szCs w:val="22"/>
        </w:rPr>
        <w:t xml:space="preserve"> forfeiture proposed in the </w:t>
      </w:r>
      <w:r w:rsidRPr="0007571D">
        <w:rPr>
          <w:i/>
          <w:szCs w:val="22"/>
        </w:rPr>
        <w:t>N</w:t>
      </w:r>
      <w:r w:rsidR="00334F3D">
        <w:rPr>
          <w:i/>
          <w:szCs w:val="22"/>
        </w:rPr>
        <w:t>AL</w:t>
      </w:r>
      <w:r w:rsidRPr="00B73723">
        <w:rPr>
          <w:iCs/>
          <w:szCs w:val="22"/>
        </w:rPr>
        <w:t>.</w:t>
      </w:r>
    </w:p>
    <w:p w:rsidR="006149D1" w:rsidRPr="00344C0B" w:rsidP="008464FB" w14:paraId="4F337BE4" w14:textId="52E1CBA3">
      <w:pPr>
        <w:pStyle w:val="Heading2"/>
        <w:widowControl/>
      </w:pPr>
      <w:r>
        <w:t xml:space="preserve">Jupiter Has Provided No Basis to </w:t>
      </w:r>
      <w:r w:rsidR="001D4F95">
        <w:t xml:space="preserve">Cancel or </w:t>
      </w:r>
      <w:r>
        <w:t xml:space="preserve">Reduce the Forfeiture </w:t>
      </w:r>
      <w:r>
        <w:t xml:space="preserve">Amount for </w:t>
      </w:r>
      <w:r w:rsidR="00281850">
        <w:t xml:space="preserve">its </w:t>
      </w:r>
      <w:r w:rsidR="00702DC9">
        <w:t xml:space="preserve">Unauthorized Operation </w:t>
      </w:r>
    </w:p>
    <w:p w:rsidR="002E2420" w:rsidP="008464FB" w14:paraId="3A0618AB" w14:textId="3E3CB070">
      <w:pPr>
        <w:pStyle w:val="ParaNum"/>
        <w:keepNext/>
        <w:widowControl/>
      </w:pPr>
      <w:r>
        <w:t xml:space="preserve">The </w:t>
      </w:r>
      <w:r w:rsidR="007042DD">
        <w:t xml:space="preserve">Bureau’s </w:t>
      </w:r>
      <w:r>
        <w:t xml:space="preserve">findings in the </w:t>
      </w:r>
      <w:r w:rsidRPr="001E3000">
        <w:rPr>
          <w:i/>
          <w:iCs/>
        </w:rPr>
        <w:t>NAL</w:t>
      </w:r>
      <w:r>
        <w:t xml:space="preserve"> are undisputed.  </w:t>
      </w:r>
      <w:r>
        <w:rPr>
          <w:i/>
          <w:iCs/>
        </w:rPr>
        <w:t>First,</w:t>
      </w:r>
      <w:r>
        <w:t xml:space="preserve"> the</w:t>
      </w:r>
      <w:r w:rsidR="007042DD">
        <w:t xml:space="preserve"> Bureau</w:t>
      </w:r>
      <w:r w:rsidRPr="001E3000">
        <w:rPr>
          <w:i/>
          <w:iCs/>
        </w:rPr>
        <w:t xml:space="preserve"> </w:t>
      </w:r>
      <w:r>
        <w:t xml:space="preserve">found that Jupiter apparently willfully violated section 73.840 of the Commission’s rules by operating the Station with a </w:t>
      </w:r>
      <w:r>
        <w:rPr>
          <w:szCs w:val="22"/>
        </w:rPr>
        <w:t>transmitter power output</w:t>
      </w:r>
      <w:r>
        <w:t xml:space="preserve"> that was 222% of the authorized level.</w:t>
      </w:r>
      <w:r>
        <w:rPr>
          <w:sz w:val="20"/>
          <w:vertAlign w:val="superscript"/>
        </w:rPr>
        <w:footnoteReference w:id="29"/>
      </w:r>
      <w:r>
        <w:t xml:space="preserve">  </w:t>
      </w:r>
      <w:r>
        <w:rPr>
          <w:i/>
          <w:iCs/>
        </w:rPr>
        <w:t xml:space="preserve">Second, </w:t>
      </w:r>
      <w:r>
        <w:t>the</w:t>
      </w:r>
      <w:r w:rsidR="007042DD">
        <w:t xml:space="preserve"> Bureau </w:t>
      </w:r>
      <w:r>
        <w:t xml:space="preserve">found that Jupiter apparently willfully violated section 301 of the Act and section 73.845 of the rules by operating the Station at an </w:t>
      </w:r>
      <w:r w:rsidRPr="00EF55FB">
        <w:rPr>
          <w:szCs w:val="22"/>
        </w:rPr>
        <w:t>effective radiated power</w:t>
      </w:r>
      <w:r>
        <w:t xml:space="preserve"> of 177 Watts with a two-bay antenna, resulting in an effective radiated power that was 8.88 times the authorized 20 Watts and that far exceeded the 100-Watt maximum effective radiated power permitted for LPFM stations.</w:t>
      </w:r>
      <w:r>
        <w:rPr>
          <w:sz w:val="20"/>
          <w:vertAlign w:val="superscript"/>
        </w:rPr>
        <w:footnoteReference w:id="30"/>
      </w:r>
      <w:r>
        <w:t xml:space="preserve">  </w:t>
      </w:r>
      <w:r w:rsidRPr="00707F69">
        <w:rPr>
          <w:i/>
          <w:iCs/>
        </w:rPr>
        <w:t>Third</w:t>
      </w:r>
      <w:r>
        <w:t>, the</w:t>
      </w:r>
      <w:r w:rsidR="007042DD">
        <w:t xml:space="preserve"> Bureau</w:t>
      </w:r>
      <w:r>
        <w:t xml:space="preserve"> found that Jupiter apparently willfully violated section 301 of the Act</w:t>
      </w:r>
      <w:r w:rsidR="00CE3B9C">
        <w:t>,</w:t>
      </w:r>
      <w:r>
        <w:t xml:space="preserve"> section 73.845 of the rules</w:t>
      </w:r>
      <w:r w:rsidR="00C501C5">
        <w:t>, and the terms of its license</w:t>
      </w:r>
      <w:r w:rsidR="00454094">
        <w:t>,</w:t>
      </w:r>
      <w:r>
        <w:t xml:space="preserve"> by operating the Station not at the Authorized Site, but rather from the Transmitter Site, a location that is </w:t>
      </w:r>
      <w:r>
        <w:t>0.33 miles distant from the Authorized Site.</w:t>
      </w:r>
      <w:r>
        <w:rPr>
          <w:sz w:val="20"/>
          <w:vertAlign w:val="superscript"/>
        </w:rPr>
        <w:footnoteReference w:id="31"/>
      </w:r>
      <w:r>
        <w:t xml:space="preserve">  </w:t>
      </w:r>
      <w:r w:rsidR="00B70224">
        <w:t xml:space="preserve">Jupiter does </w:t>
      </w:r>
      <w:r w:rsidR="00501305">
        <w:t>not challenge these findings</w:t>
      </w:r>
      <w:r w:rsidR="008063C8">
        <w:t xml:space="preserve">, </w:t>
      </w:r>
      <w:r w:rsidR="00131460">
        <w:t xml:space="preserve">but </w:t>
      </w:r>
      <w:r w:rsidR="00501305">
        <w:t>rather argues</w:t>
      </w:r>
      <w:r w:rsidR="009F4B05">
        <w:t xml:space="preserve"> </w:t>
      </w:r>
      <w:r w:rsidR="00131460">
        <w:t xml:space="preserve">that the Bureau </w:t>
      </w:r>
      <w:r w:rsidR="009F4B05">
        <w:t xml:space="preserve">should </w:t>
      </w:r>
      <w:r w:rsidR="00131460">
        <w:t>change how the</w:t>
      </w:r>
      <w:r w:rsidR="009F4B05">
        <w:t xml:space="preserve"> forfeiture is calculated </w:t>
      </w:r>
      <w:r w:rsidR="00131460">
        <w:t>for th</w:t>
      </w:r>
      <w:r w:rsidR="003215E2">
        <w:t>ese</w:t>
      </w:r>
      <w:r w:rsidR="00131460">
        <w:t xml:space="preserve"> violations</w:t>
      </w:r>
      <w:r w:rsidR="008063C8">
        <w:t xml:space="preserve"> </w:t>
      </w:r>
      <w:r w:rsidR="004342A4">
        <w:t>or</w:t>
      </w:r>
      <w:r w:rsidR="009F4B05">
        <w:t xml:space="preserve"> </w:t>
      </w:r>
      <w:r w:rsidR="004342A4">
        <w:t xml:space="preserve">should </w:t>
      </w:r>
      <w:r w:rsidR="009F4B05">
        <w:t>cancel the proposed forfeiture allocated to operating from an unauthorized location</w:t>
      </w:r>
      <w:r w:rsidR="00131460">
        <w:t>.</w:t>
      </w:r>
      <w:r w:rsidR="00940993">
        <w:t xml:space="preserve">  </w:t>
      </w:r>
      <w:r w:rsidR="00501305">
        <w:t xml:space="preserve">Specifically, </w:t>
      </w:r>
      <w:r w:rsidR="003D4574">
        <w:t>i</w:t>
      </w:r>
      <w:r w:rsidR="00940993">
        <w:t xml:space="preserve">nstead of </w:t>
      </w:r>
      <w:r w:rsidR="003D4574">
        <w:t>applying</w:t>
      </w:r>
      <w:r w:rsidR="00940993">
        <w:t xml:space="preserve"> a $10,000 base forfeiture for the unauthorized operation, Jupiter argues that the base forfeiture amount for th</w:t>
      </w:r>
      <w:r w:rsidR="00B8687C">
        <w:t>ese</w:t>
      </w:r>
      <w:r w:rsidR="00940993">
        <w:t xml:space="preserve"> violations should be $8,000 ($4,000 for exceeding power limits and $4,000 for </w:t>
      </w:r>
      <w:r w:rsidR="00C501C5">
        <w:t xml:space="preserve">operating </w:t>
      </w:r>
      <w:r w:rsidR="00940993">
        <w:t>from an unauthorized location).</w:t>
      </w:r>
      <w:r>
        <w:rPr>
          <w:rStyle w:val="FootnoteReference"/>
        </w:rPr>
        <w:footnoteReference w:id="32"/>
      </w:r>
    </w:p>
    <w:p w:rsidR="00E875F5" w:rsidP="008464FB" w14:paraId="1BE5DD0C" w14:textId="241A3885">
      <w:pPr>
        <w:pStyle w:val="ParaNum"/>
        <w:widowControl/>
      </w:pPr>
      <w:r>
        <w:t>We disagree</w:t>
      </w:r>
      <w:r w:rsidR="003D7550">
        <w:t xml:space="preserve">.  </w:t>
      </w:r>
      <w:r w:rsidR="00940993">
        <w:t>B</w:t>
      </w:r>
      <w:r w:rsidR="00172B07">
        <w:t>ecause</w:t>
      </w:r>
      <w:r w:rsidR="00940993">
        <w:t xml:space="preserve"> </w:t>
      </w:r>
      <w:r w:rsidR="00544B80">
        <w:t>Jupiter</w:t>
      </w:r>
      <w:r w:rsidR="00846B17">
        <w:t xml:space="preserve"> operated the Station outside the parameters of its license and outside the parameters permitted in the LPFM radio service</w:t>
      </w:r>
      <w:r w:rsidR="00172B07">
        <w:t>, t</w:t>
      </w:r>
      <w:r w:rsidR="00846B17">
        <w:t>his v</w:t>
      </w:r>
      <w:r w:rsidR="00940993">
        <w:t xml:space="preserve">iolation is accurately characterized as </w:t>
      </w:r>
      <w:r w:rsidR="00C501C5">
        <w:t>“</w:t>
      </w:r>
      <w:r w:rsidR="00940993">
        <w:t>operation without an instrument of authorization for the service,</w:t>
      </w:r>
      <w:r w:rsidR="00C501C5">
        <w:t>”</w:t>
      </w:r>
      <w:r w:rsidR="00940993">
        <w:t xml:space="preserve"> which has a $10,000 base forfeiture.</w:t>
      </w:r>
      <w:r>
        <w:rPr>
          <w:vertAlign w:val="superscript"/>
        </w:rPr>
        <w:footnoteReference w:id="33"/>
      </w:r>
      <w:r w:rsidR="00940993">
        <w:t xml:space="preserve">  </w:t>
      </w:r>
      <w:r w:rsidR="00065276">
        <w:t>The Station’s license specifie</w:t>
      </w:r>
      <w:r w:rsidR="00C938FF">
        <w:t>s</w:t>
      </w:r>
      <w:r w:rsidR="00065276">
        <w:t xml:space="preserve"> that </w:t>
      </w:r>
      <w:r w:rsidR="00FF5284">
        <w:t>Jupiter</w:t>
      </w:r>
      <w:r w:rsidR="00065276">
        <w:t xml:space="preserve"> </w:t>
      </w:r>
      <w:r w:rsidR="00C938FF">
        <w:t>wa</w:t>
      </w:r>
      <w:r w:rsidR="00065276">
        <w:t xml:space="preserve">s authorized to operate with a transmitter power output of 45 Watts, an effective radiated power of 20 Watts, and a one-bay Nicom BKG88 antenna at </w:t>
      </w:r>
      <w:r w:rsidR="00846B17">
        <w:t>the Authorized Site</w:t>
      </w:r>
      <w:r w:rsidR="00065276">
        <w:rPr>
          <w:szCs w:val="22"/>
        </w:rPr>
        <w:t>.</w:t>
      </w:r>
      <w:r>
        <w:rPr>
          <w:vertAlign w:val="superscript"/>
        </w:rPr>
        <w:footnoteReference w:id="34"/>
      </w:r>
      <w:r w:rsidR="00065276">
        <w:t xml:space="preserve">  The Commission’s LPFM rules </w:t>
      </w:r>
      <w:r w:rsidR="00186BEA">
        <w:t xml:space="preserve">state that LPFM stations may not exceed the </w:t>
      </w:r>
      <w:r w:rsidR="00065276">
        <w:t xml:space="preserve">100-Watt maximum </w:t>
      </w:r>
      <w:r w:rsidR="00186BEA">
        <w:t xml:space="preserve">effective radiated power, that </w:t>
      </w:r>
      <w:r w:rsidR="00065276">
        <w:t xml:space="preserve">each LPFM station </w:t>
      </w:r>
      <w:r w:rsidR="00186BEA">
        <w:t>must</w:t>
      </w:r>
      <w:r w:rsidR="00065276">
        <w:t xml:space="preserve"> </w:t>
      </w:r>
      <w:r w:rsidR="00E8463E">
        <w:t xml:space="preserve">operate with </w:t>
      </w:r>
      <w:r w:rsidR="00065276">
        <w:t xml:space="preserve">its transmitter power output </w:t>
      </w:r>
      <w:r w:rsidR="00E8463E">
        <w:t xml:space="preserve">not </w:t>
      </w:r>
      <w:r w:rsidR="00C501C5">
        <w:t>more than</w:t>
      </w:r>
      <w:r w:rsidR="00E8463E">
        <w:t xml:space="preserve"> </w:t>
      </w:r>
      <w:r w:rsidR="00065276">
        <w:t xml:space="preserve">105% of its authorized transmitter power output, and </w:t>
      </w:r>
      <w:r w:rsidR="00186BEA">
        <w:t xml:space="preserve">that </w:t>
      </w:r>
      <w:r w:rsidR="00065276">
        <w:t xml:space="preserve">each LPFM licensee </w:t>
      </w:r>
      <w:r w:rsidR="00186BEA">
        <w:t>must</w:t>
      </w:r>
      <w:r w:rsidR="00065276">
        <w:t xml:space="preserve"> maintain and operate its broadcast station in accordance with the terms of its station license.</w:t>
      </w:r>
      <w:r>
        <w:rPr>
          <w:sz w:val="20"/>
          <w:vertAlign w:val="superscript"/>
        </w:rPr>
        <w:footnoteReference w:id="35"/>
      </w:r>
      <w:r w:rsidR="00065276">
        <w:t xml:space="preserve">  </w:t>
      </w:r>
      <w:r w:rsidR="000075D1">
        <w:t xml:space="preserve">Jupiter does not deny that its transmitter was located 0.33 miles away from its Authorized Site but argues that the base amount for this violation should be $4,000 for operating from an unauthorized location.  Jupiter asserts that the Bureau should add </w:t>
      </w:r>
      <w:r w:rsidR="00A41F6E">
        <w:t xml:space="preserve">$4,000 for </w:t>
      </w:r>
      <w:r w:rsidR="000075D1">
        <w:t xml:space="preserve">exceeding power limits </w:t>
      </w:r>
      <w:r w:rsidR="00A41F6E">
        <w:t xml:space="preserve">for a total amount of $8,000 for this cluster of violations.  </w:t>
      </w:r>
      <w:r w:rsidR="00C501C5">
        <w:t xml:space="preserve">In addition to operating </w:t>
      </w:r>
      <w:r w:rsidR="0042289D">
        <w:t>the Station</w:t>
      </w:r>
      <w:r w:rsidR="00C501C5">
        <w:t xml:space="preserve"> with </w:t>
      </w:r>
      <w:r w:rsidR="00CE3466">
        <w:t xml:space="preserve">an unauthorized antenna from an unauthorized location, and operating with </w:t>
      </w:r>
      <w:r w:rsidR="00C501C5">
        <w:t>both a transmitter power output and an effective radiated power that exceeded the parameters set forth in the Station’s license and in the Commission’s rules, Jupiter</w:t>
      </w:r>
      <w:r w:rsidR="00383587">
        <w:t xml:space="preserve"> </w:t>
      </w:r>
      <w:r w:rsidR="0011404D">
        <w:t>was</w:t>
      </w:r>
      <w:r w:rsidR="00CE3466">
        <w:t xml:space="preserve"> operating the Station</w:t>
      </w:r>
      <w:r w:rsidR="0011404D">
        <w:t xml:space="preserve"> with an effective radiated power that could not have been licensed under the </w:t>
      </w:r>
      <w:r w:rsidR="00065276">
        <w:t xml:space="preserve">LPFM </w:t>
      </w:r>
      <w:r w:rsidR="00383587">
        <w:t xml:space="preserve">radio </w:t>
      </w:r>
      <w:r w:rsidR="00065276">
        <w:t>s</w:t>
      </w:r>
      <w:r w:rsidR="0011404D">
        <w:t>ervice</w:t>
      </w:r>
      <w:r w:rsidR="00065276">
        <w:t>.</w:t>
      </w:r>
      <w:r>
        <w:rPr>
          <w:sz w:val="20"/>
          <w:vertAlign w:val="superscript"/>
        </w:rPr>
        <w:footnoteReference w:id="36"/>
      </w:r>
      <w:r w:rsidR="00065276">
        <w:t xml:space="preserve">  Based upon the evidence before us, we conclude that $10,000 is the correct base forfeiture amount for Jupiter’s violation of section 301 of the Act and sections 73.840 and 73.845 of the Commission’s rules</w:t>
      </w:r>
      <w:r w:rsidR="00F45CBA">
        <w:t>,</w:t>
      </w:r>
      <w:r w:rsidR="00065276">
        <w:t xml:space="preserve"> and we find no basis to cancel or reduce that forfeiture amount. </w:t>
      </w:r>
    </w:p>
    <w:p w:rsidR="001D4F95" w:rsidRPr="006149D1" w:rsidP="008464FB" w14:paraId="016A0151" w14:textId="6EFAEBC9">
      <w:pPr>
        <w:pStyle w:val="ParaNum"/>
        <w:widowControl/>
      </w:pPr>
      <w:r>
        <w:t>We</w:t>
      </w:r>
      <w:r w:rsidR="004F5C39">
        <w:t xml:space="preserve"> also</w:t>
      </w:r>
      <w:r>
        <w:t xml:space="preserve"> reject Jupiter’s argument that the Bureau should cancel the proposed forfeiture allocated to </w:t>
      </w:r>
      <w:r w:rsidR="00C501C5">
        <w:t>operating</w:t>
      </w:r>
      <w:r>
        <w:t xml:space="preserve"> from an unauthorized location because the violation was not deliberate, but the result of a technical error by a consulting engineer.  </w:t>
      </w:r>
      <w:r w:rsidRPr="00981F23" w:rsidR="00185191">
        <w:rPr>
          <w:color w:val="000000" w:themeColor="text1"/>
          <w:spacing w:val="-3"/>
          <w:szCs w:val="22"/>
        </w:rPr>
        <w:t xml:space="preserve">Section 312(f)(1) of the Act defines “willful” as the “conscious and deliberate commission or omission of [any] act, irrespective of any intent to violate” the </w:t>
      </w:r>
      <w:r w:rsidRPr="00981F23" w:rsidR="00185191">
        <w:rPr>
          <w:color w:val="000000" w:themeColor="text1"/>
          <w:spacing w:val="-3"/>
          <w:szCs w:val="22"/>
        </w:rPr>
        <w:t>law.</w:t>
      </w:r>
      <w:bookmarkStart w:id="8" w:name="_Ref396137605"/>
      <w:r>
        <w:rPr>
          <w:rStyle w:val="FootnoteReference"/>
          <w:color w:val="000000" w:themeColor="text1"/>
          <w:spacing w:val="-3"/>
          <w:szCs w:val="22"/>
        </w:rPr>
        <w:footnoteReference w:id="37"/>
      </w:r>
      <w:bookmarkEnd w:id="8"/>
      <w:r w:rsidRPr="00981F23" w:rsidR="00185191">
        <w:rPr>
          <w:color w:val="000000" w:themeColor="text1"/>
          <w:spacing w:val="-3"/>
          <w:szCs w:val="22"/>
        </w:rPr>
        <w:t xml:space="preserve">  </w:t>
      </w:r>
      <w:r w:rsidR="00776451">
        <w:rPr>
          <w:color w:val="000000" w:themeColor="text1"/>
          <w:spacing w:val="-3"/>
          <w:szCs w:val="22"/>
        </w:rPr>
        <w:t xml:space="preserve">Here, </w:t>
      </w:r>
      <w:r w:rsidR="00776451">
        <w:t>Jupiter willfully located the transmitter for its Station at the Transmitter Site</w:t>
      </w:r>
      <w:r w:rsidR="00210AC7">
        <w:t>,</w:t>
      </w:r>
      <w:r w:rsidR="00776451">
        <w:t xml:space="preserve"> instead of the Authorized Site, even if doing so was a mistake</w:t>
      </w:r>
      <w:r w:rsidR="009C264B">
        <w:t xml:space="preserve"> on its part</w:t>
      </w:r>
      <w:r w:rsidR="00776451">
        <w:t xml:space="preserve">.  </w:t>
      </w:r>
      <w:r w:rsidR="007E3473">
        <w:t>Holding Jupiter liable for its willful violation</w:t>
      </w:r>
      <w:r w:rsidR="002C67FB">
        <w:t xml:space="preserve"> is consistent with long-standing Commission precedent</w:t>
      </w:r>
      <w:r w:rsidR="005866C4">
        <w:t xml:space="preserve"> in which t</w:t>
      </w:r>
      <w:r w:rsidR="008034B4">
        <w:t>he Commission has</w:t>
      </w:r>
      <w:r w:rsidR="00D20440">
        <w:t xml:space="preserve"> </w:t>
      </w:r>
      <w:r w:rsidR="008034B4">
        <w:t>held licensee</w:t>
      </w:r>
      <w:r w:rsidR="002739C5">
        <w:t>s</w:t>
      </w:r>
      <w:r w:rsidR="008034B4">
        <w:t xml:space="preserve"> responsible for violations of the Commission’s rules </w:t>
      </w:r>
      <w:r w:rsidR="002739C5">
        <w:t xml:space="preserve">where the licensees did not intend to violate the rules but relied on the </w:t>
      </w:r>
      <w:r w:rsidR="008034B4">
        <w:t>erroneous</w:t>
      </w:r>
      <w:r w:rsidR="002739C5">
        <w:t xml:space="preserve"> advice of an engineer.</w:t>
      </w:r>
      <w:r>
        <w:rPr>
          <w:sz w:val="20"/>
          <w:vertAlign w:val="superscript"/>
        </w:rPr>
        <w:footnoteReference w:id="38"/>
      </w:r>
      <w:r w:rsidR="002739C5">
        <w:t xml:space="preserve">  </w:t>
      </w:r>
      <w:r w:rsidR="00755697">
        <w:t xml:space="preserve">Finally, </w:t>
      </w:r>
      <w:r w:rsidR="00647F96">
        <w:t xml:space="preserve">it is a bedrock </w:t>
      </w:r>
      <w:r w:rsidR="00FB141C">
        <w:t xml:space="preserve">Commission licensing policy that </w:t>
      </w:r>
      <w:r w:rsidR="00584501">
        <w:t>Jupiter</w:t>
      </w:r>
      <w:r w:rsidR="00FB141C">
        <w:t>, as a Commission licensee,</w:t>
      </w:r>
      <w:r w:rsidR="00584501">
        <w:t xml:space="preserve"> is responsible for having knowledge of, and complying with, the Act and the Commission’s rules.</w:t>
      </w:r>
      <w:r>
        <w:rPr>
          <w:sz w:val="20"/>
          <w:vertAlign w:val="superscript"/>
        </w:rPr>
        <w:footnoteReference w:id="39"/>
      </w:r>
      <w:r w:rsidR="00584501">
        <w:t xml:space="preserve">  </w:t>
      </w:r>
    </w:p>
    <w:p w:rsidR="001D4F95" w:rsidRPr="00B63FC8" w:rsidP="008464FB" w14:paraId="5AC12E5B" w14:textId="24A21B72">
      <w:pPr>
        <w:pStyle w:val="Heading2"/>
        <w:widowControl/>
      </w:pPr>
      <w:r>
        <w:t xml:space="preserve">Remedial Steps Taken </w:t>
      </w:r>
      <w:r w:rsidR="002F3777">
        <w:t xml:space="preserve">by Jupiter </w:t>
      </w:r>
      <w:r>
        <w:t xml:space="preserve">in Response to </w:t>
      </w:r>
      <w:r w:rsidR="002F3777">
        <w:t xml:space="preserve">the </w:t>
      </w:r>
      <w:r>
        <w:t xml:space="preserve">Enforcement Action Do Not Support </w:t>
      </w:r>
      <w:r w:rsidR="002F3777">
        <w:t xml:space="preserve">a Reduced </w:t>
      </w:r>
      <w:r>
        <w:t>Forfeiture for its Failure to P</w:t>
      </w:r>
      <w:r w:rsidRPr="00DC445E">
        <w:t xml:space="preserve">ermit </w:t>
      </w:r>
      <w:r>
        <w:t>I</w:t>
      </w:r>
      <w:r w:rsidRPr="00DC445E">
        <w:t>nspection</w:t>
      </w:r>
      <w:r>
        <w:t xml:space="preserve"> </w:t>
      </w:r>
    </w:p>
    <w:p w:rsidR="001D4F95" w:rsidRPr="006149D1" w:rsidP="008464FB" w14:paraId="7A253B89" w14:textId="39EAA1DC">
      <w:pPr>
        <w:pStyle w:val="ParaNum"/>
        <w:widowControl/>
      </w:pPr>
      <w:r>
        <w:t>In the course of the Bureau’s investigation, Jupiter failed to make the Station available for inspection by the Bureau’s agents</w:t>
      </w:r>
      <w:r>
        <w:t xml:space="preserve"> </w:t>
      </w:r>
      <w:r w:rsidR="00436AC8">
        <w:t>in</w:t>
      </w:r>
      <w:r>
        <w:t xml:space="preserve"> violat</w:t>
      </w:r>
      <w:r w:rsidR="00436AC8">
        <w:t>ion of</w:t>
      </w:r>
      <w:r>
        <w:t xml:space="preserve"> section 73.878(a) of the Commission’s rules.</w:t>
      </w:r>
      <w:r>
        <w:rPr>
          <w:rStyle w:val="FootnoteReference"/>
        </w:rPr>
        <w:footnoteReference w:id="40"/>
      </w:r>
      <w:r w:rsidR="008A062A">
        <w:t xml:space="preserve">  </w:t>
      </w:r>
      <w:bookmarkStart w:id="10" w:name="_Hlk85389975"/>
      <w:r w:rsidR="008A062A">
        <w:t>J</w:t>
      </w:r>
      <w:r w:rsidR="00CC5471">
        <w:t>upiter, i</w:t>
      </w:r>
      <w:r w:rsidR="008A062A">
        <w:t>n its Response,</w:t>
      </w:r>
      <w:r w:rsidR="00CC5471">
        <w:t xml:space="preserve"> </w:t>
      </w:r>
      <w:r w:rsidR="008A062A">
        <w:t xml:space="preserve">concedes </w:t>
      </w:r>
      <w:bookmarkEnd w:id="10"/>
      <w:r w:rsidR="008A062A">
        <w:t>that the Bureau’s agents were not given access to the Station for several days after their initial request</w:t>
      </w:r>
      <w:r w:rsidR="00891DAD">
        <w:t xml:space="preserve"> and asserts that it is taking steps to arrange for additional personnel to be available for accessing the Station in the future.</w:t>
      </w:r>
      <w:r>
        <w:rPr>
          <w:rStyle w:val="FootnoteReference"/>
        </w:rPr>
        <w:footnoteReference w:id="41"/>
      </w:r>
      <w:r w:rsidR="00DD32CE">
        <w:t xml:space="preserve">  </w:t>
      </w:r>
      <w:r w:rsidR="00997EF3">
        <w:t>A fundamental element of the Commission’s regulatory scheme is the ability to conduct unannounced inspections</w:t>
      </w:r>
      <w:r w:rsidR="009D39DC">
        <w:t xml:space="preserve"> </w:t>
      </w:r>
      <w:r w:rsidR="00310889">
        <w:t>at which</w:t>
      </w:r>
      <w:r w:rsidR="009D39DC">
        <w:t xml:space="preserve"> </w:t>
      </w:r>
      <w:r w:rsidR="00982002">
        <w:t>licensees must provide agents</w:t>
      </w:r>
      <w:r w:rsidR="009D39DC">
        <w:t xml:space="preserve"> timely access to facilities.</w:t>
      </w:r>
      <w:r>
        <w:rPr>
          <w:sz w:val="20"/>
          <w:vertAlign w:val="superscript"/>
        </w:rPr>
        <w:footnoteReference w:id="42"/>
      </w:r>
      <w:r w:rsidR="00C15FE0">
        <w:t xml:space="preserve">  </w:t>
      </w:r>
      <w:r w:rsidR="004B0616">
        <w:t>Moreover, t</w:t>
      </w:r>
      <w:r w:rsidR="00E53C8C">
        <w:t xml:space="preserve">he Commission has </w:t>
      </w:r>
      <w:r w:rsidR="004B0616">
        <w:t xml:space="preserve">long </w:t>
      </w:r>
      <w:r w:rsidR="00E53C8C">
        <w:t xml:space="preserve">held that </w:t>
      </w:r>
      <w:r w:rsidR="002F3777">
        <w:t xml:space="preserve">a licensee’s </w:t>
      </w:r>
      <w:r w:rsidR="00E53C8C">
        <w:t xml:space="preserve">remedial </w:t>
      </w:r>
      <w:r w:rsidR="00AA2BDA">
        <w:t>steps</w:t>
      </w:r>
      <w:r w:rsidR="00E53C8C">
        <w:t xml:space="preserve"> taken in response to </w:t>
      </w:r>
      <w:r w:rsidR="006E2B1E">
        <w:t xml:space="preserve">an </w:t>
      </w:r>
      <w:r w:rsidR="00E53C8C">
        <w:t xml:space="preserve">enforcement action </w:t>
      </w:r>
      <w:r w:rsidR="002F3777">
        <w:t>are</w:t>
      </w:r>
      <w:r w:rsidR="00E53C8C">
        <w:t xml:space="preserve"> not a reason to reduce a forfeiture.</w:t>
      </w:r>
      <w:r>
        <w:rPr>
          <w:sz w:val="20"/>
          <w:vertAlign w:val="superscript"/>
        </w:rPr>
        <w:footnoteReference w:id="43"/>
      </w:r>
      <w:r w:rsidR="004D76A1">
        <w:t xml:space="preserve"> </w:t>
      </w:r>
      <w:r w:rsidR="00E53C8C">
        <w:t xml:space="preserve"> </w:t>
      </w:r>
      <w:r w:rsidR="004B0616">
        <w:t>And here</w:t>
      </w:r>
      <w:r w:rsidR="00493711">
        <w:t>,</w:t>
      </w:r>
      <w:r w:rsidR="004B0616">
        <w:t xml:space="preserve"> Jupiter</w:t>
      </w:r>
      <w:r w:rsidR="004211B5">
        <w:t xml:space="preserve"> </w:t>
      </w:r>
      <w:r w:rsidR="00493711">
        <w:t xml:space="preserve">has </w:t>
      </w:r>
      <w:r w:rsidR="004211B5">
        <w:t>yet to remedy the problem, but rather</w:t>
      </w:r>
      <w:r w:rsidR="004B0616">
        <w:t xml:space="preserve"> has only stated that it “is taking steps” </w:t>
      </w:r>
      <w:r w:rsidR="004211B5">
        <w:t>to be “more readily available to permit access to the station.”</w:t>
      </w:r>
      <w:r>
        <w:rPr>
          <w:rStyle w:val="FootnoteReference"/>
        </w:rPr>
        <w:footnoteReference w:id="44"/>
      </w:r>
      <w:r w:rsidR="004211B5">
        <w:t xml:space="preserve"> </w:t>
      </w:r>
      <w:r w:rsidR="004B0616">
        <w:t xml:space="preserve"> </w:t>
      </w:r>
      <w:r w:rsidR="00E53C8C">
        <w:t>Accordingly, we</w:t>
      </w:r>
      <w:r w:rsidR="00C15FE0">
        <w:t xml:space="preserve"> </w:t>
      </w:r>
      <w:r w:rsidR="00FC07AE">
        <w:t>decline to</w:t>
      </w:r>
      <w:r w:rsidR="00C7470E">
        <w:t xml:space="preserve"> cancel or</w:t>
      </w:r>
      <w:r w:rsidR="00FC07AE">
        <w:t xml:space="preserve"> reduce</w:t>
      </w:r>
      <w:r w:rsidR="00C7470E">
        <w:t xml:space="preserve"> </w:t>
      </w:r>
      <w:r w:rsidR="00FC07AE">
        <w:t>the forfeiture for Ju</w:t>
      </w:r>
      <w:r w:rsidR="00C15FE0">
        <w:t>piter</w:t>
      </w:r>
      <w:r w:rsidR="00FC07AE">
        <w:t>’s</w:t>
      </w:r>
      <w:r w:rsidR="00C15FE0">
        <w:t xml:space="preserve"> willful </w:t>
      </w:r>
      <w:r w:rsidR="00FC07AE">
        <w:t xml:space="preserve">violation of section 73.878(a) of the Commission’s rules for failing </w:t>
      </w:r>
      <w:r w:rsidR="00C15FE0">
        <w:t>to allow inspection of its facilities.</w:t>
      </w:r>
    </w:p>
    <w:p w:rsidR="006149D1" w:rsidRPr="00B63FC8" w:rsidP="008464FB" w14:paraId="6C23C8AF" w14:textId="111E7670">
      <w:pPr>
        <w:pStyle w:val="Heading2"/>
        <w:widowControl/>
      </w:pPr>
      <w:r>
        <w:t xml:space="preserve">Jupiter has Provided No Basis to Cancel the Forfeiture for </w:t>
      </w:r>
      <w:r w:rsidR="00702DC9">
        <w:t xml:space="preserve">its Failure to Install </w:t>
      </w:r>
      <w:r>
        <w:t>E</w:t>
      </w:r>
      <w:r w:rsidR="003901D5">
        <w:t>AS</w:t>
      </w:r>
      <w:r>
        <w:t xml:space="preserve"> </w:t>
      </w:r>
      <w:r w:rsidR="00702DC9">
        <w:t xml:space="preserve">Equipment </w:t>
      </w:r>
    </w:p>
    <w:p w:rsidR="00DB2399" w:rsidP="008464FB" w14:paraId="46822A49" w14:textId="05DB357C">
      <w:pPr>
        <w:pStyle w:val="ParaNum"/>
        <w:widowControl/>
      </w:pPr>
      <w:r>
        <w:t>Every broadcast station is part of the nationwide EAS network, a public warning system through which EAS participants are required to deliver alerts to the public to warn of impending emergencies and dangers to life and property.  The installation of minimum EAS equipment in a station is a core component of serving as an EAS participant.</w:t>
      </w:r>
      <w:r>
        <w:rPr>
          <w:sz w:val="20"/>
          <w:vertAlign w:val="superscript"/>
        </w:rPr>
        <w:footnoteReference w:id="45"/>
      </w:r>
      <w:r>
        <w:t xml:space="preserve"> </w:t>
      </w:r>
      <w:r w:rsidR="007D2CDF">
        <w:t xml:space="preserve"> </w:t>
      </w:r>
      <w:r w:rsidR="009C658F">
        <w:t>D</w:t>
      </w:r>
      <w:r w:rsidR="001A5A25">
        <w:t xml:space="preserve">uring an inspection of the Station’s facilities on March 6, 2020, the agents observed that the Station did not appear to have any EAS equipment installed at the Transmitter Site.  </w:t>
      </w:r>
      <w:r w:rsidR="000C7429">
        <w:t xml:space="preserve">During that inspection, </w:t>
      </w:r>
      <w:r w:rsidR="001A5A25">
        <w:t>Jupiter explained that the Station’s EAS equipment was located at the studio on the premises of Omega Church,</w:t>
      </w:r>
      <w:r w:rsidR="009E6286">
        <w:t xml:space="preserve"> the</w:t>
      </w:r>
      <w:r w:rsidR="001A5A25">
        <w:t xml:space="preserve"> </w:t>
      </w:r>
      <w:r w:rsidR="000C7429">
        <w:t xml:space="preserve">licensee of </w:t>
      </w:r>
      <w:r w:rsidR="004B0D3A">
        <w:t xml:space="preserve">a different station, </w:t>
      </w:r>
      <w:r w:rsidR="000C7429">
        <w:t>WOIB-LP</w:t>
      </w:r>
      <w:r w:rsidR="004B0D3A">
        <w:t xml:space="preserve">, located </w:t>
      </w:r>
      <w:r w:rsidR="005056D3">
        <w:t>in Coral Springs, Florida</w:t>
      </w:r>
      <w:r w:rsidR="004E260E">
        <w:t>.</w:t>
      </w:r>
      <w:r w:rsidR="001A5A25">
        <w:t xml:space="preserve"> </w:t>
      </w:r>
      <w:r w:rsidR="009D3096">
        <w:t xml:space="preserve"> O</w:t>
      </w:r>
      <w:r w:rsidR="001A5A25">
        <w:t xml:space="preserve">ne of the </w:t>
      </w:r>
      <w:r w:rsidR="00D84124">
        <w:t xml:space="preserve">Bureau’s </w:t>
      </w:r>
      <w:r w:rsidR="001A5A25">
        <w:t xml:space="preserve">agents </w:t>
      </w:r>
      <w:r w:rsidR="00CF0B8B">
        <w:t xml:space="preserve">then </w:t>
      </w:r>
      <w:r w:rsidR="001A5A25">
        <w:t xml:space="preserve">requested copies of the required EAS logs to demonstrate that the Station’s </w:t>
      </w:r>
      <w:r w:rsidR="00FC4705">
        <w:t xml:space="preserve">(WJUP-LP) </w:t>
      </w:r>
      <w:r w:rsidR="001A5A25">
        <w:t xml:space="preserve">EAS equipment was installed and functioning correctly.  As of the date of the </w:t>
      </w:r>
      <w:r w:rsidRPr="001A5A25" w:rsidR="001A5A25">
        <w:rPr>
          <w:i/>
          <w:iCs/>
        </w:rPr>
        <w:t>N</w:t>
      </w:r>
      <w:r w:rsidR="00334F3D">
        <w:rPr>
          <w:i/>
          <w:iCs/>
        </w:rPr>
        <w:t>AL</w:t>
      </w:r>
      <w:r w:rsidR="001A5A25">
        <w:t xml:space="preserve">, Jupiter had only provided EAS logs for </w:t>
      </w:r>
      <w:r w:rsidR="00BB7C0B">
        <w:t>the other</w:t>
      </w:r>
      <w:r w:rsidR="001A5A25">
        <w:t xml:space="preserve"> </w:t>
      </w:r>
      <w:r w:rsidR="008B791F">
        <w:t xml:space="preserve">licensee’s </w:t>
      </w:r>
      <w:r w:rsidR="001A5A25">
        <w:t xml:space="preserve">station, WOIB-LP, and provided no evidence that Jupiter installed EAS equipment for </w:t>
      </w:r>
      <w:r w:rsidR="00BB7C0B">
        <w:t>its</w:t>
      </w:r>
      <w:r w:rsidR="001A5A25">
        <w:t xml:space="preserve"> Station</w:t>
      </w:r>
      <w:r w:rsidR="00BB7C0B">
        <w:t>, WJUP-LP</w:t>
      </w:r>
      <w:r w:rsidR="001A5A25">
        <w:t xml:space="preserve">.  </w:t>
      </w:r>
      <w:r w:rsidR="000569BB">
        <w:t xml:space="preserve">In the </w:t>
      </w:r>
      <w:r w:rsidRPr="001A5A25" w:rsidR="000569BB">
        <w:rPr>
          <w:i/>
          <w:iCs/>
        </w:rPr>
        <w:t>N</w:t>
      </w:r>
      <w:r w:rsidR="00334F3D">
        <w:rPr>
          <w:i/>
          <w:iCs/>
        </w:rPr>
        <w:t>AL</w:t>
      </w:r>
      <w:r w:rsidR="000569BB">
        <w:t>, t</w:t>
      </w:r>
      <w:r w:rsidR="001A5A25">
        <w:t>he Bureau found that Jupiter apparently failed to demonstrate that it installed EAS equipment for the Station a</w:t>
      </w:r>
      <w:r>
        <w:t>nd therefore apparently</w:t>
      </w:r>
      <w:r w:rsidR="002F2CBF">
        <w:t xml:space="preserve"> willfully</w:t>
      </w:r>
      <w:r>
        <w:t xml:space="preserve"> violated section 11.11(a) of the Commission’s rules.</w:t>
      </w:r>
      <w:r>
        <w:rPr>
          <w:rStyle w:val="FootnoteReference"/>
        </w:rPr>
        <w:footnoteReference w:id="46"/>
      </w:r>
      <w:r w:rsidR="00FE70B8">
        <w:t xml:space="preserve"> </w:t>
      </w:r>
      <w:r>
        <w:t xml:space="preserve"> In response to the </w:t>
      </w:r>
      <w:r w:rsidRPr="00DB2399">
        <w:rPr>
          <w:i/>
          <w:iCs/>
        </w:rPr>
        <w:t>N</w:t>
      </w:r>
      <w:r w:rsidR="00334F3D">
        <w:rPr>
          <w:i/>
          <w:iCs/>
        </w:rPr>
        <w:t>AL</w:t>
      </w:r>
      <w:r>
        <w:t xml:space="preserve">, Jupiter </w:t>
      </w:r>
      <w:r w:rsidR="007D12CB">
        <w:t xml:space="preserve">attached </w:t>
      </w:r>
      <w:r>
        <w:t xml:space="preserve">to its Response a </w:t>
      </w:r>
      <w:r w:rsidR="007D12CB">
        <w:t xml:space="preserve">document purporting to be the Station’s </w:t>
      </w:r>
      <w:r>
        <w:t>EAS log</w:t>
      </w:r>
      <w:r w:rsidR="00B753CC">
        <w:t xml:space="preserve">s </w:t>
      </w:r>
      <w:r w:rsidR="007D12CB">
        <w:t>covering</w:t>
      </w:r>
      <w:r>
        <w:t xml:space="preserve"> a period of several months prior to the date of inspection of the Station’s facilities at the Transmitter Site</w:t>
      </w:r>
      <w:r w:rsidR="00F93ACC">
        <w:t>.</w:t>
      </w:r>
      <w:r>
        <w:t xml:space="preserve"> </w:t>
      </w:r>
      <w:r w:rsidR="00F93ACC">
        <w:t xml:space="preserve"> B</w:t>
      </w:r>
      <w:r w:rsidR="000569BB">
        <w:t>ased on th</w:t>
      </w:r>
      <w:r w:rsidR="00F75285">
        <w:t>ose</w:t>
      </w:r>
      <w:r w:rsidR="000569BB">
        <w:t xml:space="preserve"> EAS log</w:t>
      </w:r>
      <w:r w:rsidR="00B753CC">
        <w:t>s</w:t>
      </w:r>
      <w:r w:rsidR="000569BB">
        <w:t xml:space="preserve">, Jupiter </w:t>
      </w:r>
      <w:r w:rsidR="00E237CE">
        <w:t xml:space="preserve">argues that </w:t>
      </w:r>
      <w:r w:rsidR="000569BB">
        <w:t xml:space="preserve">the Bureau </w:t>
      </w:r>
      <w:r w:rsidR="00E237CE">
        <w:t xml:space="preserve">should </w:t>
      </w:r>
      <w:r w:rsidR="000569BB">
        <w:t xml:space="preserve">cancel </w:t>
      </w:r>
      <w:r>
        <w:t xml:space="preserve">the proposed forfeiture for </w:t>
      </w:r>
      <w:r w:rsidR="00E237CE">
        <w:t>the</w:t>
      </w:r>
      <w:r>
        <w:t xml:space="preserve"> </w:t>
      </w:r>
      <w:r w:rsidR="00E237CE">
        <w:t xml:space="preserve">violation of the Commission’s </w:t>
      </w:r>
      <w:r>
        <w:t xml:space="preserve">EAS </w:t>
      </w:r>
      <w:r w:rsidR="00E237CE">
        <w:t>rules</w:t>
      </w:r>
      <w:r>
        <w:t>.</w:t>
      </w:r>
      <w:r>
        <w:rPr>
          <w:rStyle w:val="FootnoteReference"/>
        </w:rPr>
        <w:footnoteReference w:id="47"/>
      </w:r>
    </w:p>
    <w:p w:rsidR="0060633E" w:rsidRPr="00C42847" w:rsidP="008464FB" w14:paraId="216AC42A" w14:textId="04467F70">
      <w:pPr>
        <w:pStyle w:val="ParaNum"/>
        <w:widowControl/>
        <w:rPr>
          <w:snapToGrid/>
          <w:kern w:val="0"/>
        </w:rPr>
      </w:pPr>
      <w:r>
        <w:t xml:space="preserve">We disagree.  </w:t>
      </w:r>
      <w:r w:rsidR="009E6286">
        <w:t>I</w:t>
      </w:r>
      <w:r w:rsidR="008B006E">
        <w:t>t is undisputed that Jupiter did not have EAS equipment</w:t>
      </w:r>
      <w:r w:rsidR="00425DB3">
        <w:t xml:space="preserve"> installed</w:t>
      </w:r>
      <w:r w:rsidR="008B006E">
        <w:t xml:space="preserve"> at the Transmitter Site during the inspection on March 6, 2020.  Jupiter</w:t>
      </w:r>
      <w:r w:rsidR="007434BC">
        <w:t>’s</w:t>
      </w:r>
      <w:r w:rsidR="008B006E">
        <w:t xml:space="preserve"> representation to the </w:t>
      </w:r>
      <w:r w:rsidR="005B7F34">
        <w:t xml:space="preserve">Bureau’s </w:t>
      </w:r>
      <w:r w:rsidR="008B006E">
        <w:t>agents that the Station’s EAS equipment was located at the studio on the premises of Omega Church</w:t>
      </w:r>
      <w:r w:rsidR="007434BC">
        <w:t xml:space="preserve"> does not demonstrate</w:t>
      </w:r>
      <w:r w:rsidR="005966A2">
        <w:t xml:space="preserve"> compliance with </w:t>
      </w:r>
      <w:r w:rsidR="00425DB3">
        <w:t xml:space="preserve">the </w:t>
      </w:r>
      <w:r w:rsidR="005966A2">
        <w:t xml:space="preserve">EAS </w:t>
      </w:r>
      <w:r w:rsidR="007434BC">
        <w:t xml:space="preserve">equipment </w:t>
      </w:r>
      <w:r w:rsidR="005966A2">
        <w:t>requirements</w:t>
      </w:r>
      <w:r w:rsidR="008B006E">
        <w:t xml:space="preserve">.  </w:t>
      </w:r>
      <w:bookmarkStart w:id="11" w:name="_Hlk80942254"/>
      <w:r w:rsidR="001153CD">
        <w:t xml:space="preserve">The </w:t>
      </w:r>
      <w:r w:rsidR="00BC0EC6">
        <w:t>Response fails to demonstrate how the Station and WOIB-LP could use a single EAS decoder to satisfy their different monitoring obligations.  State and local area EAS plans identify local primary sources responsible for coordinating carriage of emergency messages from the sources, such as the National Weather Service or local emergency management officials.</w:t>
      </w:r>
      <w:r>
        <w:rPr>
          <w:sz w:val="20"/>
          <w:vertAlign w:val="superscript"/>
        </w:rPr>
        <w:footnoteReference w:id="48"/>
      </w:r>
      <w:r w:rsidR="00BC0EC6">
        <w:t xml:space="preserve">  State EAS plans are organized by operational areas within each state.  According to the State of Florida EAS Plan, the state is divided into 12 major EAS Operational Areas.  Broadcast stations in Palm Beach County are in Operational Area 10</w:t>
      </w:r>
      <w:r w:rsidR="00CA5552">
        <w:t>,</w:t>
      </w:r>
      <w:r w:rsidR="00BC0EC6">
        <w:t xml:space="preserve"> and stations in Broward County are in Operational Area</w:t>
      </w:r>
      <w:r w:rsidRPr="005348F0" w:rsidR="00BC0EC6">
        <w:rPr>
          <w:szCs w:val="22"/>
        </w:rPr>
        <w:t xml:space="preserve"> 11</w:t>
      </w:r>
      <w:r w:rsidR="00BC0EC6">
        <w:rPr>
          <w:szCs w:val="22"/>
        </w:rPr>
        <w:t>.</w:t>
      </w:r>
      <w:r>
        <w:rPr>
          <w:rStyle w:val="FootnoteReference"/>
        </w:rPr>
        <w:footnoteReference w:id="49"/>
      </w:r>
      <w:r w:rsidR="00BC0EC6">
        <w:t xml:space="preserve">  Because the Station is licensed to </w:t>
      </w:r>
      <w:r w:rsidR="009A5200">
        <w:t>provide service in</w:t>
      </w:r>
      <w:r w:rsidR="00BC0EC6">
        <w:t xml:space="preserve"> the </w:t>
      </w:r>
      <w:r w:rsidR="00CA5552">
        <w:t>C</w:t>
      </w:r>
      <w:r w:rsidR="00BC0EC6">
        <w:t xml:space="preserve">ity of Jupiter in Palm Beach County, </w:t>
      </w:r>
      <w:r w:rsidR="00CA4ABE">
        <w:t xml:space="preserve">while </w:t>
      </w:r>
      <w:r w:rsidR="00BC0EC6">
        <w:t xml:space="preserve">WOIB-LP is licensed to </w:t>
      </w:r>
      <w:r w:rsidR="009A5200">
        <w:t xml:space="preserve">provide service in </w:t>
      </w:r>
      <w:r w:rsidR="00BC0EC6">
        <w:t xml:space="preserve">Oakland Park in Broward County, the </w:t>
      </w:r>
      <w:r w:rsidR="00BC0EC6">
        <w:t>two stations are in different Florida EAS Operational Areas.  The monitoring assignments for each of the two stations are different and some of the emergency messages are different.</w:t>
      </w:r>
      <w:r>
        <w:rPr>
          <w:rStyle w:val="FootnoteReference"/>
        </w:rPr>
        <w:footnoteReference w:id="50"/>
      </w:r>
    </w:p>
    <w:bookmarkEnd w:id="11"/>
    <w:p w:rsidR="00281850" w:rsidRPr="005348F0" w:rsidP="008464FB" w14:paraId="119B33AE" w14:textId="034E550A">
      <w:pPr>
        <w:pStyle w:val="ParaNum"/>
        <w:widowControl/>
        <w:rPr>
          <w:snapToGrid/>
          <w:kern w:val="0"/>
        </w:rPr>
      </w:pPr>
      <w:r>
        <w:t>Similarly, t</w:t>
      </w:r>
      <w:r w:rsidR="00BE123C">
        <w:t xml:space="preserve">he EAS logs submitted by Jupiter </w:t>
      </w:r>
      <w:r w:rsidR="002528C2">
        <w:t xml:space="preserve">with its Response </w:t>
      </w:r>
      <w:r w:rsidR="00BE123C">
        <w:t xml:space="preserve">are insufficient to demonstrate that </w:t>
      </w:r>
      <w:r w:rsidR="00715532">
        <w:t>the Station’s EAS equipment was installed and functioning correctly</w:t>
      </w:r>
      <w:r w:rsidR="00BE123C">
        <w:t xml:space="preserve">.  </w:t>
      </w:r>
      <w:r w:rsidR="00A41338">
        <w:t>Under</w:t>
      </w:r>
      <w:r w:rsidR="00546B65">
        <w:t xml:space="preserve"> section 11.52(d)</w:t>
      </w:r>
      <w:r w:rsidR="005B2446">
        <w:t>(1)</w:t>
      </w:r>
      <w:r w:rsidR="00546B65">
        <w:t xml:space="preserve"> of the Commission’s rules, EAS </w:t>
      </w:r>
      <w:r w:rsidR="00432A70">
        <w:t xml:space="preserve">participants </w:t>
      </w:r>
      <w:r w:rsidR="00546B65">
        <w:t xml:space="preserve">must monitor </w:t>
      </w:r>
      <w:r w:rsidR="006E64BC">
        <w:t xml:space="preserve">the </w:t>
      </w:r>
      <w:r w:rsidR="00546B65">
        <w:t>two EAS sources</w:t>
      </w:r>
      <w:r w:rsidR="006E64BC">
        <w:t xml:space="preserve"> assigned to the participating station in the </w:t>
      </w:r>
      <w:r w:rsidR="002135F2">
        <w:t>state’s EAS plan</w:t>
      </w:r>
      <w:r w:rsidR="00436EEF">
        <w:t>,</w:t>
      </w:r>
      <w:r>
        <w:rPr>
          <w:sz w:val="20"/>
          <w:vertAlign w:val="superscript"/>
        </w:rPr>
        <w:footnoteReference w:id="51"/>
      </w:r>
      <w:r w:rsidR="00196010">
        <w:t xml:space="preserve"> </w:t>
      </w:r>
      <w:r w:rsidR="00436EEF">
        <w:t>yet t</w:t>
      </w:r>
      <w:r w:rsidR="00BA4B75">
        <w:t xml:space="preserve">he </w:t>
      </w:r>
      <w:r w:rsidR="005B2446">
        <w:t xml:space="preserve">EAS </w:t>
      </w:r>
      <w:r w:rsidR="00BA4B75">
        <w:t xml:space="preserve">logs </w:t>
      </w:r>
      <w:r w:rsidR="002135F2">
        <w:t xml:space="preserve">supplied in the Response </w:t>
      </w:r>
      <w:r w:rsidR="00BA4B75">
        <w:t xml:space="preserve">do not demonstrate that </w:t>
      </w:r>
      <w:r w:rsidR="00295AFC">
        <w:t xml:space="preserve">the Station </w:t>
      </w:r>
      <w:r w:rsidR="00BA4B75">
        <w:t xml:space="preserve">was monitoring </w:t>
      </w:r>
      <w:r w:rsidR="00295AFC">
        <w:t xml:space="preserve">its two assigned </w:t>
      </w:r>
      <w:r w:rsidR="00BA4B75">
        <w:t>EAS sources.</w:t>
      </w:r>
      <w:r w:rsidR="00993B8D">
        <w:t xml:space="preserve">  Under the State of Florida Emergency Alert System Plan in effect at the time of the inspection, one of the two EAS sources that WJUP-LP was required to monitor was the Local Primary 1 station for Operational Area 10, WQCS(FM), Fort Pierce, F</w:t>
      </w:r>
      <w:r w:rsidR="00EA48AE">
        <w:t>lorida</w:t>
      </w:r>
      <w:r w:rsidR="00993B8D">
        <w:t>.  EAS participants are required to use a common EAS protocol, as defined in section</w:t>
      </w:r>
      <w:r w:rsidRPr="001C53BB" w:rsidR="00993B8D">
        <w:t xml:space="preserve"> </w:t>
      </w:r>
      <w:r w:rsidR="00993B8D">
        <w:t>11.31</w:t>
      </w:r>
      <w:r w:rsidR="000C6438">
        <w:t xml:space="preserve"> of the Commission’s rules</w:t>
      </w:r>
      <w:r w:rsidR="00993B8D">
        <w:t>, to send and receive emergency alerts.  Under this protocol, an EAS alert includes EAS header codes that must, among other things, identify the EAS Participant transmitting or retransmitting the message.</w:t>
      </w:r>
      <w:r>
        <w:rPr>
          <w:rStyle w:val="FootnoteReference"/>
        </w:rPr>
        <w:footnoteReference w:id="52"/>
      </w:r>
      <w:r w:rsidR="0005315B">
        <w:t xml:space="preserve"> </w:t>
      </w:r>
      <w:r w:rsidR="00993B8D">
        <w:t xml:space="preserve"> The EAS logs purported to be for WJUP-LP do not demonstrate that WJUP-LP was monitoring WQCS for EAS messaging, nor any other station in Operational Area 10, because none of the EAS header codes for messages received identify WQCS or another station in Operational Area 10 as the station sending the message to WJUP-LP.</w:t>
      </w:r>
      <w:r>
        <w:rPr>
          <w:rStyle w:val="FootnoteReference"/>
        </w:rPr>
        <w:footnoteReference w:id="53"/>
      </w:r>
      <w:r w:rsidR="000C34B3">
        <w:t xml:space="preserve">  </w:t>
      </w:r>
      <w:r w:rsidR="009A3340">
        <w:t xml:space="preserve">Moreover, </w:t>
      </w:r>
      <w:r w:rsidR="00A3018B">
        <w:t xml:space="preserve">even had these logs shown </w:t>
      </w:r>
      <w:r w:rsidR="003F6C94">
        <w:t xml:space="preserve">proper EAS monitoring (which they do not), </w:t>
      </w:r>
      <w:r w:rsidR="003B3A3E">
        <w:t>the logs were not provide</w:t>
      </w:r>
      <w:r w:rsidR="00A850DF">
        <w:t>d</w:t>
      </w:r>
      <w:r w:rsidR="003B3A3E">
        <w:t xml:space="preserve"> </w:t>
      </w:r>
      <w:r w:rsidR="00847F8B">
        <w:t xml:space="preserve">at or </w:t>
      </w:r>
      <w:r w:rsidR="00A850DF">
        <w:t>close</w:t>
      </w:r>
      <w:r w:rsidR="00847F8B">
        <w:t xml:space="preserve"> to the time of the inspection.  </w:t>
      </w:r>
      <w:r w:rsidR="00903934">
        <w:t>Therefore</w:t>
      </w:r>
      <w:r w:rsidR="00591EEA">
        <w:t>, based</w:t>
      </w:r>
      <w:r w:rsidR="00C93576">
        <w:t xml:space="preserve"> on the record before us, Jupiter has not demonstrated that</w:t>
      </w:r>
      <w:r w:rsidR="00E11FD6">
        <w:t>,</w:t>
      </w:r>
      <w:r w:rsidR="00C93576">
        <w:t xml:space="preserve"> </w:t>
      </w:r>
      <w:r w:rsidR="00E11FD6">
        <w:t xml:space="preserve">at the time of the inspection, </w:t>
      </w:r>
      <w:r w:rsidR="00C008AE">
        <w:t xml:space="preserve">the Station </w:t>
      </w:r>
      <w:r w:rsidR="00F46EB0">
        <w:t>ha</w:t>
      </w:r>
      <w:r w:rsidR="007D74ED">
        <w:t>d</w:t>
      </w:r>
      <w:r w:rsidR="00F46EB0">
        <w:t xml:space="preserve"> EAS equipment installed </w:t>
      </w:r>
      <w:r w:rsidR="0063240C">
        <w:t xml:space="preserve">and was monitoring its assigned EAS sources designated </w:t>
      </w:r>
      <w:r w:rsidR="005A5988">
        <w:t xml:space="preserve">in the </w:t>
      </w:r>
      <w:r w:rsidR="00C82C71">
        <w:t xml:space="preserve">State of </w:t>
      </w:r>
      <w:r w:rsidR="005A5988">
        <w:t xml:space="preserve">Florida EAS Plan.  </w:t>
      </w:r>
      <w:r w:rsidR="00C7470E">
        <w:t>Acco</w:t>
      </w:r>
      <w:r w:rsidR="00334F3D">
        <w:t>r</w:t>
      </w:r>
      <w:r w:rsidR="00C7470E">
        <w:t>dingly</w:t>
      </w:r>
      <w:r w:rsidR="006149D1">
        <w:t>, we find no basis to cancel</w:t>
      </w:r>
      <w:r w:rsidR="00613389">
        <w:t xml:space="preserve"> </w:t>
      </w:r>
      <w:r w:rsidR="00C7470E">
        <w:t xml:space="preserve">or reduce </w:t>
      </w:r>
      <w:r w:rsidR="006149D1">
        <w:t>the forfeiture</w:t>
      </w:r>
      <w:r w:rsidR="00702DC9">
        <w:t xml:space="preserve"> for </w:t>
      </w:r>
      <w:r w:rsidR="001A5A25">
        <w:t>Jupiter’s</w:t>
      </w:r>
      <w:r w:rsidR="00702DC9">
        <w:t xml:space="preserve"> violation of section 11.11(a) of the Commission’s rules</w:t>
      </w:r>
      <w:r w:rsidR="006149D1">
        <w:t>.</w:t>
      </w:r>
    </w:p>
    <w:p w:rsidR="00281850" w:rsidRPr="00981F23" w:rsidP="008464FB" w14:paraId="0A1A4287" w14:textId="658FE229">
      <w:pPr>
        <w:pStyle w:val="Heading2"/>
        <w:widowControl/>
      </w:pPr>
      <w:r>
        <w:t xml:space="preserve">Jupiter’s </w:t>
      </w:r>
      <w:r w:rsidR="00413209">
        <w:t>Record Does Not Warrant Reduction of the Proposed</w:t>
      </w:r>
      <w:r w:rsidR="005921B4">
        <w:t xml:space="preserve"> </w:t>
      </w:r>
      <w:r w:rsidR="00812785">
        <w:t>Forfeiture</w:t>
      </w:r>
    </w:p>
    <w:p w:rsidR="007E2F5D" w:rsidP="008464FB" w14:paraId="7B5FC4E1" w14:textId="4CBE6044">
      <w:pPr>
        <w:pStyle w:val="ParaNum"/>
        <w:widowControl/>
      </w:pPr>
      <w:r>
        <w:t xml:space="preserve">We reject Jupiter’s request for reduction of the proposed forfeiture on the basis of </w:t>
      </w:r>
      <w:r w:rsidR="00677160">
        <w:t>it</w:t>
      </w:r>
      <w:r w:rsidR="00B64E80">
        <w:t>s purported</w:t>
      </w:r>
      <w:r>
        <w:t xml:space="preserve"> record of </w:t>
      </w:r>
      <w:r w:rsidR="00B64E80">
        <w:t>prior compliance</w:t>
      </w:r>
      <w:r>
        <w:t xml:space="preserve">.  </w:t>
      </w:r>
      <w:r w:rsidR="007A3619">
        <w:t xml:space="preserve">When considering a licensee’s history of compliance, </w:t>
      </w:r>
      <w:r w:rsidR="00DA63E8">
        <w:t>the Commission</w:t>
      </w:r>
      <w:r w:rsidR="007A3619">
        <w:t xml:space="preserve"> consider</w:t>
      </w:r>
      <w:r w:rsidR="00A277AC">
        <w:t>s</w:t>
      </w:r>
      <w:r w:rsidR="00EA4FDA">
        <w:t xml:space="preserve"> prior</w:t>
      </w:r>
      <w:r w:rsidR="007A3619">
        <w:t xml:space="preserve"> monetary and non-monetary sanctions.</w:t>
      </w:r>
      <w:r>
        <w:rPr>
          <w:rStyle w:val="FootnoteReference"/>
        </w:rPr>
        <w:footnoteReference w:id="54"/>
      </w:r>
      <w:r w:rsidR="007A3619">
        <w:t xml:space="preserve">  </w:t>
      </w:r>
      <w:r>
        <w:t xml:space="preserve">On December 20, 2017, the Bureau issued a Notice of Unlicensed Operation to Jupiter’s president, Wayne Manning, and </w:t>
      </w:r>
      <w:r w:rsidR="00EA4FDA">
        <w:t xml:space="preserve">to </w:t>
      </w:r>
      <w:r>
        <w:t>The Omega Church International Ministries, Inc. for operating an un</w:t>
      </w:r>
      <w:r w:rsidR="00260287">
        <w:t xml:space="preserve">licensed </w:t>
      </w:r>
      <w:r>
        <w:t>station on 104.1 MHz in West Palm Beach, Florida, in violation of section 301 of the Act.</w:t>
      </w:r>
      <w:r>
        <w:rPr>
          <w:rStyle w:val="FootnoteReference"/>
        </w:rPr>
        <w:footnoteReference w:id="55"/>
      </w:r>
      <w:r>
        <w:t xml:space="preserve">  In</w:t>
      </w:r>
      <w:r w:rsidR="00977DB8">
        <w:t> </w:t>
      </w:r>
      <w:r w:rsidR="005B6A61">
        <w:t xml:space="preserve">his written </w:t>
      </w:r>
      <w:r>
        <w:t xml:space="preserve">response to the Notice of Unlicensed Operation, Manning admitted that he was operating the station, </w:t>
      </w:r>
      <w:r w:rsidR="00677160">
        <w:t xml:space="preserve">and stated </w:t>
      </w:r>
      <w:r>
        <w:t>that operation of the station was a 48</w:t>
      </w:r>
      <w:r w:rsidR="00D114DA">
        <w:t>-</w:t>
      </w:r>
      <w:r>
        <w:t xml:space="preserve">hour weekend test </w:t>
      </w:r>
      <w:r w:rsidR="00C635BE">
        <w:t xml:space="preserve">in West Palm Beach </w:t>
      </w:r>
      <w:r w:rsidR="00764242">
        <w:t xml:space="preserve">using </w:t>
      </w:r>
      <w:r w:rsidR="001D421C">
        <w:t xml:space="preserve">Jupiter’s </w:t>
      </w:r>
      <w:r w:rsidR="00764242">
        <w:t xml:space="preserve">WJUP-LP </w:t>
      </w:r>
      <w:r w:rsidR="00103F9B">
        <w:t xml:space="preserve">Station </w:t>
      </w:r>
      <w:r w:rsidR="00764242">
        <w:t xml:space="preserve">equipment </w:t>
      </w:r>
      <w:r w:rsidR="00276202">
        <w:t xml:space="preserve">to determine whether </w:t>
      </w:r>
      <w:r>
        <w:t xml:space="preserve">WJUP-LP </w:t>
      </w:r>
      <w:r w:rsidR="00276202">
        <w:t xml:space="preserve">should change </w:t>
      </w:r>
      <w:r w:rsidR="00260287">
        <w:t xml:space="preserve">from 103.9 MHz </w:t>
      </w:r>
      <w:r w:rsidR="00B64E80">
        <w:t xml:space="preserve">(its authorized frequency) </w:t>
      </w:r>
      <w:r>
        <w:t xml:space="preserve">to 104.1 </w:t>
      </w:r>
      <w:r>
        <w:t>MHz</w:t>
      </w:r>
      <w:r w:rsidR="00156845">
        <w:t>.</w:t>
      </w:r>
      <w:r>
        <w:rPr>
          <w:rStyle w:val="FootnoteReference"/>
        </w:rPr>
        <w:footnoteReference w:id="56"/>
      </w:r>
      <w:r>
        <w:t xml:space="preserve">  </w:t>
      </w:r>
      <w:r w:rsidR="00254955">
        <w:t>O</w:t>
      </w:r>
      <w:r w:rsidR="00D52D53">
        <w:t>n the date</w:t>
      </w:r>
      <w:r w:rsidR="0021454F">
        <w:t>s</w:t>
      </w:r>
      <w:r w:rsidR="00D52D53">
        <w:t xml:space="preserve"> of the violation in November 2017, </w:t>
      </w:r>
      <w:r w:rsidR="004B6495">
        <w:t>Manning</w:t>
      </w:r>
      <w:r w:rsidR="0099552F">
        <w:t xml:space="preserve"> was </w:t>
      </w:r>
      <w:r w:rsidR="00977DB8">
        <w:t xml:space="preserve">the president of </w:t>
      </w:r>
      <w:r w:rsidR="0099552F">
        <w:t>Jupiter</w:t>
      </w:r>
      <w:r w:rsidR="00977DB8">
        <w:t>.</w:t>
      </w:r>
      <w:r>
        <w:rPr>
          <w:rStyle w:val="FootnoteReference"/>
        </w:rPr>
        <w:footnoteReference w:id="57"/>
      </w:r>
      <w:r w:rsidR="004B6495">
        <w:t xml:space="preserve"> </w:t>
      </w:r>
      <w:r w:rsidR="00977DB8">
        <w:t xml:space="preserve"> </w:t>
      </w:r>
      <w:bookmarkStart w:id="13" w:name="_Hlk85462181"/>
      <w:r w:rsidR="005223AA">
        <w:t>The Commission has held licensees responsible and imposed sanctions for transgressions of a principal acting within the scope of his or her position.</w:t>
      </w:r>
      <w:r>
        <w:rPr>
          <w:rStyle w:val="FootnoteReference"/>
        </w:rPr>
        <w:footnoteReference w:id="58"/>
      </w:r>
      <w:r w:rsidR="00100105">
        <w:t xml:space="preserve">  </w:t>
      </w:r>
      <w:r w:rsidR="00026CE4">
        <w:t xml:space="preserve">Given the unlicensed operation by Manning, a principal of Jupiter, </w:t>
      </w:r>
      <w:r w:rsidR="005223AA">
        <w:t xml:space="preserve">using </w:t>
      </w:r>
      <w:r w:rsidR="000338C2">
        <w:t xml:space="preserve">Jupiter’s </w:t>
      </w:r>
      <w:r w:rsidR="005223AA">
        <w:t>WJUP-LP</w:t>
      </w:r>
      <w:r w:rsidR="00B56B3A">
        <w:t xml:space="preserve"> Station</w:t>
      </w:r>
      <w:r w:rsidR="005223AA">
        <w:t xml:space="preserve"> equipment </w:t>
      </w:r>
      <w:r w:rsidR="0099552F">
        <w:t xml:space="preserve">while testing </w:t>
      </w:r>
      <w:r w:rsidR="00977DB8">
        <w:t xml:space="preserve">to determine whether Jupiter would benefit from a change in </w:t>
      </w:r>
      <w:r w:rsidR="0099552F">
        <w:t>WJUP-LP</w:t>
      </w:r>
      <w:r w:rsidR="00977DB8">
        <w:t>’s frequency</w:t>
      </w:r>
      <w:r w:rsidR="0099552F">
        <w:t xml:space="preserve">, </w:t>
      </w:r>
      <w:r w:rsidR="00827CE2">
        <w:t xml:space="preserve">we find that </w:t>
      </w:r>
      <w:r w:rsidR="00026CE4">
        <w:t>Manning was acting within the scope of his position</w:t>
      </w:r>
      <w:r w:rsidR="00977DB8">
        <w:t xml:space="preserve"> as president of Jupiter</w:t>
      </w:r>
      <w:r w:rsidR="00D114DA">
        <w:t>,</w:t>
      </w:r>
      <w:r w:rsidR="00026CE4">
        <w:t xml:space="preserve"> and his willful misconduct may be imputed to Jupiter.  Accordingly, w</w:t>
      </w:r>
      <w:r w:rsidR="0099552F">
        <w:t xml:space="preserve">e do not </w:t>
      </w:r>
      <w:r w:rsidR="004B4BA5">
        <w:t>fin</w:t>
      </w:r>
      <w:r w:rsidR="00C8137E">
        <w:t>d</w:t>
      </w:r>
      <w:r w:rsidR="0099552F">
        <w:t xml:space="preserve"> that Jupiter </w:t>
      </w:r>
      <w:r w:rsidR="00C8137E">
        <w:t>has</w:t>
      </w:r>
      <w:r w:rsidR="0099552F">
        <w:t xml:space="preserve"> a record of prior compliance</w:t>
      </w:r>
      <w:r w:rsidR="00C8137E">
        <w:t xml:space="preserve"> that warrants a downward forfeiture adjustment</w:t>
      </w:r>
      <w:r w:rsidR="0099552F">
        <w:t>.</w:t>
      </w:r>
      <w:r w:rsidR="00C03E67">
        <w:t xml:space="preserve"> </w:t>
      </w:r>
    </w:p>
    <w:bookmarkEnd w:id="13"/>
    <w:p w:rsidR="00CE772D" w:rsidP="008464FB" w14:paraId="615F6349" w14:textId="7D15C796">
      <w:pPr>
        <w:pStyle w:val="ParaNum"/>
        <w:widowControl/>
      </w:pPr>
      <w:r>
        <w:t>Moreover, even if Jupiter had a history of compliance</w:t>
      </w:r>
      <w:r w:rsidR="00F11319">
        <w:t xml:space="preserve">, that factor would be outweighed by Jupiter’s </w:t>
      </w:r>
      <w:r w:rsidR="0012103C">
        <w:t>failure to</w:t>
      </w:r>
      <w:r w:rsidR="00D74B66">
        <w:t xml:space="preserve"> demonstrate that it has </w:t>
      </w:r>
      <w:r w:rsidR="00CC2198">
        <w:t xml:space="preserve">fully </w:t>
      </w:r>
      <w:r w:rsidR="00D74B66">
        <w:t>c</w:t>
      </w:r>
      <w:r w:rsidR="00CC2198">
        <w:t xml:space="preserve">orrected </w:t>
      </w:r>
      <w:r w:rsidR="00D74B66">
        <w:t>all of the violations.</w:t>
      </w:r>
      <w:r>
        <w:rPr>
          <w:vertAlign w:val="superscript"/>
        </w:rPr>
        <w:footnoteReference w:id="59"/>
      </w:r>
      <w:r w:rsidR="00D74B66">
        <w:t xml:space="preserve">  </w:t>
      </w:r>
      <w:r w:rsidR="00E84C99">
        <w:t xml:space="preserve">For example, </w:t>
      </w:r>
      <w:r w:rsidR="0012132F">
        <w:t>r</w:t>
      </w:r>
      <w:r w:rsidR="00CC2198">
        <w:t xml:space="preserve">egarding </w:t>
      </w:r>
      <w:r w:rsidR="00A24619">
        <w:t xml:space="preserve">Jupiter’s failure to permit </w:t>
      </w:r>
      <w:r w:rsidR="00CC2198">
        <w:t>inspection</w:t>
      </w:r>
      <w:r w:rsidR="00913515">
        <w:t xml:space="preserve"> in violation of section 73.878(a) of the Commission’s rules</w:t>
      </w:r>
      <w:r w:rsidR="00CC2198">
        <w:t>,</w:t>
      </w:r>
      <w:r>
        <w:rPr>
          <w:sz w:val="20"/>
          <w:vertAlign w:val="superscript"/>
        </w:rPr>
        <w:footnoteReference w:id="60"/>
      </w:r>
      <w:r w:rsidR="00CC2198">
        <w:t xml:space="preserve"> </w:t>
      </w:r>
      <w:r w:rsidR="00D74B66">
        <w:t xml:space="preserve">Jupiter has </w:t>
      </w:r>
      <w:r w:rsidR="003D0E20">
        <w:t xml:space="preserve">only </w:t>
      </w:r>
      <w:r w:rsidR="002C52F1">
        <w:t>provided a statement that efforts are underway t</w:t>
      </w:r>
      <w:r w:rsidR="005C7265">
        <w:t xml:space="preserve">o </w:t>
      </w:r>
      <w:r w:rsidR="00452FBE">
        <w:t xml:space="preserve">arrange for additional personnel to be </w:t>
      </w:r>
      <w:r w:rsidR="00D74B66">
        <w:t xml:space="preserve">available to </w:t>
      </w:r>
      <w:r w:rsidR="005C7265">
        <w:t>permit future inspections</w:t>
      </w:r>
      <w:r w:rsidR="00CC2198">
        <w:t>.</w:t>
      </w:r>
      <w:r>
        <w:rPr>
          <w:rStyle w:val="FootnoteReference"/>
        </w:rPr>
        <w:footnoteReference w:id="61"/>
      </w:r>
      <w:r w:rsidR="00CC2198">
        <w:t xml:space="preserve">  </w:t>
      </w:r>
      <w:r w:rsidR="005F1E01">
        <w:t xml:space="preserve">For </w:t>
      </w:r>
      <w:r w:rsidR="00A24619">
        <w:t xml:space="preserve">Jupiter’s failure to install </w:t>
      </w:r>
      <w:r w:rsidR="005F1E01">
        <w:t xml:space="preserve">the </w:t>
      </w:r>
      <w:r w:rsidR="00A24619">
        <w:t xml:space="preserve">required </w:t>
      </w:r>
      <w:r w:rsidR="00627E49">
        <w:t>E</w:t>
      </w:r>
      <w:r w:rsidR="00CC2198">
        <w:t>AS</w:t>
      </w:r>
      <w:r w:rsidR="00A24619">
        <w:t xml:space="preserve"> equipment</w:t>
      </w:r>
      <w:r w:rsidR="00913515">
        <w:t xml:space="preserve"> in violation </w:t>
      </w:r>
      <w:r w:rsidR="00BF180D">
        <w:t xml:space="preserve">of </w:t>
      </w:r>
      <w:r w:rsidR="00913515">
        <w:t>section 11.11(a) of the Commission’s rules</w:t>
      </w:r>
      <w:r w:rsidR="00627E49">
        <w:t>,</w:t>
      </w:r>
      <w:r>
        <w:rPr>
          <w:rStyle w:val="FootnoteReference"/>
        </w:rPr>
        <w:footnoteReference w:id="62"/>
      </w:r>
      <w:r w:rsidR="00627E49">
        <w:t xml:space="preserve"> </w:t>
      </w:r>
      <w:r w:rsidR="00A24619">
        <w:t xml:space="preserve">Jupiter </w:t>
      </w:r>
      <w:r w:rsidR="005C7D70">
        <w:t>has not provided evidence demonstrat</w:t>
      </w:r>
      <w:r w:rsidR="00A24619">
        <w:t>ing</w:t>
      </w:r>
      <w:r w:rsidR="005C7D70">
        <w:t xml:space="preserve"> that</w:t>
      </w:r>
      <w:r w:rsidR="008B58E5">
        <w:t xml:space="preserve"> it has installed EAS equipment and is </w:t>
      </w:r>
      <w:r w:rsidR="005C7D70">
        <w:t>monitoring its assigned EAS sources designated in the State of Florida EAS Plan</w:t>
      </w:r>
      <w:r w:rsidR="005C7265">
        <w:t>.</w:t>
      </w:r>
      <w:r w:rsidR="00452FBE">
        <w:t xml:space="preserve"> </w:t>
      </w:r>
      <w:r w:rsidR="005C7265">
        <w:t xml:space="preserve"> </w:t>
      </w:r>
      <w:bookmarkStart w:id="14" w:name="FN[FN51]"/>
      <w:bookmarkStart w:id="15" w:name="FN[FN52]"/>
      <w:bookmarkStart w:id="16" w:name="FN[FN53]"/>
      <w:bookmarkStart w:id="17" w:name="FN[FN55]"/>
      <w:bookmarkEnd w:id="14"/>
      <w:bookmarkEnd w:id="15"/>
      <w:bookmarkEnd w:id="16"/>
      <w:bookmarkEnd w:id="17"/>
    </w:p>
    <w:p w:rsidR="003343CA" w:rsidRPr="009A2403" w:rsidP="008464FB" w14:paraId="2DE38DA7" w14:textId="6134A9FF">
      <w:pPr>
        <w:pStyle w:val="ParaNum"/>
        <w:widowControl/>
      </w:pPr>
      <w:r w:rsidRPr="00344C0B">
        <w:t>Weighing the relevant statutory factors and our own forfeiture guidelines, we conclude, based upon the evidence before us, that the proposed forfeiture of $</w:t>
      </w:r>
      <w:r w:rsidR="00A902C3">
        <w:t>25,000</w:t>
      </w:r>
      <w:r w:rsidRPr="0007571D">
        <w:t xml:space="preserve"> properly reflects the </w:t>
      </w:r>
      <w:r w:rsidR="00265BD1">
        <w:t xml:space="preserve">proper application of the relevant base forfeiture amounts and the </w:t>
      </w:r>
      <w:r w:rsidRPr="0007571D">
        <w:t xml:space="preserve">seriousness of </w:t>
      </w:r>
      <w:r w:rsidR="00A902C3">
        <w:t xml:space="preserve">Jupiter’s multiple </w:t>
      </w:r>
      <w:r w:rsidRPr="0007571D">
        <w:t>violations</w:t>
      </w:r>
      <w:r w:rsidR="00A902C3">
        <w:t xml:space="preserve">.  </w:t>
      </w:r>
      <w:r w:rsidRPr="00344C0B" w:rsidR="009D39DC">
        <w:t xml:space="preserve">Accordingly, we find </w:t>
      </w:r>
      <w:r w:rsidR="009D39DC">
        <w:t>tha</w:t>
      </w:r>
      <w:r w:rsidR="00A902C3">
        <w:t xml:space="preserve">t </w:t>
      </w:r>
      <w:r w:rsidR="00217FA1">
        <w:t xml:space="preserve">Jupiter </w:t>
      </w:r>
      <w:r w:rsidR="00C771F0">
        <w:t>is liable for a total forfeiture of $</w:t>
      </w:r>
      <w:r w:rsidR="00217FA1">
        <w:t>25,000</w:t>
      </w:r>
      <w:r w:rsidR="00C771F0">
        <w:t>.</w:t>
      </w:r>
      <w:r>
        <w:rPr>
          <w:rStyle w:val="FootnoteReference"/>
        </w:rPr>
        <w:footnoteReference w:id="63"/>
      </w:r>
      <w:bookmarkStart w:id="18" w:name="SR;716"/>
      <w:bookmarkStart w:id="19" w:name="SR;717"/>
      <w:bookmarkEnd w:id="18"/>
      <w:bookmarkEnd w:id="19"/>
    </w:p>
    <w:p w:rsidR="003343CA" w:rsidRPr="00344C0B" w:rsidP="008464FB" w14:paraId="0DBE1BE8" w14:textId="77777777">
      <w:pPr>
        <w:pStyle w:val="Heading1"/>
        <w:widowControl/>
      </w:pPr>
      <w:r w:rsidRPr="00344C0B">
        <w:t>CONCLUSION</w:t>
      </w:r>
    </w:p>
    <w:p w:rsidR="005B4CEA" w:rsidRPr="00A020A9" w:rsidP="008464FB" w14:paraId="53B6CA72" w14:textId="3A7043E1">
      <w:pPr>
        <w:pStyle w:val="ParaNum"/>
        <w:widowControl/>
      </w:pPr>
      <w:r w:rsidRPr="00344C0B">
        <w:t xml:space="preserve">Based on the record before us and in light of the applicable statutory factors, we </w:t>
      </w:r>
      <w:r w:rsidR="000145C6">
        <w:t>conclude</w:t>
      </w:r>
      <w:r w:rsidRPr="00344C0B">
        <w:t xml:space="preserve"> that </w:t>
      </w:r>
      <w:r w:rsidR="0083590C">
        <w:t xml:space="preserve">Jupiter </w:t>
      </w:r>
      <w:r w:rsidRPr="0007571D">
        <w:t>willfully</w:t>
      </w:r>
      <w:r w:rsidR="0083590C">
        <w:t xml:space="preserve"> violated section 301 of the Act, and sections 73.840, 73.845, 73.878(a), and 11.11(a) of the Commission’s rules</w:t>
      </w:r>
      <w:r w:rsidRPr="0007571D">
        <w:t xml:space="preserve"> by</w:t>
      </w:r>
      <w:r w:rsidR="0083590C">
        <w:t xml:space="preserve"> failing to operate the Station in accordance with the terms of its FCC </w:t>
      </w:r>
      <w:r w:rsidR="0083590C">
        <w:t>authorization and the applicable LPFM technical rules, failing to make the Station available for inspection, and failing to maintain EAS equipment</w:t>
      </w:r>
      <w:r w:rsidRPr="0007571D">
        <w:t xml:space="preserve">.  We </w:t>
      </w:r>
      <w:r w:rsidR="00C7470E">
        <w:t xml:space="preserve">therefore </w:t>
      </w:r>
      <w:r w:rsidRPr="0007571D">
        <w:t xml:space="preserve">decline to </w:t>
      </w:r>
      <w:r w:rsidR="00C7470E">
        <w:t xml:space="preserve">cancel or </w:t>
      </w:r>
      <w:r w:rsidRPr="0007571D">
        <w:t>reduce the</w:t>
      </w:r>
      <w:r w:rsidR="00932FF9">
        <w:t xml:space="preserve"> </w:t>
      </w:r>
      <w:r w:rsidRPr="0007571D">
        <w:t>$</w:t>
      </w:r>
      <w:r w:rsidR="0083590C">
        <w:t xml:space="preserve">25,000 </w:t>
      </w:r>
      <w:r w:rsidR="00932FF9">
        <w:t xml:space="preserve">forfeiture </w:t>
      </w:r>
      <w:r w:rsidRPr="00A020A9">
        <w:t xml:space="preserve">proposed in the </w:t>
      </w:r>
      <w:r w:rsidRPr="00C138D9">
        <w:rPr>
          <w:i/>
        </w:rPr>
        <w:t>N</w:t>
      </w:r>
      <w:r w:rsidR="00334F3D">
        <w:rPr>
          <w:i/>
        </w:rPr>
        <w:t>AL</w:t>
      </w:r>
      <w:r w:rsidRPr="00A020A9">
        <w:t xml:space="preserve">. </w:t>
      </w:r>
    </w:p>
    <w:p w:rsidR="003343CA" w:rsidRPr="00344C0B" w:rsidP="008464FB" w14:paraId="268151A1" w14:textId="77777777">
      <w:pPr>
        <w:pStyle w:val="Heading1"/>
        <w:widowControl/>
      </w:pPr>
      <w:r w:rsidRPr="00344C0B">
        <w:t>ORDERING CLAUSES</w:t>
      </w:r>
    </w:p>
    <w:p w:rsidR="003343CA" w:rsidRPr="00A92DEF" w:rsidP="008464FB" w14:paraId="4A255BA3" w14:textId="4D63D800">
      <w:pPr>
        <w:pStyle w:val="ParaNum"/>
        <w:widowControl/>
        <w:rPr>
          <w:color w:val="000000"/>
          <w:spacing w:val="-2"/>
          <w:szCs w:val="22"/>
        </w:rPr>
      </w:pPr>
      <w:r w:rsidRPr="00344C0B">
        <w:t xml:space="preserve">Accordingly, </w:t>
      </w:r>
      <w:r w:rsidRPr="00A92DEF">
        <w:rPr>
          <w:b/>
        </w:rPr>
        <w:t>IT IS ORDERED</w:t>
      </w:r>
      <w:r w:rsidRPr="00A92DEF" w:rsidR="00F23F1E">
        <w:rPr>
          <w:b/>
        </w:rPr>
        <w:t xml:space="preserve"> </w:t>
      </w:r>
      <w:r w:rsidR="00F23F1E">
        <w:t>that</w:t>
      </w:r>
      <w:r w:rsidRPr="00344C0B">
        <w:t xml:space="preserve">, pursuant to </w:t>
      </w:r>
      <w:r w:rsidR="002722DC">
        <w:t>s</w:t>
      </w:r>
      <w:r w:rsidRPr="00344C0B">
        <w:t>ection 503(b) of the</w:t>
      </w:r>
      <w:r w:rsidR="00F23F1E">
        <w:t xml:space="preserve"> Act</w:t>
      </w:r>
      <w:r w:rsidRPr="00344C0B">
        <w:t>,</w:t>
      </w:r>
      <w:r>
        <w:rPr>
          <w:rStyle w:val="FootnoteReference"/>
        </w:rPr>
        <w:footnoteReference w:id="64"/>
      </w:r>
      <w:r w:rsidRPr="0007571D">
        <w:t xml:space="preserve"> and </w:t>
      </w:r>
      <w:r w:rsidR="002722DC">
        <w:t>s</w:t>
      </w:r>
      <w:r w:rsidRPr="0007571D">
        <w:t xml:space="preserve">ection 1.80 of the </w:t>
      </w:r>
      <w:r w:rsidR="002722DC">
        <w:t>Commission’s r</w:t>
      </w:r>
      <w:r w:rsidRPr="0007571D">
        <w:t>ules,</w:t>
      </w:r>
      <w:r>
        <w:rPr>
          <w:rStyle w:val="FootnoteReference"/>
        </w:rPr>
        <w:footnoteReference w:id="65"/>
      </w:r>
      <w:r w:rsidRPr="0007571D">
        <w:t xml:space="preserve"> </w:t>
      </w:r>
      <w:r w:rsidR="00A92DEF">
        <w:t xml:space="preserve">Jupiter Community Radio, Inc. </w:t>
      </w:r>
      <w:r w:rsidRPr="00A92DEF">
        <w:rPr>
          <w:b/>
        </w:rPr>
        <w:t>IS LIABLE FOR A MONETARY FORFEITURE</w:t>
      </w:r>
      <w:r w:rsidRPr="009A2403">
        <w:t xml:space="preserve"> in the amount of </w:t>
      </w:r>
      <w:r w:rsidR="00A92DEF">
        <w:t xml:space="preserve">Twenty-Five Thousand Dollars </w:t>
      </w:r>
      <w:r w:rsidRPr="00981F23" w:rsidR="00A92DEF">
        <w:t>($</w:t>
      </w:r>
      <w:r w:rsidR="00A92DEF">
        <w:t>25,000</w:t>
      </w:r>
      <w:r w:rsidRPr="00981F23" w:rsidR="00A92DEF">
        <w:t>) for willful</w:t>
      </w:r>
      <w:r w:rsidR="005C1CFD">
        <w:t>ly</w:t>
      </w:r>
      <w:r w:rsidRPr="00981F23" w:rsidR="00A92DEF">
        <w:t xml:space="preserve"> violati</w:t>
      </w:r>
      <w:r w:rsidR="005C1CFD">
        <w:t>ng</w:t>
      </w:r>
      <w:r w:rsidRPr="00981F23" w:rsidR="00A92DEF">
        <w:t xml:space="preserve"> </w:t>
      </w:r>
      <w:r w:rsidR="00A92DEF">
        <w:t>s</w:t>
      </w:r>
      <w:r w:rsidRPr="00981F23" w:rsidR="00A92DEF">
        <w:t>ection</w:t>
      </w:r>
      <w:r w:rsidR="00A92DEF">
        <w:t xml:space="preserve"> 301</w:t>
      </w:r>
      <w:r w:rsidRPr="00981F23" w:rsidR="00A92DEF">
        <w:t xml:space="preserve"> of the </w:t>
      </w:r>
      <w:r w:rsidR="00A92DEF">
        <w:t>Act</w:t>
      </w:r>
      <w:r>
        <w:rPr>
          <w:sz w:val="20"/>
          <w:vertAlign w:val="superscript"/>
        </w:rPr>
        <w:footnoteReference w:id="66"/>
      </w:r>
      <w:r w:rsidRPr="00981F23" w:rsidR="00A92DEF">
        <w:t xml:space="preserve"> </w:t>
      </w:r>
      <w:r w:rsidR="00A92DEF">
        <w:t>and s</w:t>
      </w:r>
      <w:r w:rsidRPr="00981F23" w:rsidR="00A92DEF">
        <w:t>ection</w:t>
      </w:r>
      <w:r w:rsidR="00A92DEF">
        <w:t>s 11.11(a), 73.840, 73.845, and 73.878(a)</w:t>
      </w:r>
      <w:r w:rsidRPr="00981F23" w:rsidR="00A92DEF">
        <w:t xml:space="preserve"> of the </w:t>
      </w:r>
      <w:r w:rsidR="00A92DEF">
        <w:t>Commission’s r</w:t>
      </w:r>
      <w:r w:rsidRPr="00981F23" w:rsidR="00A92DEF">
        <w:t>ules</w:t>
      </w:r>
      <w:r w:rsidR="00A92DEF">
        <w:t>.</w:t>
      </w:r>
      <w:r>
        <w:rPr>
          <w:sz w:val="20"/>
          <w:vertAlign w:val="superscript"/>
        </w:rPr>
        <w:footnoteReference w:id="67"/>
      </w:r>
    </w:p>
    <w:p w:rsidR="003343CA" w:rsidRPr="00344C0B" w:rsidP="008464FB" w14:paraId="1639675D" w14:textId="71246EC7">
      <w:pPr>
        <w:pStyle w:val="ParaNum"/>
        <w:widowControl/>
      </w:pPr>
      <w:r w:rsidRPr="00344C0B">
        <w:t xml:space="preserve">Payment of the forfeiture shall be made in the manner provided for in </w:t>
      </w:r>
      <w:r w:rsidR="002722DC">
        <w:t>s</w:t>
      </w:r>
      <w:r w:rsidRPr="00344C0B">
        <w:t xml:space="preserve">ection 1.80 of the </w:t>
      </w:r>
      <w:r w:rsidR="002722DC">
        <w:t>Commission’s r</w:t>
      </w:r>
      <w:r w:rsidRPr="00344C0B">
        <w:t xml:space="preserve">ules within </w:t>
      </w:r>
      <w:r w:rsidR="00225854">
        <w:t>thirty (30</w:t>
      </w:r>
      <w:r w:rsidRPr="00344C0B">
        <w:t>) calendar days after the release of this Forfeiture Order.</w:t>
      </w:r>
      <w:r>
        <w:rPr>
          <w:rStyle w:val="FootnoteReference"/>
        </w:rPr>
        <w:footnoteReference w:id="68"/>
      </w:r>
      <w:r w:rsidRPr="0007571D">
        <w:t xml:space="preserve">  </w:t>
      </w:r>
      <w:bookmarkStart w:id="20" w:name="_Hlk10631341"/>
      <w:r w:rsidR="00A92DEF">
        <w:t>Jupiter Community Radio, Inc.</w:t>
      </w:r>
      <w:r w:rsidR="008D115E">
        <w:t xml:space="preserve"> shall send electronic notification of payment to </w:t>
      </w:r>
      <w:r w:rsidR="00A92DEF">
        <w:t xml:space="preserve">the Office of the Field Director, Enforcement Bureau, Federal Communications Commission, at </w:t>
      </w:r>
      <w:hyperlink r:id="rId5" w:history="1">
        <w:r w:rsidRPr="0018074F" w:rsidR="00933CF1">
          <w:rPr>
            <w:rStyle w:val="Hyperlink"/>
          </w:rPr>
          <w:t>field@fcc.gov</w:t>
        </w:r>
      </w:hyperlink>
      <w:r w:rsidR="00933CF1">
        <w:t xml:space="preserve"> o</w:t>
      </w:r>
      <w:r w:rsidR="00A92DEF">
        <w:t>n the date said payment is made</w:t>
      </w:r>
      <w:r w:rsidR="008D115E">
        <w:t xml:space="preserve">.  </w:t>
      </w:r>
      <w:bookmarkEnd w:id="20"/>
      <w:r w:rsidRPr="0007571D">
        <w:t xml:space="preserve">If the forfeiture is not paid within the period specified, the case may be referred to the U.S. Department of Justice for enforcement of the forfeiture pursuant to </w:t>
      </w:r>
      <w:r w:rsidR="002722DC">
        <w:t>s</w:t>
      </w:r>
      <w:r w:rsidRPr="0007571D">
        <w:t>ection 504(a) of the Act.</w:t>
      </w:r>
      <w:r>
        <w:rPr>
          <w:rStyle w:val="FootnoteReference"/>
        </w:rPr>
        <w:footnoteReference w:id="69"/>
      </w:r>
    </w:p>
    <w:p w:rsidR="0083078C" w:rsidRPr="009716F7" w:rsidP="0083078C" w14:paraId="534C2D04" w14:textId="27A11C6E">
      <w:pPr>
        <w:pStyle w:val="ParaNum"/>
        <w:widowControl/>
      </w:pPr>
      <w:r w:rsidRPr="00AD0726">
        <w:t xml:space="preserve">Payment of the </w:t>
      </w:r>
      <w:r>
        <w:t>forfeiture</w:t>
      </w:r>
      <w:r w:rsidRPr="00AD0726">
        <w:t xml:space="preserve"> must be made by credit card</w:t>
      </w:r>
      <w:r w:rsidRPr="00107EF9">
        <w:t xml:space="preserve"> </w:t>
      </w:r>
      <w:r>
        <w:t xml:space="preserve">using the Commission’s Registration System (CORES) at </w:t>
      </w:r>
      <w:hyperlink r:id="rId6" w:history="1">
        <w:r w:rsidRPr="00BA069F">
          <w:rPr>
            <w:rStyle w:val="Hyperlink"/>
          </w:rPr>
          <w:t>https://apps.fcc.gov/cores/userLogin.do</w:t>
        </w:r>
      </w:hyperlink>
      <w:r w:rsidRPr="00AD0726">
        <w:t>, ACH (Automated Clearing House) debit from a bank account</w:t>
      </w:r>
      <w:r w:rsidRPr="009716F7">
        <w:t xml:space="preserve">, or by wire transfer </w:t>
      </w:r>
      <w:bookmarkStart w:id="21" w:name="_Hlk106710788"/>
      <w:r>
        <w:t>from a bank account.</w:t>
      </w:r>
      <w:r w:rsidRPr="009716F7">
        <w:t xml:space="preserve">  The Commission no longer accepts </w:t>
      </w:r>
      <w:r>
        <w:t>Civil Penalty</w:t>
      </w:r>
      <w:r w:rsidRPr="009716F7">
        <w:t xml:space="preserve"> payments by check or money order.  Below are instructions that payors should follow based on the form of payment selected:</w:t>
      </w:r>
      <w:r>
        <w:rPr>
          <w:rStyle w:val="FootnoteReference"/>
        </w:rPr>
        <w:footnoteReference w:id="70"/>
      </w:r>
      <w:bookmarkEnd w:id="21"/>
    </w:p>
    <w:p w:rsidR="0083078C" w:rsidRPr="009716F7" w:rsidP="0083078C" w14:paraId="2C67E5B2" w14:textId="3D7CC512">
      <w:pPr>
        <w:widowControl/>
        <w:numPr>
          <w:ilvl w:val="0"/>
          <w:numId w:val="20"/>
        </w:numPr>
        <w:snapToGrid w:val="0"/>
        <w:spacing w:after="120"/>
        <w:ind w:left="720"/>
      </w:pPr>
      <w:bookmarkStart w:id="22" w:name="_Hlk106710814"/>
      <w:r w:rsidRPr="009716F7">
        <w:t>Payment by wire transfer must be made to ABA Number 021030004, receiving bank TREAS/NYC, and Account Number 27000001.</w:t>
      </w:r>
      <w:r>
        <w:t xml:space="preserve">  In the OBI field, enter the FRN(s) captioned above and the </w:t>
      </w:r>
      <w:r w:rsidRPr="009716F7">
        <w:t>letters “FORF”</w:t>
      </w:r>
      <w:r>
        <w:t>.</w:t>
      </w:r>
      <w:r w:rsidRPr="009716F7">
        <w:t xml:space="preserve">  </w:t>
      </w:r>
      <w:r>
        <w:t>In addition, a</w:t>
      </w:r>
      <w:r w:rsidRPr="009716F7">
        <w:t xml:space="preserve"> completed Form 159</w:t>
      </w:r>
      <w:r>
        <w:rPr>
          <w:rStyle w:val="FootnoteReference"/>
        </w:rPr>
        <w:footnoteReference w:id="71"/>
      </w:r>
      <w:r>
        <w:t xml:space="preserve"> or printed CORES form</w:t>
      </w:r>
      <w:r>
        <w:rPr>
          <w:rStyle w:val="FootnoteReference"/>
        </w:rPr>
        <w:footnoteReference w:id="72"/>
      </w:r>
      <w:r w:rsidRPr="009716F7">
        <w:t xml:space="preserve"> must be faxed to the Federal Communications Commission at 202-418-2843 or e-mailed to </w:t>
      </w:r>
      <w:hyperlink r:id="rId7" w:history="1">
        <w:r w:rsidRPr="009716F7">
          <w:rPr>
            <w:rStyle w:val="Hyperlink"/>
          </w:rPr>
          <w:t>RROGWireFaxes@fcc.gov</w:t>
        </w:r>
      </w:hyperlink>
      <w:r w:rsidRPr="009716F7">
        <w:t xml:space="preserve"> on the same business day the wire transfer is initiated.  Failure to provide all required information in Form 159</w:t>
      </w:r>
      <w:r>
        <w:t xml:space="preserve"> or CORES</w:t>
      </w:r>
      <w:r w:rsidRPr="009716F7">
        <w:t xml:space="preserve"> may result in payment not being recognized as having been received.  When completing FCC Form 159</w:t>
      </w:r>
      <w:r>
        <w:t xml:space="preserve"> or CORES</w:t>
      </w:r>
      <w:r w:rsidRPr="009716F7">
        <w:t>, enter the Account Number in block number 23A (call sign/other ID), enter the letters “FORF” in block number 24A (payment type code), and enter in block number 11 the FRN(s) captioned above (Payor FRN).</w:t>
      </w:r>
      <w:r>
        <w:rPr>
          <w:rStyle w:val="FootnoteReference"/>
        </w:rPr>
        <w:footnoteReference w:id="73"/>
      </w:r>
      <w:r w:rsidRPr="009716F7">
        <w:t xml:space="preserve">  For additional detail and wire transfer instructions, go to </w:t>
      </w:r>
      <w:hyperlink r:id="rId8" w:history="1">
        <w:r w:rsidRPr="009716F7">
          <w:rPr>
            <w:rStyle w:val="Hyperlink"/>
          </w:rPr>
          <w:t>https://www.fcc.gov/licensing-databases/fees/wire-transfer</w:t>
        </w:r>
      </w:hyperlink>
      <w:r w:rsidRPr="009716F7">
        <w:t>. </w:t>
      </w:r>
      <w:bookmarkEnd w:id="22"/>
    </w:p>
    <w:p w:rsidR="0083078C" w:rsidRPr="009716F7" w:rsidP="0083078C" w14:paraId="28E39F14" w14:textId="45A8E3EE">
      <w:pPr>
        <w:widowControl/>
        <w:numPr>
          <w:ilvl w:val="0"/>
          <w:numId w:val="20"/>
        </w:numPr>
        <w:snapToGrid w:val="0"/>
        <w:spacing w:after="120"/>
        <w:ind w:left="720"/>
      </w:pPr>
      <w:r w:rsidRPr="009716F7">
        <w:t xml:space="preserve">Payment by credit card must be made by using </w:t>
      </w:r>
      <w:r w:rsidRPr="004B6755">
        <w:t>CORES at</w:t>
      </w:r>
      <w:r w:rsidRPr="00485522">
        <w:rPr>
          <w:rStyle w:val="Hyperlink"/>
        </w:rPr>
        <w:t xml:space="preserve"> </w:t>
      </w:r>
      <w:hyperlink r:id="rId6" w:history="1">
        <w:r w:rsidRPr="00485522">
          <w:rPr>
            <w:rStyle w:val="Hyperlink"/>
          </w:rPr>
          <w:t>h</w:t>
        </w:r>
        <w:r w:rsidRPr="00DF5B5C">
          <w:rPr>
            <w:rStyle w:val="Hyperlink"/>
          </w:rPr>
          <w:t>ttps://apps.fcc.gov/cores/userLogin.do</w:t>
        </w:r>
      </w:hyperlink>
      <w:r w:rsidRPr="004B6755">
        <w:t xml:space="preserve">.  To pay by credit card, log-in using the FCC Username associated to the FRN captioned above.  If payment must be split across FRNs, complete this </w:t>
      </w:r>
      <w:r w:rsidRPr="004B6755">
        <w:t xml:space="preserve">process for each FRN.  Next, select “Manage Existing FRNs | FRN Financial | Bills &amp; Fees” from the CORES Menu, then select FRN Financial and the view/make payments option next to the FRN. </w:t>
      </w:r>
      <w:r>
        <w:t xml:space="preserve"> </w:t>
      </w:r>
      <w:r w:rsidRPr="004B6755">
        <w:t xml:space="preserve">Select the “Open Bills” tab and find the bill number associated with the </w:t>
      </w:r>
      <w:r>
        <w:t>NAL</w:t>
      </w:r>
      <w:r w:rsidRPr="004B6755">
        <w:t xml:space="preserve"> Acct. No.  The bill number is the </w:t>
      </w:r>
      <w:r>
        <w:t>NAL</w:t>
      </w:r>
      <w:r w:rsidRPr="004B6755">
        <w:t xml:space="preserve"> Acct. No. with the first two digits excluded (e.g., </w:t>
      </w:r>
      <w:r>
        <w:t>NAL</w:t>
      </w:r>
      <w:r w:rsidRPr="004B6755">
        <w:t xml:space="preserve"> 1912345678 would be associated with FCC Bill Number 12345678).  After selecting the bill for payment, choose the “Pay by Credit Card” option.  Please note that there is a $24,999.99 limit on credit</w:t>
      </w:r>
      <w:r w:rsidRPr="009716F7">
        <w:t xml:space="preserve"> card transactions.</w:t>
      </w:r>
    </w:p>
    <w:p w:rsidR="0083078C" w:rsidP="0083078C" w14:paraId="3F5A8BB2" w14:textId="713A2107">
      <w:pPr>
        <w:widowControl/>
        <w:numPr>
          <w:ilvl w:val="0"/>
          <w:numId w:val="20"/>
        </w:numPr>
        <w:snapToGrid w:val="0"/>
        <w:spacing w:after="120"/>
        <w:ind w:left="720"/>
      </w:pPr>
      <w:r w:rsidRPr="009716F7">
        <w:t xml:space="preserve">Payment by ACH must be made by using CORES at </w:t>
      </w:r>
      <w:hyperlink r:id="rId9" w:history="1">
        <w:r w:rsidRPr="009716F7">
          <w:rPr>
            <w:rStyle w:val="Hyperlink"/>
          </w:rPr>
          <w:t>https://apps.fcc.gov/cores/</w:t>
        </w:r>
        <w:r>
          <w:rPr>
            <w:rStyle w:val="Hyperlink"/>
          </w:rPr>
          <w:t>user</w:t>
        </w:r>
        <w:r w:rsidRPr="009716F7">
          <w:rPr>
            <w:rStyle w:val="Hyperlink"/>
          </w:rPr>
          <w:t>Login.do</w:t>
        </w:r>
      </w:hyperlink>
      <w:r w:rsidRPr="009716F7">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9716F7">
        <w:t xml:space="preserve"> </w:t>
      </w:r>
      <w:r w:rsidRPr="009716F7">
        <w:t>number associated with the </w:t>
      </w:r>
      <w:r>
        <w:t>NAL</w:t>
      </w:r>
      <w:r w:rsidRPr="009716F7">
        <w:t xml:space="preserve"> Acct. No.  The bill number is the </w:t>
      </w:r>
      <w:r>
        <w:t>NAL</w:t>
      </w:r>
      <w:r w:rsidRPr="009716F7">
        <w:t xml:space="preserve"> Acct. No. with the first two digits excluded (e.g., </w:t>
      </w:r>
      <w:r>
        <w:t>NAL</w:t>
      </w:r>
      <w:r w:rsidRPr="009716F7">
        <w:t xml:space="preserve"> 1912345678 would be associated with FCC Bill Number 12345678).  </w:t>
      </w:r>
      <w:r>
        <w:t>Finally, c</w:t>
      </w:r>
      <w:r w:rsidRPr="009716F7">
        <w:t>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23F1E" w:rsidRPr="00816F70" w:rsidP="008464FB" w14:paraId="6B6D475A" w14:textId="203C9A05">
      <w:pPr>
        <w:pStyle w:val="ParaNum"/>
        <w:widowControl/>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w:t>
      </w:r>
      <w:r w:rsidR="003D7BD0">
        <w:t>45 L Street NE</w:t>
      </w:r>
      <w:r w:rsidRPr="006D73F2">
        <w:t>, Washington, DC 20554.</w:t>
      </w:r>
      <w:r>
        <w:rPr>
          <w:rStyle w:val="FootnoteReference"/>
          <w:sz w:val="22"/>
          <w:szCs w:val="22"/>
        </w:rPr>
        <w:footnoteReference w:id="74"/>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0053593A">
        <w:t>to:</w:t>
      </w:r>
      <w:r w:rsidR="00575EEA">
        <w:t xml:space="preserve"> </w:t>
      </w:r>
      <w:hyperlink r:id="rId10" w:history="1">
        <w:r w:rsidRPr="0018074F" w:rsidR="00575EEA">
          <w:rPr>
            <w:rStyle w:val="Hyperlink"/>
          </w:rPr>
          <w:t>ARINQUIRIES@fcc.gov</w:t>
        </w:r>
      </w:hyperlink>
      <w:r w:rsidRPr="00373669">
        <w:t>.</w:t>
      </w:r>
    </w:p>
    <w:p w:rsidR="00BA2A97" w:rsidP="008464FB" w14:paraId="25E6E8F7" w14:textId="635F3FF2">
      <w:pPr>
        <w:pStyle w:val="ParaNum"/>
        <w:keepNext/>
        <w:widowControl/>
        <w:spacing w:after="0"/>
        <w:rPr>
          <w:color w:val="000000"/>
        </w:rPr>
      </w:pPr>
      <w:r w:rsidRPr="00E95128">
        <w:rPr>
          <w:b/>
          <w:bCs/>
        </w:rPr>
        <w:t>IT IS FURTHER ORDERED</w:t>
      </w:r>
      <w:r w:rsidRPr="00344C0B">
        <w:t xml:space="preserve"> that a copy of this Forfeiture Order </w:t>
      </w:r>
      <w:r w:rsidRPr="004749BE" w:rsidR="00F23F1E">
        <w:t xml:space="preserve">shall be sent by first class mail and certified mail, return receipt requested, to </w:t>
      </w:r>
      <w:r w:rsidR="00902823">
        <w:t>Jupiter Community Radio, Inc.</w:t>
      </w:r>
      <w:r w:rsidRPr="004749BE" w:rsidR="00F23F1E">
        <w:t xml:space="preserve"> </w:t>
      </w:r>
      <w:r w:rsidR="00C84565">
        <w:t xml:space="preserve">at its address of record, </w:t>
      </w:r>
      <w:r w:rsidR="00F574C0">
        <w:t xml:space="preserve">and to Michael W. Richards, Esq., </w:t>
      </w:r>
      <w:r w:rsidR="00D326CB">
        <w:t>P.O. Box 5842</w:t>
      </w:r>
      <w:r w:rsidR="00F574C0">
        <w:t>, Takoma Park, Maryland 2091</w:t>
      </w:r>
      <w:r w:rsidR="00D326CB">
        <w:t>3</w:t>
      </w:r>
      <w:r w:rsidRPr="004749BE" w:rsidR="00F23F1E">
        <w:t>.</w:t>
      </w:r>
    </w:p>
    <w:p w:rsidR="00184DFD" w:rsidP="00516039" w14:paraId="14E8CEB3" w14:textId="3363BD46"/>
    <w:p w:rsidR="00516039" w:rsidRPr="00184DFD" w:rsidP="00516039" w14:paraId="1460FC4D" w14:textId="77777777"/>
    <w:p w:rsidR="00BA2A97" w:rsidRPr="00B63FC8" w:rsidP="008464FB" w14:paraId="0AC12A3B" w14:textId="710DBF84">
      <w:pPr>
        <w:keepNext/>
        <w:widowControl/>
        <w:ind w:left="4410"/>
        <w:rPr>
          <w:color w:val="000000"/>
        </w:rPr>
      </w:pPr>
      <w:r w:rsidRPr="00B63FC8">
        <w:rPr>
          <w:color w:val="000000"/>
        </w:rPr>
        <w:t>FEDERAL COMMUNICATIONS COMMISSION</w:t>
      </w:r>
    </w:p>
    <w:p w:rsidR="00BA2A97" w:rsidP="008464FB" w14:paraId="2F7DC232" w14:textId="77777777">
      <w:pPr>
        <w:keepNext/>
        <w:widowControl/>
        <w:rPr>
          <w:color w:val="000000"/>
        </w:rPr>
      </w:pPr>
    </w:p>
    <w:p w:rsidR="00BA2A97" w:rsidP="008464FB" w14:paraId="068FCAD0" w14:textId="77777777">
      <w:pPr>
        <w:keepNext/>
        <w:widowControl/>
        <w:rPr>
          <w:color w:val="000000"/>
        </w:rPr>
      </w:pPr>
    </w:p>
    <w:p w:rsidR="00BA2A97" w:rsidP="008464FB" w14:paraId="55644E73" w14:textId="77777777">
      <w:pPr>
        <w:keepNext/>
        <w:widowControl/>
        <w:rPr>
          <w:color w:val="000000"/>
        </w:rPr>
      </w:pPr>
    </w:p>
    <w:p w:rsidR="00BA2A97" w:rsidP="008464FB" w14:paraId="04227729" w14:textId="77777777">
      <w:pPr>
        <w:keepNext/>
        <w:widowControl/>
        <w:rPr>
          <w:color w:val="000000"/>
        </w:rPr>
      </w:pPr>
    </w:p>
    <w:p w:rsidR="00BA2A97" w:rsidP="008464FB" w14:paraId="39420A28" w14:textId="3E87111D">
      <w:pPr>
        <w:keepNext/>
        <w:widowControl/>
        <w:ind w:left="4410"/>
        <w:rPr>
          <w:color w:val="000000"/>
        </w:rPr>
      </w:pPr>
      <w:r>
        <w:t>Dedrick Roybiskie</w:t>
      </w:r>
    </w:p>
    <w:p w:rsidR="00BA2A97" w:rsidP="008464FB" w14:paraId="358C6517" w14:textId="77777777">
      <w:pPr>
        <w:keepNext/>
        <w:widowControl/>
        <w:ind w:left="4410"/>
        <w:rPr>
          <w:color w:val="000000"/>
        </w:rPr>
      </w:pPr>
      <w:r>
        <w:rPr>
          <w:color w:val="000000"/>
        </w:rPr>
        <w:t xml:space="preserve">Regional </w:t>
      </w:r>
      <w:r w:rsidRPr="00B63FC8">
        <w:rPr>
          <w:color w:val="000000"/>
        </w:rPr>
        <w:t>Director</w:t>
      </w:r>
    </w:p>
    <w:p w:rsidR="00BA2A97" w:rsidP="008464FB" w14:paraId="660F04E9" w14:textId="77777777">
      <w:pPr>
        <w:keepNext/>
        <w:widowControl/>
        <w:ind w:left="4410"/>
        <w:rPr>
          <w:color w:val="000000"/>
        </w:rPr>
      </w:pPr>
      <w:r>
        <w:rPr>
          <w:color w:val="000000"/>
        </w:rPr>
        <w:t>Region Two</w:t>
      </w:r>
    </w:p>
    <w:p w:rsidR="00BA2A97" w:rsidRPr="00030B0C" w:rsidP="008464FB" w14:paraId="693C4B83" w14:textId="77777777">
      <w:pPr>
        <w:widowControl/>
        <w:ind w:left="4410"/>
        <w:rPr>
          <w:color w:val="000000"/>
        </w:rPr>
      </w:pPr>
      <w:r w:rsidRPr="00B63FC8">
        <w:rPr>
          <w:color w:val="000000"/>
        </w:rPr>
        <w:t>Enforcement Bureau</w:t>
      </w:r>
    </w:p>
    <w:p w:rsidR="00E273E3" w:rsidP="008464FB" w14:paraId="45EA37F7" w14:textId="40032F09">
      <w:pPr>
        <w:widowControl/>
        <w:rPr>
          <w:szCs w:val="22"/>
        </w:rPr>
      </w:pPr>
    </w:p>
    <w:sectPr w:rsidSect="00D417D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2EDA" w14:paraId="39E809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262EDA" w14:paraId="15C367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2EDA" w14:paraId="09F1945E" w14:textId="77777777">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262EDA" w14:paraId="13D585C2" w14:textId="77777777">
    <w:pPr>
      <w:spacing w:before="14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5C5" w14:paraId="52A0D4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7B89" w14:paraId="7F922FF2" w14:textId="77777777">
      <w:r>
        <w:separator/>
      </w:r>
    </w:p>
  </w:footnote>
  <w:footnote w:type="continuationSeparator" w:id="1">
    <w:p w:rsidR="00A47B89" w14:paraId="74AE1E73" w14:textId="77777777">
      <w:pPr>
        <w:rPr>
          <w:sz w:val="20"/>
        </w:rPr>
      </w:pPr>
      <w:r>
        <w:rPr>
          <w:sz w:val="20"/>
        </w:rPr>
        <w:t xml:space="preserve">(Continued from previous page)  </w:t>
      </w:r>
      <w:r>
        <w:rPr>
          <w:sz w:val="20"/>
        </w:rPr>
        <w:separator/>
      </w:r>
    </w:p>
  </w:footnote>
  <w:footnote w:type="continuationNotice" w:id="2">
    <w:p w:rsidR="00A47B89" w14:paraId="7E04BDC1" w14:textId="77777777">
      <w:pPr>
        <w:rPr>
          <w:sz w:val="20"/>
        </w:rPr>
      </w:pPr>
      <w:r>
        <w:rPr>
          <w:sz w:val="20"/>
        </w:rPr>
        <w:t>(continued….)</w:t>
      </w:r>
    </w:p>
  </w:footnote>
  <w:footnote w:id="3">
    <w:p w:rsidR="002A6E9D" w14:paraId="52C94557" w14:textId="4A0EA3A0">
      <w:pPr>
        <w:pStyle w:val="FootnoteText"/>
      </w:pPr>
      <w:r>
        <w:rPr>
          <w:rStyle w:val="FootnoteReference"/>
        </w:rPr>
        <w:footnoteRef/>
      </w:r>
      <w:r>
        <w:t xml:space="preserve"> </w:t>
      </w:r>
      <w:r w:rsidR="00933C71">
        <w:t xml:space="preserve">47 U.S.C. § 151 </w:t>
      </w:r>
      <w:r w:rsidRPr="00933C71" w:rsidR="00933C71">
        <w:rPr>
          <w:i/>
          <w:iCs/>
        </w:rPr>
        <w:t>et seq</w:t>
      </w:r>
      <w:r w:rsidR="00933C71">
        <w:t>.</w:t>
      </w:r>
    </w:p>
  </w:footnote>
  <w:footnote w:id="4">
    <w:p w:rsidR="00AB32F3" w14:paraId="1E6DD563" w14:textId="23665EAD">
      <w:pPr>
        <w:pStyle w:val="FootnoteText"/>
      </w:pPr>
      <w:r>
        <w:rPr>
          <w:rStyle w:val="FootnoteReference"/>
        </w:rPr>
        <w:footnoteRef/>
      </w:r>
      <w:r>
        <w:t xml:space="preserve"> </w:t>
      </w:r>
      <w:r w:rsidR="008C464B">
        <w:t>47</w:t>
      </w:r>
      <w:r w:rsidRPr="009803CA" w:rsidR="008C464B">
        <w:t xml:space="preserve"> U.S.C. </w:t>
      </w:r>
      <w:r w:rsidRPr="00F14821" w:rsidR="008C464B">
        <w:t>§</w:t>
      </w:r>
      <w:r w:rsidRPr="009803CA" w:rsidR="008C464B">
        <w:t xml:space="preserve"> </w:t>
      </w:r>
      <w:r w:rsidR="008C464B">
        <w:t xml:space="preserve">301, </w:t>
      </w:r>
      <w:r>
        <w:t>47 CFR §§ 11.11, 73.840, 73.845, 73.878.</w:t>
      </w:r>
    </w:p>
  </w:footnote>
  <w:footnote w:id="5">
    <w:p w:rsidR="00262EDA" w:rsidP="00AB21EE" w14:paraId="3CE351C2" w14:textId="5CA1F7FD">
      <w:pPr>
        <w:pStyle w:val="FootnoteText"/>
      </w:pPr>
      <w:r>
        <w:rPr>
          <w:rStyle w:val="FootnoteReference"/>
        </w:rPr>
        <w:footnoteRef/>
      </w:r>
      <w:r>
        <w:t xml:space="preserve"> 47</w:t>
      </w:r>
      <w:r w:rsidRPr="009803CA">
        <w:t xml:space="preserve"> U.S.C. </w:t>
      </w:r>
      <w:r w:rsidRPr="00F14821">
        <w:t>§</w:t>
      </w:r>
      <w:r w:rsidRPr="009803CA">
        <w:t xml:space="preserve"> </w:t>
      </w:r>
      <w:r>
        <w:t>301.</w:t>
      </w:r>
      <w:r w:rsidR="00B5518F">
        <w:t xml:space="preserve">  Section 301 of the Act specifies that grant of a license shall not </w:t>
      </w:r>
      <w:r w:rsidR="00713EBF">
        <w:t>“</w:t>
      </w:r>
      <w:r w:rsidR="00B5518F">
        <w:t>be construed to create any right</w:t>
      </w:r>
      <w:r w:rsidR="00713EBF">
        <w:t>,</w:t>
      </w:r>
      <w:r w:rsidR="00B5518F">
        <w:t xml:space="preserve"> beyond the terms, conditions, and periods of the license.” </w:t>
      </w:r>
    </w:p>
  </w:footnote>
  <w:footnote w:id="6">
    <w:p w:rsidR="00262EDA" w:rsidP="00AB21EE" w14:paraId="77C456FD" w14:textId="77777777">
      <w:pPr>
        <w:pStyle w:val="FootnoteText"/>
      </w:pPr>
      <w:r>
        <w:rPr>
          <w:rStyle w:val="FootnoteReference"/>
        </w:rPr>
        <w:footnoteRef/>
      </w:r>
      <w:r>
        <w:t xml:space="preserve"> 47 CFR §</w:t>
      </w:r>
      <w:r w:rsidRPr="001C53BB">
        <w:t xml:space="preserve"> 73.84</w:t>
      </w:r>
      <w:r>
        <w:t>0.</w:t>
      </w:r>
    </w:p>
  </w:footnote>
  <w:footnote w:id="7">
    <w:p w:rsidR="00262EDA" w:rsidP="00AB21EE" w14:paraId="424A2E1B" w14:textId="64B4ED30">
      <w:pPr>
        <w:pStyle w:val="FootnoteText"/>
      </w:pPr>
      <w:r>
        <w:rPr>
          <w:rStyle w:val="FootnoteReference"/>
        </w:rPr>
        <w:footnoteRef/>
      </w:r>
      <w:r>
        <w:t xml:space="preserve"> 47 CFR §</w:t>
      </w:r>
      <w:r w:rsidRPr="001C53BB">
        <w:t xml:space="preserve"> 73.845</w:t>
      </w:r>
      <w:r>
        <w:t xml:space="preserve">; </w:t>
      </w:r>
      <w:r>
        <w:rPr>
          <w:i/>
          <w:iCs/>
        </w:rPr>
        <w:t>s</w:t>
      </w:r>
      <w:r w:rsidRPr="004820E0">
        <w:rPr>
          <w:i/>
          <w:iCs/>
        </w:rPr>
        <w:t xml:space="preserve">ee </w:t>
      </w:r>
      <w:r w:rsidRPr="003C63D7">
        <w:rPr>
          <w:i/>
          <w:iCs/>
        </w:rPr>
        <w:t xml:space="preserve">also </w:t>
      </w:r>
      <w:r>
        <w:t>47 CFR § 73.1745(a), which prohibits the operation of a broadcast station at variance from the terms of its authorization.</w:t>
      </w:r>
    </w:p>
  </w:footnote>
  <w:footnote w:id="8">
    <w:p w:rsidR="00262EDA" w:rsidP="00AB21EE" w14:paraId="32D7A7F0" w14:textId="77777777">
      <w:pPr>
        <w:pStyle w:val="FootnoteText"/>
      </w:pPr>
      <w:r>
        <w:rPr>
          <w:rStyle w:val="FootnoteReference"/>
        </w:rPr>
        <w:footnoteRef/>
      </w:r>
      <w:r>
        <w:t xml:space="preserve"> 47 CFR §</w:t>
      </w:r>
      <w:r w:rsidRPr="001C53BB">
        <w:t xml:space="preserve"> 73.8</w:t>
      </w:r>
      <w:r>
        <w:t xml:space="preserve">78(a); </w:t>
      </w:r>
      <w:r>
        <w:rPr>
          <w:i/>
          <w:iCs/>
        </w:rPr>
        <w:t>see also</w:t>
      </w:r>
      <w:r>
        <w:t xml:space="preserve"> 47 U.S.C. § 303(n) (</w:t>
      </w:r>
      <w:r>
        <w:rPr>
          <w:rFonts w:cstheme="minorHAnsi"/>
        </w:rPr>
        <w:t>the Commission has “authority to inspect all radio installations associated with stations required to be licensed by any Act . . .”)</w:t>
      </w:r>
      <w:r>
        <w:t>.</w:t>
      </w:r>
    </w:p>
  </w:footnote>
  <w:footnote w:id="9">
    <w:p w:rsidR="00262EDA" w:rsidP="00AB21EE" w14:paraId="16526BC5" w14:textId="77777777">
      <w:pPr>
        <w:pStyle w:val="FootnoteText"/>
      </w:pPr>
      <w:r>
        <w:rPr>
          <w:rStyle w:val="FootnoteReference"/>
        </w:rPr>
        <w:footnoteRef/>
      </w:r>
      <w:r>
        <w:t xml:space="preserve"> 47 CFR § 11.11(a).</w:t>
      </w:r>
    </w:p>
  </w:footnote>
  <w:footnote w:id="10">
    <w:p w:rsidR="00262EDA" w:rsidRPr="00344C0B" w:rsidP="003374EB" w14:paraId="31ECAF89" w14:textId="6129E4BF">
      <w:pPr>
        <w:pStyle w:val="FootnoteText"/>
      </w:pPr>
      <w:r w:rsidRPr="00344C0B">
        <w:rPr>
          <w:rStyle w:val="FootnoteReference"/>
        </w:rPr>
        <w:footnoteRef/>
      </w:r>
      <w:r w:rsidRPr="00344C0B">
        <w:t xml:space="preserve"> </w:t>
      </w:r>
      <w:r w:rsidRPr="00344C0B">
        <w:rPr>
          <w:i/>
        </w:rPr>
        <w:t>See</w:t>
      </w:r>
      <w:r>
        <w:rPr>
          <w:i/>
        </w:rPr>
        <w:t xml:space="preserve"> Jupiter Community Radio, Inc.</w:t>
      </w:r>
      <w:r w:rsidRPr="00344C0B">
        <w:t xml:space="preserve">, </w:t>
      </w:r>
      <w:r>
        <w:t>Notice of Apparent Liability for Forfeiture, 35</w:t>
      </w:r>
      <w:r w:rsidRPr="0007571D">
        <w:t xml:space="preserve"> FCC Rcd </w:t>
      </w:r>
      <w:r>
        <w:t>11831 (EB 2020)</w:t>
      </w:r>
      <w:r w:rsidRPr="0007571D">
        <w:t>.</w:t>
      </w:r>
      <w:r>
        <w:t xml:space="preserve">  </w:t>
      </w:r>
      <w:r w:rsidRPr="00344C0B">
        <w:rPr>
          <w:iCs/>
          <w:color w:val="000000"/>
        </w:rPr>
        <w:t xml:space="preserve">The </w:t>
      </w:r>
      <w:r w:rsidRPr="00344C0B">
        <w:rPr>
          <w:i/>
          <w:iCs/>
          <w:color w:val="000000"/>
        </w:rPr>
        <w:t>N</w:t>
      </w:r>
      <w:r w:rsidR="00334F3D">
        <w:rPr>
          <w:i/>
          <w:iCs/>
          <w:color w:val="000000"/>
        </w:rPr>
        <w:t>AL</w:t>
      </w:r>
      <w:r w:rsidRPr="00344C0B">
        <w:rPr>
          <w:iCs/>
          <w:color w:val="000000"/>
        </w:rPr>
        <w:t xml:space="preserve"> includes a more complete discussion of the facts and history of this case and is incorporated herein by </w:t>
      </w:r>
      <w:r w:rsidR="005717ED">
        <w:rPr>
          <w:iCs/>
          <w:color w:val="000000"/>
        </w:rPr>
        <w:t xml:space="preserve">this </w:t>
      </w:r>
      <w:r w:rsidRPr="00344C0B">
        <w:rPr>
          <w:iCs/>
          <w:color w:val="000000"/>
        </w:rPr>
        <w:t>reference.</w:t>
      </w:r>
    </w:p>
  </w:footnote>
  <w:footnote w:id="11">
    <w:p w:rsidR="000422D6" w14:paraId="4677E006" w14:textId="4BE29582">
      <w:pPr>
        <w:pStyle w:val="FootnoteText"/>
      </w:pPr>
      <w:r>
        <w:rPr>
          <w:rStyle w:val="FootnoteReference"/>
        </w:rPr>
        <w:footnoteRef/>
      </w:r>
      <w:r>
        <w:t xml:space="preserve"> </w:t>
      </w:r>
      <w:r w:rsidRPr="003811A4" w:rsidR="00A158BB">
        <w:rPr>
          <w:i/>
          <w:iCs/>
        </w:rPr>
        <w:t>N</w:t>
      </w:r>
      <w:r w:rsidR="00A158BB">
        <w:rPr>
          <w:i/>
          <w:iCs/>
        </w:rPr>
        <w:t>AL</w:t>
      </w:r>
      <w:r w:rsidR="008D1F5E">
        <w:t>, 35 FCC Rcd at 11832.</w:t>
      </w:r>
      <w:r>
        <w:t xml:space="preserve"> </w:t>
      </w:r>
    </w:p>
  </w:footnote>
  <w:footnote w:id="12">
    <w:p w:rsidR="00262EDA" w:rsidRPr="00344C0B" w:rsidP="00AB0323" w14:paraId="60356000" w14:textId="2429653C">
      <w:pPr>
        <w:pStyle w:val="FootnoteText"/>
      </w:pPr>
      <w:r w:rsidRPr="00344C0B">
        <w:rPr>
          <w:rStyle w:val="FootnoteReference"/>
        </w:rPr>
        <w:footnoteRef/>
      </w:r>
      <w:r w:rsidRPr="00344C0B">
        <w:t xml:space="preserve"> </w:t>
      </w:r>
      <w:r>
        <w:t xml:space="preserve">Jupiter </w:t>
      </w:r>
      <w:r w:rsidR="00474C20">
        <w:t>held</w:t>
      </w:r>
      <w:r>
        <w:t xml:space="preserve"> a license to operate the Station at a transmitter site located at</w:t>
      </w:r>
      <w:r w:rsidRPr="00EF55FB">
        <w:rPr>
          <w:szCs w:val="22"/>
        </w:rPr>
        <w:t xml:space="preserve"> 26° 56’ 33” North latitude and 80° 04’ 18” West longitude (Authorized Site)</w:t>
      </w:r>
      <w:r>
        <w:rPr>
          <w:szCs w:val="22"/>
        </w:rPr>
        <w:t>, with a transmitter power output</w:t>
      </w:r>
      <w:r w:rsidRPr="00EF55FB">
        <w:rPr>
          <w:szCs w:val="22"/>
        </w:rPr>
        <w:t xml:space="preserve"> of 45 Watts</w:t>
      </w:r>
      <w:r>
        <w:rPr>
          <w:szCs w:val="22"/>
        </w:rPr>
        <w:t>,</w:t>
      </w:r>
      <w:r w:rsidRPr="00EF55FB">
        <w:rPr>
          <w:szCs w:val="22"/>
        </w:rPr>
        <w:t xml:space="preserve"> an effective radiated power of 20</w:t>
      </w:r>
      <w:r w:rsidR="00536652">
        <w:rPr>
          <w:szCs w:val="22"/>
        </w:rPr>
        <w:t> </w:t>
      </w:r>
      <w:r w:rsidRPr="00EF55FB">
        <w:rPr>
          <w:szCs w:val="22"/>
        </w:rPr>
        <w:t>Watts, and a one-bay Nicom BKG88 antenna</w:t>
      </w:r>
      <w:r w:rsidRPr="0007571D">
        <w:t>.</w:t>
      </w:r>
      <w:r>
        <w:t xml:space="preserve">  </w:t>
      </w:r>
      <w:r w:rsidRPr="000B0216">
        <w:rPr>
          <w:i/>
          <w:iCs/>
        </w:rPr>
        <w:t>See</w:t>
      </w:r>
      <w:r>
        <w:t xml:space="preserve"> Jupiter Community Radio, Inc., Application for a Low Power FM Broadcast Station License, File No. BLL-20150722ACD (filed July 22, 2015, granted July 27, 2015).</w:t>
      </w:r>
    </w:p>
  </w:footnote>
  <w:footnote w:id="13">
    <w:p w:rsidR="00262EDA" w:rsidP="0063600B" w14:paraId="2265FD99" w14:textId="4E8E8AD2">
      <w:pPr>
        <w:pStyle w:val="FootnoteText"/>
      </w:pPr>
      <w:r>
        <w:rPr>
          <w:rStyle w:val="FootnoteReference"/>
        </w:rPr>
        <w:footnoteRef/>
      </w:r>
      <w:r>
        <w:t xml:space="preserve"> </w:t>
      </w:r>
      <w:r w:rsidRPr="00860271">
        <w:rPr>
          <w:i/>
          <w:iCs/>
        </w:rPr>
        <w:t>N</w:t>
      </w:r>
      <w:r w:rsidR="00334F3D">
        <w:rPr>
          <w:i/>
          <w:iCs/>
        </w:rPr>
        <w:t>AL</w:t>
      </w:r>
      <w:r>
        <w:t xml:space="preserve">, 35 FCC Rcd at 11834-35.  </w:t>
      </w:r>
      <w:r>
        <w:rPr>
          <w:i/>
          <w:iCs/>
        </w:rPr>
        <w:t>First,</w:t>
      </w:r>
      <w:r>
        <w:t xml:space="preserve"> based on agents’ observations that the Station was operating with a </w:t>
      </w:r>
      <w:r>
        <w:rPr>
          <w:szCs w:val="22"/>
        </w:rPr>
        <w:t>transmitter power output</w:t>
      </w:r>
      <w:r>
        <w:t xml:space="preserve"> that was 222% of the authorized level, the Bureau found that Jupiter apparently violated section 73.840 of the Commission’s rules.  47 CFR § 73.840.  </w:t>
      </w:r>
      <w:r>
        <w:rPr>
          <w:i/>
          <w:iCs/>
        </w:rPr>
        <w:t xml:space="preserve">Second, </w:t>
      </w:r>
      <w:r>
        <w:t xml:space="preserve">based on agents’ observations that the Station was operating at an </w:t>
      </w:r>
      <w:r w:rsidRPr="00EF55FB">
        <w:rPr>
          <w:szCs w:val="22"/>
        </w:rPr>
        <w:t>effective radiated power</w:t>
      </w:r>
      <w:r>
        <w:t xml:space="preserve"> of 177 Watts (instead of the authorized 20 Watts) and with a two-bay antenna (instead of the single-bay antenna specified in its license), the Bureau found that Jupiter apparently violated section 301 of the Act and section 73.845 of the rules by exceeding the technical parameters in its license and LPFM technical rules.  47 U.S.C. § 301, 47 CFR § </w:t>
      </w:r>
      <w:r w:rsidRPr="001C53BB">
        <w:t>73.845</w:t>
      </w:r>
      <w:r>
        <w:t xml:space="preserve">.  The Station’s calculated </w:t>
      </w:r>
      <w:r w:rsidRPr="00EF55FB">
        <w:rPr>
          <w:szCs w:val="22"/>
        </w:rPr>
        <w:t>effective radiated power</w:t>
      </w:r>
      <w:r>
        <w:t xml:space="preserve"> of 177 Watts far exceeds the 100-Watt maximum </w:t>
      </w:r>
      <w:r w:rsidR="00DF73EF">
        <w:t xml:space="preserve">facilities permitted for </w:t>
      </w:r>
      <w:r>
        <w:t xml:space="preserve">LPFM stations </w:t>
      </w:r>
      <w:r w:rsidR="00DF73EF">
        <w:t xml:space="preserve">set forth in </w:t>
      </w:r>
      <w:r>
        <w:t>47 CFR §</w:t>
      </w:r>
      <w:r w:rsidRPr="001C53BB">
        <w:t xml:space="preserve"> 73.8</w:t>
      </w:r>
      <w:r>
        <w:t xml:space="preserve">11(a).  </w:t>
      </w:r>
      <w:r w:rsidRPr="00707F69">
        <w:rPr>
          <w:i/>
          <w:iCs/>
        </w:rPr>
        <w:t>Third</w:t>
      </w:r>
      <w:r>
        <w:t>, based on agents’ observations that Jupiter was operating</w:t>
      </w:r>
      <w:r w:rsidRPr="00B839D8">
        <w:t xml:space="preserve"> </w:t>
      </w:r>
      <w:r w:rsidR="00DF73EF">
        <w:t xml:space="preserve">the Station </w:t>
      </w:r>
      <w:r>
        <w:t>not at the Authorized Site, but</w:t>
      </w:r>
      <w:r w:rsidR="00DF73EF">
        <w:t xml:space="preserve"> was transmitting from </w:t>
      </w:r>
      <w:r>
        <w:t xml:space="preserve">the roof of a multi-unit residential building at </w:t>
      </w:r>
      <w:r w:rsidRPr="001E5FB0">
        <w:t xml:space="preserve">26° 56’ </w:t>
      </w:r>
      <w:r>
        <w:t>16.06</w:t>
      </w:r>
      <w:r w:rsidRPr="001E5FB0">
        <w:t xml:space="preserve">” North latitude and 80° 04’ </w:t>
      </w:r>
      <w:r>
        <w:t>16.35</w:t>
      </w:r>
      <w:r w:rsidRPr="001E5FB0">
        <w:t>” West longitude</w:t>
      </w:r>
      <w:r>
        <w:t xml:space="preserve"> (Transmitter Site), a location </w:t>
      </w:r>
      <w:r w:rsidR="00DF73EF">
        <w:t xml:space="preserve">that is </w:t>
      </w:r>
      <w:r>
        <w:t xml:space="preserve">0.33 miles distant from the Authorized Site, the Bureau found that Jupiter apparently violated section 301 of the Act and section 73.845 of the rules.  47 U.S.C. § 301, 47 CFR § </w:t>
      </w:r>
      <w:r w:rsidRPr="001C53BB">
        <w:t>73.845</w:t>
      </w:r>
      <w:r>
        <w:t>.</w:t>
      </w:r>
    </w:p>
  </w:footnote>
  <w:footnote w:id="14">
    <w:p w:rsidR="00262EDA" w:rsidP="00DB3984" w14:paraId="50BE8EE0" w14:textId="4D707806">
      <w:pPr>
        <w:pStyle w:val="FootnoteText"/>
      </w:pPr>
      <w:r>
        <w:rPr>
          <w:rStyle w:val="FootnoteReference"/>
        </w:rPr>
        <w:footnoteRef/>
      </w:r>
      <w:r>
        <w:t xml:space="preserve"> </w:t>
      </w:r>
      <w:r w:rsidRPr="00860271">
        <w:rPr>
          <w:i/>
          <w:iCs/>
        </w:rPr>
        <w:t>N</w:t>
      </w:r>
      <w:r w:rsidR="00334F3D">
        <w:rPr>
          <w:i/>
          <w:iCs/>
        </w:rPr>
        <w:t>AL</w:t>
      </w:r>
      <w:r>
        <w:t xml:space="preserve">, 35 FCC Rcd at 11835.  On February 26, 2020, the Bureau’s agents attempted to gain access to the Station during normal business hours but did not receive access to the Station until March 6, 2020.  </w:t>
      </w:r>
      <w:r w:rsidRPr="00FE0C20">
        <w:rPr>
          <w:i/>
          <w:iCs/>
        </w:rPr>
        <w:t>See</w:t>
      </w:r>
      <w:r>
        <w:t xml:space="preserve"> 47 CFR § 73.878(a).</w:t>
      </w:r>
    </w:p>
  </w:footnote>
  <w:footnote w:id="15">
    <w:p w:rsidR="00AC005F" w14:paraId="32387E6F" w14:textId="3D0BC1FF">
      <w:pPr>
        <w:pStyle w:val="FootnoteText"/>
      </w:pPr>
      <w:r>
        <w:rPr>
          <w:rStyle w:val="FootnoteReference"/>
        </w:rPr>
        <w:footnoteRef/>
      </w:r>
      <w:r>
        <w:t xml:space="preserve"> </w:t>
      </w:r>
      <w:bookmarkStart w:id="4" w:name="_Hlk102719437"/>
      <w:r w:rsidR="0061719F">
        <w:t xml:space="preserve">According to the Commission’s Licensing and Management System (LMS), </w:t>
      </w:r>
      <w:r>
        <w:t>The Omega Church International Ministry is the licensee of station WOIB-LP, Oakland Park, FL (Fac. ID No. 195212)</w:t>
      </w:r>
      <w:r w:rsidR="0061719F">
        <w:t>, and has a pending assignment of authorization application indicating that the assignor is The Omega Church International Ministries, Inc. (“Omega Church”)</w:t>
      </w:r>
      <w:r w:rsidR="00CB5F22">
        <w:t xml:space="preserve"> and the </w:t>
      </w:r>
      <w:r w:rsidR="008F4B6E">
        <w:t xml:space="preserve">proposed </w:t>
      </w:r>
      <w:r w:rsidR="00CB5F22">
        <w:t>assignee is WOIB 101.9 FM Ministry</w:t>
      </w:r>
      <w:r w:rsidR="0090576A">
        <w:t>,</w:t>
      </w:r>
      <w:r w:rsidR="00CB5F22">
        <w:t xml:space="preserve"> Inc</w:t>
      </w:r>
      <w:r w:rsidR="0090576A">
        <w:t>.,</w:t>
      </w:r>
      <w:r w:rsidR="00CB5F22">
        <w:t xml:space="preserve"> File No. 0000143087 </w:t>
      </w:r>
      <w:r w:rsidR="008F4B6E">
        <w:t xml:space="preserve">(filed </w:t>
      </w:r>
      <w:r w:rsidR="00321B6C">
        <w:t>Apr. 6, 2021, most recently amended Aug.</w:t>
      </w:r>
      <w:r w:rsidR="009470DD">
        <w:t xml:space="preserve"> </w:t>
      </w:r>
      <w:r w:rsidR="00321B6C">
        <w:t>19, 202</w:t>
      </w:r>
      <w:r w:rsidR="009470DD">
        <w:t>1</w:t>
      </w:r>
      <w:r w:rsidR="008F4B6E">
        <w:t>)</w:t>
      </w:r>
      <w:r>
        <w:t xml:space="preserve">.  </w:t>
      </w:r>
      <w:bookmarkEnd w:id="4"/>
    </w:p>
  </w:footnote>
  <w:footnote w:id="16">
    <w:p w:rsidR="00262EDA" w:rsidRPr="00FE0C20" w:rsidP="00AB21EE" w14:paraId="5D4D92FB" w14:textId="3DC385CE">
      <w:pPr>
        <w:pStyle w:val="FootnoteText"/>
      </w:pPr>
      <w:r w:rsidRPr="00344C0B">
        <w:rPr>
          <w:rStyle w:val="FootnoteReference"/>
        </w:rPr>
        <w:footnoteRef/>
      </w:r>
      <w:r w:rsidRPr="00344C0B">
        <w:t xml:space="preserve"> </w:t>
      </w:r>
      <w:r w:rsidRPr="00860271">
        <w:rPr>
          <w:i/>
          <w:iCs/>
        </w:rPr>
        <w:t>N</w:t>
      </w:r>
      <w:r w:rsidR="00334F3D">
        <w:rPr>
          <w:i/>
          <w:iCs/>
        </w:rPr>
        <w:t>AL</w:t>
      </w:r>
      <w:r>
        <w:t xml:space="preserve">, 35 FCC Rcd at 11835.  </w:t>
      </w:r>
      <w:r w:rsidR="0083226B">
        <w:t xml:space="preserve">Despite three requests from the agent that </w:t>
      </w:r>
      <w:r w:rsidR="00B414F4">
        <w:t>Jupiter provide EAS information pertaining to the Station, as</w:t>
      </w:r>
      <w:r w:rsidRPr="00711B34">
        <w:t xml:space="preserve"> of the date of the </w:t>
      </w:r>
      <w:r w:rsidRPr="00711B34">
        <w:rPr>
          <w:i/>
          <w:iCs/>
        </w:rPr>
        <w:t>N</w:t>
      </w:r>
      <w:r w:rsidR="00334F3D">
        <w:rPr>
          <w:i/>
          <w:iCs/>
        </w:rPr>
        <w:t>AL</w:t>
      </w:r>
      <w:r w:rsidRPr="00711B34">
        <w:t>, Jupiter had only provided EAS logs for a different LPFM station, WOIB-LP, and provided no evidence that Jupiter installed EAS equipment for the Station.</w:t>
      </w:r>
      <w:r w:rsidR="005E26E1">
        <w:t xml:space="preserve">  </w:t>
      </w:r>
    </w:p>
  </w:footnote>
  <w:footnote w:id="17">
    <w:p w:rsidR="00262EDA" w:rsidRPr="00344C0B" w14:paraId="691C2214" w14:textId="144D4685">
      <w:pPr>
        <w:pStyle w:val="FootnoteText"/>
      </w:pPr>
      <w:r w:rsidRPr="00344C0B">
        <w:rPr>
          <w:rStyle w:val="FootnoteReference"/>
        </w:rPr>
        <w:footnoteRef/>
      </w:r>
      <w:r w:rsidRPr="00344C0B">
        <w:t xml:space="preserve"> </w:t>
      </w:r>
      <w:r w:rsidRPr="00594BDC">
        <w:rPr>
          <w:i/>
          <w:iCs/>
        </w:rPr>
        <w:t xml:space="preserve">See </w:t>
      </w:r>
      <w:r w:rsidRPr="001F405C">
        <w:rPr>
          <w:i/>
          <w:iCs/>
        </w:rPr>
        <w:t>Jupiter Community Radio, Inc</w:t>
      </w:r>
      <w:r>
        <w:t>.</w:t>
      </w:r>
      <w:r w:rsidRPr="0007571D">
        <w:t>, Response to Notice of Apparent Liability</w:t>
      </w:r>
      <w:r w:rsidR="008A6452">
        <w:t xml:space="preserve"> for Forfeiture</w:t>
      </w:r>
      <w:r w:rsidRPr="0007571D">
        <w:t xml:space="preserve"> (</w:t>
      </w:r>
      <w:r>
        <w:t>Nov. 25, 2020</w:t>
      </w:r>
      <w:r w:rsidRPr="0007571D">
        <w:t xml:space="preserve">) (on file in </w:t>
      </w:r>
      <w:r w:rsidRPr="00B63FC8">
        <w:rPr>
          <w:color w:val="000000"/>
          <w:spacing w:val="-2"/>
          <w:szCs w:val="22"/>
        </w:rPr>
        <w:t>EB-FIELDSCR-17-00025789</w:t>
      </w:r>
      <w:r w:rsidRPr="0007571D">
        <w:t xml:space="preserve">) </w:t>
      </w:r>
      <w:r>
        <w:t>(</w:t>
      </w:r>
      <w:r w:rsidRPr="0007571D">
        <w:t>Response).</w:t>
      </w:r>
      <w:r w:rsidR="009D1206">
        <w:t xml:space="preserve">  </w:t>
      </w:r>
      <w:r w:rsidR="009F788C">
        <w:t>T</w:t>
      </w:r>
      <w:r w:rsidR="009D1206">
        <w:t xml:space="preserve">he Response was supported by the </w:t>
      </w:r>
      <w:r w:rsidR="00273F20">
        <w:t xml:space="preserve">written </w:t>
      </w:r>
      <w:r w:rsidR="009D1206">
        <w:t xml:space="preserve">declaration of Wayne Manning, “the president of Jupiter </w:t>
      </w:r>
      <w:r w:rsidR="00D03A25">
        <w:t xml:space="preserve">. . . </w:t>
      </w:r>
      <w:r w:rsidR="009D1206">
        <w:t>since 2016,” made under penalty of perjury</w:t>
      </w:r>
      <w:r w:rsidR="001A63E2">
        <w:t xml:space="preserve"> as true</w:t>
      </w:r>
      <w:r w:rsidR="000F0E6A">
        <w:t>.</w:t>
      </w:r>
      <w:r w:rsidR="00273F20">
        <w:t xml:space="preserve">  Response</w:t>
      </w:r>
      <w:r w:rsidR="008E7991">
        <w:t xml:space="preserve"> at</w:t>
      </w:r>
      <w:r w:rsidR="00273F20">
        <w:t xml:space="preserve"> Exhibit 2 (Declaration of Wayne Manning</w:t>
      </w:r>
      <w:r w:rsidR="0090576A">
        <w:t>).</w:t>
      </w:r>
      <w:r w:rsidR="009F788C">
        <w:t xml:space="preserve">  The Bureau </w:t>
      </w:r>
      <w:r w:rsidR="003E51E0">
        <w:t>released</w:t>
      </w:r>
      <w:r w:rsidR="00C44737">
        <w:t xml:space="preserve"> </w:t>
      </w:r>
      <w:r w:rsidR="009F788C">
        <w:t xml:space="preserve">the </w:t>
      </w:r>
      <w:r w:rsidR="00BC5E07">
        <w:rPr>
          <w:i/>
          <w:iCs/>
        </w:rPr>
        <w:t xml:space="preserve">NAL </w:t>
      </w:r>
      <w:r w:rsidR="003E51E0">
        <w:t xml:space="preserve">on October 26, 2020, and mailed it </w:t>
      </w:r>
      <w:r w:rsidR="009F788C">
        <w:t>to Jupiter via first class mail and certified mail, return receipt requested, on October 27, 2020, to the address</w:t>
      </w:r>
      <w:r w:rsidR="00C44737">
        <w:t>es</w:t>
      </w:r>
      <w:r w:rsidR="009F788C">
        <w:t xml:space="preserve"> of record for Jupiter and Omega Church.  </w:t>
      </w:r>
      <w:r w:rsidR="00374A75">
        <w:rPr>
          <w:i/>
          <w:iCs/>
        </w:rPr>
        <w:t xml:space="preserve">See </w:t>
      </w:r>
      <w:r w:rsidR="00374A75">
        <w:t>47 CFR §</w:t>
      </w:r>
      <w:r w:rsidR="00D80B05">
        <w:t xml:space="preserve"> 1.5 (“Each licensee shall furnish the Commission with an address to be used by the Commission in serving documents or directing correspondence to that licensee.”</w:t>
      </w:r>
      <w:r w:rsidR="00137AAD">
        <w:t>)</w:t>
      </w:r>
      <w:r w:rsidR="00D80B05">
        <w:t xml:space="preserve">  </w:t>
      </w:r>
      <w:r w:rsidR="000C3976">
        <w:t>Although t</w:t>
      </w:r>
      <w:r w:rsidR="009F788C">
        <w:t xml:space="preserve">he unclaimed envelopes with copies of the </w:t>
      </w:r>
      <w:r w:rsidR="009F788C">
        <w:rPr>
          <w:i/>
          <w:iCs/>
        </w:rPr>
        <w:t>NAL</w:t>
      </w:r>
      <w:r w:rsidR="009F788C">
        <w:t xml:space="preserve"> sent via certified mail were returned to the </w:t>
      </w:r>
      <w:r w:rsidR="003E51E0">
        <w:t>Burea</w:t>
      </w:r>
      <w:r w:rsidR="00397114">
        <w:t>u</w:t>
      </w:r>
      <w:r w:rsidR="009F788C">
        <w:t xml:space="preserve"> (on file in EB-FIELDSCR-17-00025789)</w:t>
      </w:r>
      <w:r w:rsidR="000C3976">
        <w:t xml:space="preserve">, the copies </w:t>
      </w:r>
      <w:r w:rsidR="009F788C">
        <w:t>sent via regular first class m</w:t>
      </w:r>
      <w:r w:rsidR="00C44737">
        <w:t>ail</w:t>
      </w:r>
      <w:r w:rsidR="009F788C">
        <w:t xml:space="preserve"> </w:t>
      </w:r>
      <w:r w:rsidR="000C3976">
        <w:t xml:space="preserve">were not returned </w:t>
      </w:r>
      <w:r w:rsidR="009F788C">
        <w:t xml:space="preserve">and Jupiter filed its Response on the date ordered in the </w:t>
      </w:r>
      <w:r w:rsidR="009F788C">
        <w:rPr>
          <w:i/>
          <w:iCs/>
        </w:rPr>
        <w:t>NAL</w:t>
      </w:r>
      <w:r w:rsidR="009F788C">
        <w:t xml:space="preserve">.  </w:t>
      </w:r>
      <w:r w:rsidR="009169D9">
        <w:t xml:space="preserve">Thus, we conclude that the </w:t>
      </w:r>
      <w:r w:rsidR="00D14780">
        <w:rPr>
          <w:i/>
          <w:iCs/>
        </w:rPr>
        <w:t>NAL</w:t>
      </w:r>
      <w:r w:rsidR="009169D9">
        <w:t xml:space="preserve"> was received by Jupiter.</w:t>
      </w:r>
      <w:r w:rsidR="00652C21">
        <w:t xml:space="preserve">  </w:t>
      </w:r>
      <w:r w:rsidR="00652C21">
        <w:rPr>
          <w:i/>
          <w:iCs/>
        </w:rPr>
        <w:t>See</w:t>
      </w:r>
      <w:r w:rsidR="006A3377">
        <w:rPr>
          <w:i/>
          <w:iCs/>
        </w:rPr>
        <w:t>,</w:t>
      </w:r>
      <w:r w:rsidRPr="004352F2" w:rsidR="006A3377">
        <w:rPr>
          <w:i/>
          <w:iCs/>
        </w:rPr>
        <w:t xml:space="preserve"> e.</w:t>
      </w:r>
      <w:r w:rsidR="006A3377">
        <w:rPr>
          <w:i/>
          <w:iCs/>
        </w:rPr>
        <w:t xml:space="preserve">g., </w:t>
      </w:r>
      <w:r w:rsidR="00652C21">
        <w:rPr>
          <w:i/>
          <w:iCs/>
        </w:rPr>
        <w:t xml:space="preserve">Television Station W14CK, Newport, Vermont, </w:t>
      </w:r>
      <w:r w:rsidR="00652C21">
        <w:t>Order, 27 FCC Rcd 13395</w:t>
      </w:r>
      <w:r w:rsidR="00674873">
        <w:t>, 13396, n.5</w:t>
      </w:r>
      <w:r w:rsidR="00652C21">
        <w:t xml:space="preserve"> (MB 2012) (mailing sent via regular mail </w:t>
      </w:r>
      <w:r w:rsidR="00107D28">
        <w:t xml:space="preserve">that </w:t>
      </w:r>
      <w:r w:rsidR="00652C21">
        <w:t xml:space="preserve">was not returned, </w:t>
      </w:r>
      <w:r w:rsidR="00107D28">
        <w:t xml:space="preserve">was </w:t>
      </w:r>
      <w:r w:rsidR="00652C21">
        <w:t>presume</w:t>
      </w:r>
      <w:r w:rsidR="00107D28">
        <w:t xml:space="preserve">d </w:t>
      </w:r>
      <w:r w:rsidR="00652C21">
        <w:t>delivered)</w:t>
      </w:r>
      <w:r w:rsidR="00147F12">
        <w:t>.</w:t>
      </w:r>
      <w:r w:rsidR="009169D9">
        <w:t xml:space="preserve">  </w:t>
      </w:r>
      <w:r w:rsidR="009F788C">
        <w:t>While we recently received information in another proceeding appearing to indicate that Jupiter may have identified other individuals as officers to the state of Florida, Jupiter did not file</w:t>
      </w:r>
      <w:r w:rsidR="000F1BB2">
        <w:t xml:space="preserve"> a</w:t>
      </w:r>
      <w:r w:rsidR="009F788C">
        <w:t xml:space="preserve"> transfer of control </w:t>
      </w:r>
      <w:r w:rsidR="00CE34BE">
        <w:t>application</w:t>
      </w:r>
      <w:r w:rsidR="00E119F6">
        <w:t xml:space="preserve"> </w:t>
      </w:r>
      <w:r w:rsidR="003F1B6D">
        <w:t xml:space="preserve">or contact update </w:t>
      </w:r>
      <w:r w:rsidR="000F1BB2">
        <w:t xml:space="preserve">with the </w:t>
      </w:r>
      <w:r w:rsidRPr="00147F12" w:rsidR="000F1BB2">
        <w:t xml:space="preserve">Commission </w:t>
      </w:r>
      <w:r w:rsidRPr="00147F12" w:rsidR="00E119F6">
        <w:t xml:space="preserve">until </w:t>
      </w:r>
      <w:r w:rsidRPr="00147F12" w:rsidR="00D30513">
        <w:t>recently</w:t>
      </w:r>
      <w:r w:rsidR="009169D9">
        <w:t xml:space="preserve"> and well after the issuance of the </w:t>
      </w:r>
      <w:r w:rsidR="00D26A16">
        <w:rPr>
          <w:i/>
          <w:iCs/>
        </w:rPr>
        <w:t>NAL</w:t>
      </w:r>
      <w:r w:rsidR="00D30513">
        <w:t>.</w:t>
      </w:r>
      <w:r w:rsidR="00F0388C">
        <w:t xml:space="preserve">  </w:t>
      </w:r>
      <w:r w:rsidR="000A5273">
        <w:rPr>
          <w:i/>
          <w:iCs/>
        </w:rPr>
        <w:t xml:space="preserve">See </w:t>
      </w:r>
      <w:r w:rsidR="00C1790A">
        <w:t>Jupiter</w:t>
      </w:r>
      <w:r w:rsidR="00A31D17">
        <w:t> </w:t>
      </w:r>
      <w:r w:rsidR="00C1790A">
        <w:t>Community Radio, Inc., Transfer of Control A</w:t>
      </w:r>
      <w:r w:rsidR="00B54595">
        <w:t>pplication</w:t>
      </w:r>
      <w:r w:rsidR="00C1790A">
        <w:t>, File No. 0000185397 (</w:t>
      </w:r>
      <w:r w:rsidR="00F0388C">
        <w:t xml:space="preserve">filed Feb. 25, 2022, </w:t>
      </w:r>
      <w:r w:rsidR="00B54595">
        <w:t xml:space="preserve">amended </w:t>
      </w:r>
      <w:r w:rsidR="00C1790A">
        <w:t>Mar</w:t>
      </w:r>
      <w:r w:rsidR="00E5540F">
        <w:t>.</w:t>
      </w:r>
      <w:r w:rsidR="00C1790A">
        <w:t xml:space="preserve"> 18, 2022, pending)</w:t>
      </w:r>
      <w:r w:rsidR="006B4BA6">
        <w:t xml:space="preserve">; </w:t>
      </w:r>
      <w:r w:rsidR="0099541B">
        <w:t xml:space="preserve">Jupiter Community Radio, Inc., </w:t>
      </w:r>
      <w:r w:rsidR="006B4BA6">
        <w:t xml:space="preserve">Administrative Update, File No. </w:t>
      </w:r>
      <w:r w:rsidR="00866326">
        <w:t>0000186838 (filed Mar. 18, 2022).</w:t>
      </w:r>
      <w:r w:rsidR="00C1790A">
        <w:t xml:space="preserve"> </w:t>
      </w:r>
      <w:r w:rsidR="00B54595">
        <w:t xml:space="preserve"> </w:t>
      </w:r>
      <w:r w:rsidR="009F788C">
        <w:t xml:space="preserve">We </w:t>
      </w:r>
      <w:r w:rsidR="009169D9">
        <w:t xml:space="preserve">find that the </w:t>
      </w:r>
      <w:r w:rsidR="00147F12">
        <w:rPr>
          <w:i/>
          <w:iCs/>
        </w:rPr>
        <w:t>NAL</w:t>
      </w:r>
      <w:r w:rsidR="009169D9">
        <w:t xml:space="preserve"> was </w:t>
      </w:r>
      <w:r w:rsidR="00432A5D">
        <w:t>properly served on Jupiter</w:t>
      </w:r>
      <w:r w:rsidR="00F04893">
        <w:t>.  We</w:t>
      </w:r>
      <w:r w:rsidR="00432A5D">
        <w:t xml:space="preserve"> </w:t>
      </w:r>
      <w:r w:rsidR="009F788C">
        <w:t xml:space="preserve">continue to rely on the </w:t>
      </w:r>
      <w:r w:rsidRPr="00147F12" w:rsidR="009F788C">
        <w:t>contacts in our LMS database</w:t>
      </w:r>
      <w:r w:rsidR="009F788C">
        <w:t xml:space="preserve"> </w:t>
      </w:r>
      <w:r w:rsidR="00C351E4">
        <w:t>and</w:t>
      </w:r>
      <w:r w:rsidR="009F788C">
        <w:t xml:space="preserve"> will serve the Forfeiture Order on </w:t>
      </w:r>
      <w:r w:rsidR="00EF5120">
        <w:t>Jupiter at its address of record</w:t>
      </w:r>
      <w:r w:rsidR="006F1C00">
        <w:t xml:space="preserve"> with a copy to Jupiter’s contact representative</w:t>
      </w:r>
      <w:r w:rsidR="007D4052">
        <w:t>.</w:t>
      </w:r>
    </w:p>
  </w:footnote>
  <w:footnote w:id="18">
    <w:p w:rsidR="00540E32" w14:paraId="55C13BC8" w14:textId="60A26CE6">
      <w:pPr>
        <w:pStyle w:val="FootnoteText"/>
      </w:pPr>
      <w:r>
        <w:rPr>
          <w:rStyle w:val="FootnoteReference"/>
        </w:rPr>
        <w:footnoteRef/>
      </w:r>
      <w:r>
        <w:t xml:space="preserve"> </w:t>
      </w:r>
      <w:r w:rsidR="00ED6DE5">
        <w:t xml:space="preserve">Response at </w:t>
      </w:r>
      <w:r w:rsidR="00096001">
        <w:t>1-4.</w:t>
      </w:r>
    </w:p>
  </w:footnote>
  <w:footnote w:id="19">
    <w:p w:rsidR="00262EDA" w:rsidP="00594BDC" w14:paraId="15F858C6" w14:textId="1D9425FB">
      <w:pPr>
        <w:pStyle w:val="FootnoteText"/>
      </w:pPr>
      <w:r>
        <w:rPr>
          <w:rStyle w:val="FootnoteReference"/>
        </w:rPr>
        <w:footnoteRef/>
      </w:r>
      <w:r>
        <w:t xml:space="preserve"> Response at 1-2.</w:t>
      </w:r>
    </w:p>
  </w:footnote>
  <w:footnote w:id="20">
    <w:p w:rsidR="00262EDA" w:rsidP="009879E0" w14:paraId="6FF3DEBC" w14:textId="5496D625">
      <w:pPr>
        <w:pStyle w:val="FootnoteText"/>
      </w:pPr>
      <w:r>
        <w:rPr>
          <w:rStyle w:val="FootnoteReference"/>
        </w:rPr>
        <w:footnoteRef/>
      </w:r>
      <w:r>
        <w:t xml:space="preserve"> Response at 2-3, Exhibit 1 (map depicting Authorized Site and Transmitter Site).  </w:t>
      </w:r>
      <w:r w:rsidRPr="000B0216">
        <w:rPr>
          <w:i/>
          <w:iCs/>
        </w:rPr>
        <w:t>See</w:t>
      </w:r>
      <w:r>
        <w:t xml:space="preserve"> Jupiter Community Radio, Inc., Minor Modification of License Facility of a Low Power FM Station License Application, File No. 0000129391 (filed Dec</w:t>
      </w:r>
      <w:r w:rsidR="00CB1BCD">
        <w:t>.</w:t>
      </w:r>
      <w:r>
        <w:t xml:space="preserve"> 3, 2020, </w:t>
      </w:r>
      <w:r w:rsidR="005C1FCA">
        <w:t>granted Sept. 8, 2021</w:t>
      </w:r>
      <w:r>
        <w:t>)</w:t>
      </w:r>
      <w:r w:rsidR="00C94EDA">
        <w:t xml:space="preserve">; Jupiter Community Radio, Inc., License to Cover for Low Power FM Station Construction Permit Application, File No. 0000185562 (filed Mar. 1, 2022, </w:t>
      </w:r>
      <w:r w:rsidR="00645E0B">
        <w:t>pending</w:t>
      </w:r>
      <w:r w:rsidR="00C94EDA">
        <w:t>)</w:t>
      </w:r>
      <w:r>
        <w:t>.</w:t>
      </w:r>
    </w:p>
  </w:footnote>
  <w:footnote w:id="21">
    <w:p w:rsidR="00262EDA" w:rsidP="00594BDC" w14:paraId="3E8E101E" w14:textId="77777777">
      <w:pPr>
        <w:pStyle w:val="FootnoteText"/>
      </w:pPr>
      <w:r>
        <w:rPr>
          <w:rStyle w:val="FootnoteReference"/>
        </w:rPr>
        <w:footnoteRef/>
      </w:r>
      <w:r>
        <w:t xml:space="preserve"> Response at 3.</w:t>
      </w:r>
    </w:p>
  </w:footnote>
  <w:footnote w:id="22">
    <w:p w:rsidR="00262EDA" w:rsidP="00C9491E" w14:paraId="301A9F0C" w14:textId="37831560">
      <w:pPr>
        <w:pStyle w:val="FootnoteText"/>
      </w:pPr>
      <w:r>
        <w:rPr>
          <w:rStyle w:val="FootnoteReference"/>
        </w:rPr>
        <w:footnoteRef/>
      </w:r>
      <w:r>
        <w:t xml:space="preserve"> Response at 3-4.</w:t>
      </w:r>
    </w:p>
  </w:footnote>
  <w:footnote w:id="23">
    <w:p w:rsidR="00262EDA" w:rsidP="00594BDC" w14:paraId="2EAB1E16" w14:textId="7E178B80">
      <w:pPr>
        <w:pStyle w:val="FootnoteText"/>
      </w:pPr>
      <w:r>
        <w:rPr>
          <w:rStyle w:val="FootnoteReference"/>
        </w:rPr>
        <w:footnoteRef/>
      </w:r>
      <w:r>
        <w:t xml:space="preserve"> Response at 3</w:t>
      </w:r>
      <w:r w:rsidR="006075C3">
        <w:t>,</w:t>
      </w:r>
      <w:r w:rsidR="002771E0">
        <w:t xml:space="preserve"> Exhibit 2</w:t>
      </w:r>
      <w:r>
        <w:t xml:space="preserve"> </w:t>
      </w:r>
      <w:r w:rsidR="006075C3">
        <w:t>(</w:t>
      </w:r>
      <w:r>
        <w:t>“WJUP Alert Log from 07/01/2019 to 3/7/2020”</w:t>
      </w:r>
      <w:r w:rsidR="006075C3">
        <w:t>).</w:t>
      </w:r>
    </w:p>
  </w:footnote>
  <w:footnote w:id="24">
    <w:p w:rsidR="00262EDA" w:rsidRPr="00344C0B" w:rsidP="006168A4" w14:paraId="77544DC7" w14:textId="77777777">
      <w:pPr>
        <w:pStyle w:val="FootnoteText"/>
      </w:pPr>
      <w:r w:rsidRPr="00344C0B">
        <w:rPr>
          <w:rStyle w:val="FootnoteReference"/>
        </w:rPr>
        <w:footnoteRef/>
      </w:r>
      <w:r w:rsidRPr="00344C0B">
        <w:t xml:space="preserve"> </w:t>
      </w:r>
      <w:r w:rsidRPr="00344C0B">
        <w:rPr>
          <w:color w:val="000000"/>
        </w:rPr>
        <w:t>47 U.S.C. § 503(b).</w:t>
      </w:r>
    </w:p>
  </w:footnote>
  <w:footnote w:id="25">
    <w:p w:rsidR="00262EDA" w:rsidRPr="00344C0B" w:rsidP="006168A4" w14:paraId="7838B670" w14:textId="77777777">
      <w:pPr>
        <w:pStyle w:val="FootnoteText"/>
      </w:pPr>
      <w:r w:rsidRPr="00344C0B">
        <w:rPr>
          <w:rStyle w:val="FootnoteReference"/>
        </w:rPr>
        <w:footnoteRef/>
      </w:r>
      <w:r w:rsidRPr="00344C0B">
        <w:t xml:space="preserve"> 47 CFR § 1.80.</w:t>
      </w:r>
    </w:p>
  </w:footnote>
  <w:footnote w:id="26">
    <w:p w:rsidR="00262EDA" w:rsidRPr="00344C0B" w:rsidP="006168A4" w14:paraId="32BBDD4D" w14:textId="33F2F790">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Memorandum Opinion and Order, 15 FCC Rcd 303 (1999).</w:t>
      </w:r>
    </w:p>
  </w:footnote>
  <w:footnote w:id="27">
    <w:p w:rsidR="00262EDA" w:rsidRPr="00344C0B" w:rsidP="006168A4" w14:paraId="6C259B20" w14:textId="77777777">
      <w:pPr>
        <w:pStyle w:val="FootnoteText"/>
      </w:pPr>
      <w:r w:rsidRPr="00344C0B">
        <w:rPr>
          <w:rStyle w:val="FootnoteReference"/>
        </w:rPr>
        <w:footnoteRef/>
      </w:r>
      <w:r w:rsidRPr="00344C0B">
        <w:t xml:space="preserve"> 47 U.S.C. § 503(b)(2)(E).</w:t>
      </w:r>
    </w:p>
  </w:footnote>
  <w:footnote w:id="28">
    <w:p w:rsidR="00890D8C" w:rsidP="00890D8C" w14:paraId="7BE18F2A" w14:textId="4F7FBE3F">
      <w:pPr>
        <w:pStyle w:val="FootnoteText"/>
      </w:pPr>
      <w:r>
        <w:rPr>
          <w:rStyle w:val="FootnoteReference"/>
        </w:rPr>
        <w:footnoteRef/>
      </w:r>
      <w:r>
        <w:t xml:space="preserve"> </w:t>
      </w:r>
      <w:r w:rsidRPr="00860271">
        <w:rPr>
          <w:i/>
          <w:iCs/>
        </w:rPr>
        <w:t>N</w:t>
      </w:r>
      <w:r w:rsidR="00334F3D">
        <w:rPr>
          <w:i/>
          <w:iCs/>
        </w:rPr>
        <w:t>AL</w:t>
      </w:r>
      <w:r>
        <w:t>, 35 FCC Rcd at 11836.</w:t>
      </w:r>
    </w:p>
  </w:footnote>
  <w:footnote w:id="29">
    <w:p w:rsidR="00911E12" w:rsidP="00911E12" w14:paraId="0507D3CB" w14:textId="7CDD7262">
      <w:pPr>
        <w:pStyle w:val="FootnoteText"/>
      </w:pPr>
      <w:r>
        <w:rPr>
          <w:rStyle w:val="FootnoteReference"/>
        </w:rPr>
        <w:footnoteRef/>
      </w:r>
      <w:r>
        <w:t xml:space="preserve"> </w:t>
      </w:r>
      <w:r w:rsidR="00D74B7B">
        <w:rPr>
          <w:i/>
          <w:iCs/>
        </w:rPr>
        <w:t xml:space="preserve">NAL, </w:t>
      </w:r>
      <w:r w:rsidR="00D74B7B">
        <w:t xml:space="preserve">35 FCC Rcd at 11834.  </w:t>
      </w:r>
      <w:r w:rsidR="00D74B7B">
        <w:rPr>
          <w:i/>
          <w:iCs/>
        </w:rPr>
        <w:t xml:space="preserve">See </w:t>
      </w:r>
      <w:r>
        <w:t xml:space="preserve">47 CFR § 73.840. </w:t>
      </w:r>
    </w:p>
  </w:footnote>
  <w:footnote w:id="30">
    <w:p w:rsidR="00911E12" w:rsidRPr="00AB0F67" w:rsidP="00911E12" w14:paraId="080E8154" w14:textId="3E05B7A5">
      <w:pPr>
        <w:pStyle w:val="FootnoteText"/>
      </w:pPr>
      <w:r>
        <w:rPr>
          <w:rStyle w:val="FootnoteReference"/>
        </w:rPr>
        <w:footnoteRef/>
      </w:r>
      <w:r>
        <w:t xml:space="preserve"> </w:t>
      </w:r>
      <w:r w:rsidR="00D74B7B">
        <w:rPr>
          <w:i/>
          <w:iCs/>
        </w:rPr>
        <w:t xml:space="preserve">NAL, </w:t>
      </w:r>
      <w:r w:rsidR="00D74B7B">
        <w:t xml:space="preserve">35 FCC Rcd at 11834.  </w:t>
      </w:r>
      <w:r w:rsidRPr="008F1FA3">
        <w:rPr>
          <w:i/>
          <w:iCs/>
        </w:rPr>
        <w:t>See</w:t>
      </w:r>
      <w:r w:rsidRPr="008F1FA3">
        <w:t xml:space="preserve"> </w:t>
      </w:r>
      <w:r w:rsidR="00D74B7B">
        <w:t xml:space="preserve">47 U.S.C. § 301, 47 CFR § </w:t>
      </w:r>
      <w:r w:rsidRPr="001C53BB" w:rsidR="00D74B7B">
        <w:t>73.845</w:t>
      </w:r>
      <w:r w:rsidR="00D74B7B">
        <w:t xml:space="preserve">; </w:t>
      </w:r>
      <w:r w:rsidR="00D74B7B">
        <w:rPr>
          <w:i/>
          <w:iCs/>
        </w:rPr>
        <w:t xml:space="preserve">see also </w:t>
      </w:r>
      <w:r w:rsidRPr="008F1FA3">
        <w:t>47 CFR §</w:t>
      </w:r>
      <w:r>
        <w:t> </w:t>
      </w:r>
      <w:r w:rsidRPr="008F1FA3">
        <w:t xml:space="preserve">73.811(a).  </w:t>
      </w:r>
      <w:r>
        <w:t xml:space="preserve">When </w:t>
      </w:r>
      <w:r w:rsidRPr="008F1FA3">
        <w:t xml:space="preserve">the LPFM service </w:t>
      </w:r>
      <w:r>
        <w:t xml:space="preserve">was established </w:t>
      </w:r>
      <w:r w:rsidRPr="008F1FA3">
        <w:t xml:space="preserve">in 2000 as a secondary, noncommercial radio service with a </w:t>
      </w:r>
      <w:r>
        <w:t xml:space="preserve">community focus, the Commission authorized this class of service as LP100.  </w:t>
      </w:r>
      <w:r w:rsidRPr="00710547">
        <w:rPr>
          <w:i/>
          <w:iCs/>
        </w:rPr>
        <w:t>Creation of Low Power Radio Service</w:t>
      </w:r>
      <w:r w:rsidRPr="00710547">
        <w:t>, MM Docket No. 99</w:t>
      </w:r>
      <w:r w:rsidR="009C4540">
        <w:t>-25</w:t>
      </w:r>
      <w:r w:rsidRPr="00710547">
        <w:t>, Report and Order, 15 FCC Rcd 2205 (2000)</w:t>
      </w:r>
      <w:r>
        <w:t xml:space="preserve">.  Since 2000, the Commission has not </w:t>
      </w:r>
      <w:r w:rsidRPr="008F1FA3">
        <w:t>authorize</w:t>
      </w:r>
      <w:r>
        <w:t>d</w:t>
      </w:r>
      <w:r w:rsidRPr="008F1FA3">
        <w:t xml:space="preserve"> LPFM stations with powers exceeding 100 Watts effective radiated power.  </w:t>
      </w:r>
      <w:r w:rsidRPr="008F1FA3">
        <w:rPr>
          <w:i/>
          <w:iCs/>
        </w:rPr>
        <w:t>See Amendments of Parts 73 and 74 to Improve the Low Power FM Radio Service Technical Rules</w:t>
      </w:r>
      <w:r w:rsidRPr="00EC53A1">
        <w:rPr>
          <w:i/>
          <w:iCs/>
        </w:rPr>
        <w:t>; Modernization of Media Regulation Initiative</w:t>
      </w:r>
      <w:r>
        <w:t xml:space="preserve">, </w:t>
      </w:r>
      <w:r w:rsidRPr="008F1FA3">
        <w:t>MB Docket Nos. 19-193 and 17-105, Report and Order, 35 FCC Rcd 4115, 4129, para. 36 (2020)</w:t>
      </w:r>
      <w:r>
        <w:t xml:space="preserve"> (</w:t>
      </w:r>
      <w:r w:rsidRPr="000F0A93">
        <w:rPr>
          <w:i/>
          <w:iCs/>
        </w:rPr>
        <w:t>LPFM Technical Order</w:t>
      </w:r>
      <w:r>
        <w:t>)</w:t>
      </w:r>
      <w:r w:rsidRPr="008F1FA3">
        <w:t xml:space="preserve">, </w:t>
      </w:r>
      <w:r w:rsidRPr="008F1FA3">
        <w:rPr>
          <w:i/>
          <w:iCs/>
        </w:rPr>
        <w:t>recon</w:t>
      </w:r>
      <w:r>
        <w:rPr>
          <w:i/>
          <w:iCs/>
        </w:rPr>
        <w:t>s.</w:t>
      </w:r>
      <w:r w:rsidRPr="008F1FA3">
        <w:rPr>
          <w:i/>
          <w:iCs/>
        </w:rPr>
        <w:t xml:space="preserve"> denied, </w:t>
      </w:r>
      <w:r w:rsidRPr="008F1FA3">
        <w:t xml:space="preserve">Order on Reconsideration, </w:t>
      </w:r>
      <w:r w:rsidR="00FA093F">
        <w:t>36 FCC Rcd 10520</w:t>
      </w:r>
      <w:r>
        <w:t xml:space="preserve"> </w:t>
      </w:r>
      <w:r w:rsidRPr="008F1FA3">
        <w:t>(2021</w:t>
      </w:r>
      <w:r w:rsidR="0023667B">
        <w:t>)</w:t>
      </w:r>
      <w:r>
        <w:t>.</w:t>
      </w:r>
    </w:p>
  </w:footnote>
  <w:footnote w:id="31">
    <w:p w:rsidR="00911E12" w:rsidP="004E2F0A" w14:paraId="2F8438FA" w14:textId="128B3374">
      <w:pPr>
        <w:pStyle w:val="FootnoteText"/>
        <w:keepNext/>
        <w:keepLines/>
        <w:widowControl w:val="0"/>
      </w:pPr>
      <w:r>
        <w:rPr>
          <w:rStyle w:val="FootnoteReference"/>
        </w:rPr>
        <w:footnoteRef/>
      </w:r>
      <w:r>
        <w:t xml:space="preserve"> </w:t>
      </w:r>
      <w:r w:rsidR="00D74B7B">
        <w:rPr>
          <w:i/>
          <w:iCs/>
        </w:rPr>
        <w:t xml:space="preserve">NAL, </w:t>
      </w:r>
      <w:r w:rsidR="00D74B7B">
        <w:t>3</w:t>
      </w:r>
      <w:r w:rsidR="00F23449">
        <w:t xml:space="preserve">5 FCC Rcd at 11834-35.  </w:t>
      </w:r>
      <w:r>
        <w:t xml:space="preserve">The Commission has held, and the D.C. Circuit has affirmed, that operating a licensed broadcast station at a location other than the location specified on a station’s license constitutes a violation of section 301 of the Act. </w:t>
      </w:r>
      <w:r w:rsidR="000F460B">
        <w:t xml:space="preserve"> </w:t>
      </w:r>
      <w:r w:rsidRPr="004352F2">
        <w:rPr>
          <w:i/>
          <w:iCs/>
        </w:rPr>
        <w:t>See</w:t>
      </w:r>
      <w:r>
        <w:rPr>
          <w:i/>
          <w:iCs/>
        </w:rPr>
        <w:t>, </w:t>
      </w:r>
      <w:r w:rsidRPr="004352F2">
        <w:rPr>
          <w:i/>
          <w:iCs/>
        </w:rPr>
        <w:t>e.</w:t>
      </w:r>
      <w:r>
        <w:rPr>
          <w:i/>
          <w:iCs/>
        </w:rPr>
        <w:t>g., Eagle Broadcasting Group, Ltd.</w:t>
      </w:r>
      <w:r>
        <w:t xml:space="preserve">, Memorandum Opinion and Order, 23 FCC Rcd 588, 592, para. 9 (2008), </w:t>
      </w:r>
      <w:r w:rsidRPr="00615297">
        <w:rPr>
          <w:i/>
          <w:iCs/>
        </w:rPr>
        <w:t xml:space="preserve">aff’d sub nom. Eagle Broadcasting Group, Ltd. v. FCC, </w:t>
      </w:r>
      <w:r w:rsidRPr="00615297">
        <w:t>563 F.3d 543 (D.C. Cir. 2009)</w:t>
      </w:r>
      <w:r>
        <w:t xml:space="preserve">; </w:t>
      </w:r>
      <w:r w:rsidRPr="008D5219">
        <w:rPr>
          <w:i/>
          <w:iCs/>
        </w:rPr>
        <w:t>Kingdom of God, Inc.,</w:t>
      </w:r>
      <w:r>
        <w:t xml:space="preserve"> Memorandum Opinion and Order, 31 FCC Rcd 7522, 7526, para. 8 (2016), </w:t>
      </w:r>
      <w:r w:rsidRPr="00BE2540">
        <w:rPr>
          <w:i/>
          <w:iCs/>
        </w:rPr>
        <w:t>recon. denied,</w:t>
      </w:r>
      <w:r>
        <w:t xml:space="preserve"> 32</w:t>
      </w:r>
      <w:r w:rsidR="009C4540">
        <w:t> </w:t>
      </w:r>
      <w:r>
        <w:t xml:space="preserve">FCC Rcd 1599 (2017), </w:t>
      </w:r>
      <w:r w:rsidR="00C501C5">
        <w:rPr>
          <w:i/>
          <w:iCs/>
        </w:rPr>
        <w:t xml:space="preserve">recon. dismissed, </w:t>
      </w:r>
      <w:r>
        <w:t xml:space="preserve">32 FCC Rcd 3654 (2017), </w:t>
      </w:r>
      <w:r w:rsidRPr="00615297">
        <w:rPr>
          <w:i/>
          <w:iCs/>
        </w:rPr>
        <w:t>aff’d sub nom.</w:t>
      </w:r>
      <w:r w:rsidRPr="00615297">
        <w:t xml:space="preserve"> </w:t>
      </w:r>
      <w:r w:rsidRPr="00615297">
        <w:rPr>
          <w:i/>
          <w:iCs/>
        </w:rPr>
        <w:t>Kingdom of God, Inc. v. FCC</w:t>
      </w:r>
      <w:r w:rsidRPr="00615297">
        <w:t>, 719 Fed. Appx. 19 (D.C. Cir. 2018) (per curiam).</w:t>
      </w:r>
    </w:p>
  </w:footnote>
  <w:footnote w:id="32">
    <w:p w:rsidR="00262EDA" w:rsidP="000A5F95" w14:paraId="7703C7DE" w14:textId="7FD53AA0">
      <w:pPr>
        <w:pStyle w:val="FootnoteText"/>
      </w:pPr>
      <w:r>
        <w:rPr>
          <w:rStyle w:val="FootnoteReference"/>
        </w:rPr>
        <w:footnoteRef/>
      </w:r>
      <w:r>
        <w:t xml:space="preserve"> Response at 1-</w:t>
      </w:r>
      <w:r w:rsidR="00C501C5">
        <w:t>2</w:t>
      </w:r>
      <w:r>
        <w:t>.</w:t>
      </w:r>
    </w:p>
  </w:footnote>
  <w:footnote w:id="33">
    <w:p w:rsidR="009B660B" w:rsidRPr="00344C0B" w:rsidP="009B660B" w14:paraId="2CBF5908" w14:textId="799FD7A8">
      <w:pPr>
        <w:pStyle w:val="FootnoteText"/>
      </w:pPr>
      <w:r w:rsidRPr="00344C0B">
        <w:rPr>
          <w:rStyle w:val="FootnoteReference"/>
        </w:rPr>
        <w:footnoteRef/>
      </w:r>
      <w:r w:rsidRPr="00344C0B">
        <w:t xml:space="preserve"> </w:t>
      </w:r>
      <w:r>
        <w:rPr>
          <w:i/>
          <w:iCs/>
        </w:rPr>
        <w:t xml:space="preserve">See </w:t>
      </w:r>
      <w:r w:rsidRPr="00344C0B">
        <w:t>47 CFR § 1.80.</w:t>
      </w:r>
    </w:p>
  </w:footnote>
  <w:footnote w:id="34">
    <w:p w:rsidR="00065276" w:rsidP="00065276" w14:paraId="026AD705" w14:textId="73E51525">
      <w:pPr>
        <w:pStyle w:val="FootnoteText"/>
      </w:pPr>
      <w:r>
        <w:rPr>
          <w:rStyle w:val="FootnoteReference"/>
        </w:rPr>
        <w:footnoteRef/>
      </w:r>
      <w:r>
        <w:t xml:space="preserve"> </w:t>
      </w:r>
      <w:r w:rsidRPr="000B0216">
        <w:rPr>
          <w:i/>
          <w:iCs/>
        </w:rPr>
        <w:t>See</w:t>
      </w:r>
      <w:r>
        <w:t xml:space="preserve"> Jupiter Community Radio, Inc., Application for a Low Power FM Broadcast Station License, File No. BLL-20150722ACD (filed July 22, 2015, granted July 27, 2015).</w:t>
      </w:r>
      <w:r w:rsidR="00CE3B9C">
        <w:t xml:space="preserve">  </w:t>
      </w:r>
      <w:r w:rsidR="00CE3B9C">
        <w:rPr>
          <w:szCs w:val="22"/>
        </w:rPr>
        <w:t xml:space="preserve">The Station’s license also </w:t>
      </w:r>
      <w:r w:rsidR="008B529E">
        <w:rPr>
          <w:szCs w:val="22"/>
        </w:rPr>
        <w:t xml:space="preserve">expressly </w:t>
      </w:r>
      <w:r w:rsidR="00CE3B9C">
        <w:rPr>
          <w:szCs w:val="22"/>
        </w:rPr>
        <w:t>reflects</w:t>
      </w:r>
      <w:r w:rsidR="00CE3B9C">
        <w:t xml:space="preserve"> section 301 of the Act in the following language</w:t>
      </w:r>
      <w:r w:rsidR="000F0111">
        <w:t xml:space="preserve"> contained in the license</w:t>
      </w:r>
      <w:r w:rsidR="00CE3B9C">
        <w:t xml:space="preserve">: “This license shall not vest in the licensee any right to operate the station nor any right in the use of the frequency designated in the license beyond the term hereof, nor in any other manner than authorized herein.” </w:t>
      </w:r>
      <w:r w:rsidR="004802A5">
        <w:t xml:space="preserve"> (Authorization </w:t>
      </w:r>
      <w:r w:rsidR="00C635BE">
        <w:t xml:space="preserve">on file in </w:t>
      </w:r>
      <w:r w:rsidRPr="00B63FC8" w:rsidR="00C635BE">
        <w:rPr>
          <w:color w:val="000000"/>
          <w:spacing w:val="-2"/>
          <w:szCs w:val="22"/>
        </w:rPr>
        <w:t>EB-FIELDSCR-17-00025789</w:t>
      </w:r>
      <w:r w:rsidR="006120A0">
        <w:rPr>
          <w:color w:val="000000"/>
          <w:spacing w:val="-2"/>
          <w:szCs w:val="22"/>
        </w:rPr>
        <w:t xml:space="preserve"> and available at </w:t>
      </w:r>
      <w:hyperlink r:id="rId1" w:history="1">
        <w:r w:rsidRPr="0018074F" w:rsidR="00BF3E09">
          <w:rPr>
            <w:rStyle w:val="Hyperlink"/>
            <w:spacing w:val="-2"/>
            <w:szCs w:val="22"/>
          </w:rPr>
          <w:t>fcc.gov/media/filing-systems-and-databases</w:t>
        </w:r>
      </w:hyperlink>
      <w:r w:rsidR="006120A0">
        <w:rPr>
          <w:color w:val="000000"/>
          <w:spacing w:val="-2"/>
          <w:szCs w:val="22"/>
        </w:rPr>
        <w:t>.</w:t>
      </w:r>
      <w:r w:rsidR="0078457A">
        <w:t>)</w:t>
      </w:r>
      <w:r w:rsidR="00ED4ECB">
        <w:t xml:space="preserve"> </w:t>
      </w:r>
      <w:r w:rsidRPr="00ED4ECB" w:rsidR="00ED4ECB">
        <w:rPr>
          <w:i/>
          <w:iCs/>
        </w:rPr>
        <w:t xml:space="preserve"> </w:t>
      </w:r>
      <w:r w:rsidR="00ED4ECB">
        <w:rPr>
          <w:i/>
          <w:iCs/>
        </w:rPr>
        <w:t xml:space="preserve">See </w:t>
      </w:r>
      <w:r w:rsidR="00ED4ECB">
        <w:t>47 U.S.C. § 301.</w:t>
      </w:r>
      <w:r w:rsidR="00CE3B9C">
        <w:rPr>
          <w:color w:val="000000"/>
          <w:spacing w:val="-2"/>
          <w:szCs w:val="22"/>
        </w:rPr>
        <w:t xml:space="preserve"> </w:t>
      </w:r>
      <w:r w:rsidR="00CE3B9C">
        <w:t xml:space="preserve"> </w:t>
      </w:r>
    </w:p>
  </w:footnote>
  <w:footnote w:id="35">
    <w:p w:rsidR="00065276" w:rsidP="00065276" w14:paraId="0E583C99" w14:textId="0B599558">
      <w:pPr>
        <w:pStyle w:val="FootnoteText"/>
      </w:pPr>
      <w:r>
        <w:rPr>
          <w:rStyle w:val="FootnoteReference"/>
        </w:rPr>
        <w:footnoteRef/>
      </w:r>
      <w:r>
        <w:t xml:space="preserve"> </w:t>
      </w:r>
      <w:r w:rsidR="00C501C5">
        <w:rPr>
          <w:i/>
          <w:iCs/>
        </w:rPr>
        <w:t xml:space="preserve">See </w:t>
      </w:r>
      <w:r>
        <w:t xml:space="preserve">47 CFR §§ 73.811(a), 73.840, 73.845. </w:t>
      </w:r>
    </w:p>
  </w:footnote>
  <w:footnote w:id="36">
    <w:p w:rsidR="00065276" w:rsidP="00065276" w14:paraId="6A196D5B" w14:textId="35F23A2C">
      <w:pPr>
        <w:pStyle w:val="FootnoteText"/>
      </w:pPr>
      <w:r>
        <w:rPr>
          <w:rStyle w:val="FootnoteReference"/>
        </w:rPr>
        <w:footnoteRef/>
      </w:r>
      <w:r>
        <w:t xml:space="preserve"> </w:t>
      </w:r>
      <w:r w:rsidR="00C501C5">
        <w:rPr>
          <w:i/>
          <w:iCs/>
        </w:rPr>
        <w:t xml:space="preserve">See </w:t>
      </w:r>
      <w:r w:rsidR="00C501C5">
        <w:t>47 CFR § 73.811(a).</w:t>
      </w:r>
      <w:r>
        <w:t xml:space="preserve"> </w:t>
      </w:r>
    </w:p>
  </w:footnote>
  <w:footnote w:id="37">
    <w:p w:rsidR="00185191" w:rsidRPr="00981F23" w:rsidP="00AB32F3" w14:paraId="2500A4A7" w14:textId="294AD16A">
      <w:pPr>
        <w:pStyle w:val="FootnoteText"/>
        <w:keepNext/>
        <w:keepLines/>
        <w:rPr>
          <w:color w:val="000000" w:themeColor="text1"/>
        </w:rPr>
      </w:pPr>
      <w:r w:rsidRPr="00981F23">
        <w:rPr>
          <w:rStyle w:val="FootnoteReference"/>
          <w:color w:val="000000" w:themeColor="text1"/>
        </w:rPr>
        <w:footnoteRef/>
      </w:r>
      <w:r w:rsidRPr="00981F23">
        <w:rPr>
          <w:color w:val="000000" w:themeColor="text1"/>
        </w:rPr>
        <w:t xml:space="preserve"> 47 U.S.C. § 312(f)(1).  </w:t>
      </w:r>
      <w:r w:rsidRPr="00981F23">
        <w:rPr>
          <w:color w:val="000000" w:themeColor="text1"/>
          <w:spacing w:val="-3"/>
          <w:szCs w:val="22"/>
        </w:rPr>
        <w:t xml:space="preserve">The legislative history to </w:t>
      </w:r>
      <w:r>
        <w:rPr>
          <w:color w:val="000000" w:themeColor="text1"/>
          <w:spacing w:val="-3"/>
          <w:szCs w:val="22"/>
        </w:rPr>
        <w:t>s</w:t>
      </w:r>
      <w:r w:rsidRPr="00981F23">
        <w:rPr>
          <w:color w:val="000000" w:themeColor="text1"/>
          <w:spacing w:val="-3"/>
          <w:szCs w:val="22"/>
        </w:rPr>
        <w:t xml:space="preserve">ection 312(f)(1) of the Act clarifies that this definition of willful applies to both </w:t>
      </w:r>
      <w:r>
        <w:rPr>
          <w:color w:val="000000" w:themeColor="text1"/>
          <w:spacing w:val="-3"/>
          <w:szCs w:val="22"/>
        </w:rPr>
        <w:t>s</w:t>
      </w:r>
      <w:r w:rsidRPr="00981F23">
        <w:rPr>
          <w:color w:val="000000" w:themeColor="text1"/>
          <w:spacing w:val="-3"/>
          <w:szCs w:val="22"/>
        </w:rPr>
        <w:t xml:space="preserve">ections 312 and 503(b) of the Act, and the Commission has so interpreted the term in the </w:t>
      </w:r>
      <w:r>
        <w:rPr>
          <w:color w:val="000000" w:themeColor="text1"/>
          <w:spacing w:val="-3"/>
          <w:szCs w:val="22"/>
        </w:rPr>
        <w:t>s</w:t>
      </w:r>
      <w:r w:rsidRPr="00981F23">
        <w:rPr>
          <w:color w:val="000000" w:themeColor="text1"/>
          <w:spacing w:val="-3"/>
          <w:szCs w:val="22"/>
        </w:rPr>
        <w:t xml:space="preserve">ection 503(b) context.  </w:t>
      </w:r>
      <w:r w:rsidRPr="00981F23">
        <w:rPr>
          <w:color w:val="000000" w:themeColor="text1"/>
        </w:rPr>
        <w:t>H.R. Rep. No. 97-765, 97</w:t>
      </w:r>
      <w:r w:rsidRPr="00981F23">
        <w:rPr>
          <w:color w:val="000000" w:themeColor="text1"/>
          <w:vertAlign w:val="superscript"/>
        </w:rPr>
        <w:t>th</w:t>
      </w:r>
      <w:r w:rsidRPr="00981F23">
        <w:rPr>
          <w:color w:val="000000" w:themeColor="text1"/>
        </w:rPr>
        <w:t xml:space="preserve"> Cong. 2d Sess. </w:t>
      </w:r>
      <w:r w:rsidR="00FA672A">
        <w:rPr>
          <w:color w:val="000000" w:themeColor="text1"/>
        </w:rPr>
        <w:t>50-</w:t>
      </w:r>
      <w:r w:rsidRPr="00981F23">
        <w:rPr>
          <w:color w:val="000000" w:themeColor="text1"/>
        </w:rPr>
        <w:t>51 (1982) (“</w:t>
      </w:r>
      <w:r w:rsidRPr="00981F23">
        <w:rPr>
          <w:rStyle w:val="documentbody"/>
          <w:color w:val="000000" w:themeColor="text1"/>
        </w:rPr>
        <w:t xml:space="preserve">This provision [inserted in </w:t>
      </w:r>
      <w:r>
        <w:rPr>
          <w:rStyle w:val="documentbody"/>
          <w:color w:val="000000" w:themeColor="text1"/>
        </w:rPr>
        <w:t>s</w:t>
      </w:r>
      <w:r w:rsidRPr="00981F23">
        <w:rPr>
          <w:rStyle w:val="documentbody"/>
          <w:color w:val="000000" w:themeColor="text1"/>
        </w:rPr>
        <w:t xml:space="preserve">ection 312] defines the terms ‘willful’ and ‘repeated’ for purposes of section </w:t>
      </w:r>
      <w:r w:rsidRPr="00981F23">
        <w:rPr>
          <w:rStyle w:val="searchterm"/>
          <w:color w:val="000000" w:themeColor="text1"/>
        </w:rPr>
        <w:t>312</w:t>
      </w:r>
      <w:r w:rsidRPr="00981F23">
        <w:rPr>
          <w:rStyle w:val="documentbody"/>
          <w:color w:val="000000" w:themeColor="text1"/>
        </w:rPr>
        <w:t xml:space="preserve">, and for any other relevant section of the act (e.g., </w:t>
      </w:r>
      <w:r>
        <w:rPr>
          <w:rStyle w:val="documentbody"/>
          <w:color w:val="000000" w:themeColor="text1"/>
        </w:rPr>
        <w:t>s</w:t>
      </w:r>
      <w:r w:rsidRPr="00981F23">
        <w:rPr>
          <w:rStyle w:val="documentbody"/>
          <w:color w:val="000000" w:themeColor="text1"/>
        </w:rPr>
        <w:t>ection 503). . . .  As defined[,] . . . ‘willful’ means that the licensee knew that he was doing the act in question, regardless of whether there was an intent to violate the law.</w:t>
      </w:r>
      <w:r w:rsidR="002F68F4">
        <w:rPr>
          <w:rStyle w:val="documentbody"/>
          <w:color w:val="000000" w:themeColor="text1"/>
        </w:rPr>
        <w:t xml:space="preserve"> . . .</w:t>
      </w:r>
      <w:r w:rsidRPr="00981F23">
        <w:rPr>
          <w:rStyle w:val="documentbody"/>
          <w:color w:val="000000" w:themeColor="text1"/>
        </w:rPr>
        <w:t xml:space="preserve">”); </w:t>
      </w:r>
      <w:r w:rsidRPr="00981F23">
        <w:rPr>
          <w:i/>
          <w:color w:val="000000" w:themeColor="text1"/>
        </w:rPr>
        <w:t>see, e.g.</w:t>
      </w:r>
      <w:r w:rsidRPr="00981F23">
        <w:rPr>
          <w:color w:val="000000" w:themeColor="text1"/>
        </w:rPr>
        <w:t>,</w:t>
      </w:r>
      <w:r w:rsidRPr="00981F23">
        <w:rPr>
          <w:i/>
          <w:color w:val="000000" w:themeColor="text1"/>
        </w:rPr>
        <w:t xml:space="preserve"> S. Cal. Broad. Co.</w:t>
      </w:r>
      <w:r w:rsidRPr="00981F23">
        <w:rPr>
          <w:color w:val="000000" w:themeColor="text1"/>
        </w:rPr>
        <w:t>, Memorandum Opinion and Order, 6 FCC Rcd 4387, 43</w:t>
      </w:r>
      <w:r w:rsidR="00C501C5">
        <w:rPr>
          <w:color w:val="000000" w:themeColor="text1"/>
        </w:rPr>
        <w:t>87-</w:t>
      </w:r>
      <w:r w:rsidRPr="00981F23">
        <w:rPr>
          <w:color w:val="000000" w:themeColor="text1"/>
        </w:rPr>
        <w:t xml:space="preserve">88, para. 5 (1991), </w:t>
      </w:r>
      <w:r w:rsidRPr="00981F23">
        <w:rPr>
          <w:i/>
          <w:color w:val="000000" w:themeColor="text1"/>
        </w:rPr>
        <w:t>recon. denied</w:t>
      </w:r>
      <w:r w:rsidRPr="00981F23">
        <w:rPr>
          <w:color w:val="000000" w:themeColor="text1"/>
        </w:rPr>
        <w:t>,</w:t>
      </w:r>
      <w:r w:rsidRPr="00981F23">
        <w:rPr>
          <w:i/>
          <w:color w:val="000000" w:themeColor="text1"/>
        </w:rPr>
        <w:t xml:space="preserve"> </w:t>
      </w:r>
      <w:r w:rsidRPr="00981F23">
        <w:rPr>
          <w:color w:val="000000" w:themeColor="text1"/>
        </w:rPr>
        <w:t>7 FCC Rcd 3454 (1992).</w:t>
      </w:r>
      <w:r w:rsidRPr="00981F23">
        <w:rPr>
          <w:color w:val="000000" w:themeColor="text1"/>
          <w:spacing w:val="-3"/>
          <w:szCs w:val="22"/>
        </w:rPr>
        <w:t xml:space="preserve">  </w:t>
      </w:r>
    </w:p>
  </w:footnote>
  <w:footnote w:id="38">
    <w:p w:rsidR="002739C5" w:rsidP="002739C5" w14:paraId="1525412F" w14:textId="7D60DAE2">
      <w:pPr>
        <w:pStyle w:val="FootnoteText"/>
      </w:pPr>
      <w:r>
        <w:rPr>
          <w:rStyle w:val="FootnoteReference"/>
        </w:rPr>
        <w:footnoteRef/>
      </w:r>
      <w:r>
        <w:t xml:space="preserve"> </w:t>
      </w:r>
      <w:r w:rsidRPr="004352F2">
        <w:rPr>
          <w:i/>
          <w:iCs/>
        </w:rPr>
        <w:t>See</w:t>
      </w:r>
      <w:r w:rsidR="00844622">
        <w:rPr>
          <w:i/>
          <w:iCs/>
        </w:rPr>
        <w:t>,</w:t>
      </w:r>
      <w:r w:rsidRPr="004352F2">
        <w:rPr>
          <w:i/>
          <w:iCs/>
        </w:rPr>
        <w:t xml:space="preserve"> e.</w:t>
      </w:r>
      <w:r>
        <w:rPr>
          <w:i/>
          <w:iCs/>
        </w:rPr>
        <w:t>g., Air-Tel, LLC</w:t>
      </w:r>
      <w:r>
        <w:t xml:space="preserve">, Forfeiture Order, </w:t>
      </w:r>
      <w:r w:rsidR="00D817AE">
        <w:t xml:space="preserve">36 </w:t>
      </w:r>
      <w:r>
        <w:t>FCC</w:t>
      </w:r>
      <w:r w:rsidR="00D817AE">
        <w:t xml:space="preserve"> Rcd 8867, 8874</w:t>
      </w:r>
      <w:r>
        <w:t>, para. 17 (2021)</w:t>
      </w:r>
      <w:r w:rsidR="00233CD3">
        <w:t xml:space="preserve"> (holding a licensee responsible for violations of the Act and the Commission’s rules when its engineer mistakenly but unlawfully programmed equipment to operate outside the scope of the licensee’s authorization); </w:t>
      </w:r>
      <w:r w:rsidRPr="00233CD3" w:rsidR="00233CD3">
        <w:rPr>
          <w:i/>
          <w:iCs/>
        </w:rPr>
        <w:t>see also</w:t>
      </w:r>
      <w:r w:rsidR="00233CD3">
        <w:t xml:space="preserve"> </w:t>
      </w:r>
      <w:r w:rsidR="00FF5DE5">
        <w:rPr>
          <w:i/>
          <w:iCs/>
        </w:rPr>
        <w:t xml:space="preserve">Eure Family Limited Partnership, </w:t>
      </w:r>
      <w:r w:rsidR="00233CD3">
        <w:t xml:space="preserve">Memorandum Opinion and Order, </w:t>
      </w:r>
      <w:r w:rsidR="00FF5DE5">
        <w:t>17</w:t>
      </w:r>
      <w:r w:rsidR="00233CD3">
        <w:t xml:space="preserve"> FCC </w:t>
      </w:r>
      <w:r w:rsidR="00FF5DE5">
        <w:t>Rcd</w:t>
      </w:r>
      <w:r w:rsidR="00233CD3">
        <w:t xml:space="preserve"> </w:t>
      </w:r>
      <w:r w:rsidR="00FF5DE5">
        <w:t xml:space="preserve">21861, 21863-64, para. 7 (2002) </w:t>
      </w:r>
      <w:r w:rsidR="00233CD3">
        <w:t>(</w:t>
      </w:r>
      <w:r w:rsidR="00E75F11">
        <w:t xml:space="preserve">stating that the </w:t>
      </w:r>
      <w:r w:rsidR="00C368AC">
        <w:t>Commission</w:t>
      </w:r>
      <w:r w:rsidR="00E75F11">
        <w:t xml:space="preserve"> has “</w:t>
      </w:r>
      <w:r w:rsidR="00C368AC">
        <w:t>consistently refused to excuse licensees from forfeiture penalties where actions of employees or independent contractors have resulted in violations</w:t>
      </w:r>
      <w:bookmarkStart w:id="9" w:name="_Hlk85459527"/>
      <w:r w:rsidR="00C368AC">
        <w:t xml:space="preserve">”) (citing </w:t>
      </w:r>
      <w:r w:rsidRPr="00C368AC" w:rsidR="00C368AC">
        <w:rPr>
          <w:i/>
          <w:iCs/>
        </w:rPr>
        <w:t>American Paging, Inc. of Virginia</w:t>
      </w:r>
      <w:r w:rsidR="00C368AC">
        <w:t xml:space="preserve">, </w:t>
      </w:r>
      <w:r w:rsidR="00E75F11">
        <w:t xml:space="preserve">Memorandum Opinion and Order, </w:t>
      </w:r>
      <w:r w:rsidR="00C368AC">
        <w:t>12 FCC Rcd 10417, 10420, para. 11 (W</w:t>
      </w:r>
      <w:r w:rsidR="00A05F69">
        <w:t>TB</w:t>
      </w:r>
      <w:r w:rsidR="00E8403F">
        <w:t xml:space="preserve"> </w:t>
      </w:r>
      <w:r w:rsidR="00C368AC">
        <w:t>1997)</w:t>
      </w:r>
      <w:r w:rsidR="00495570">
        <w:t>,</w:t>
      </w:r>
      <w:r w:rsidR="00C321D8">
        <w:t xml:space="preserve"> quoting </w:t>
      </w:r>
      <w:r w:rsidR="007412BB">
        <w:rPr>
          <w:i/>
          <w:iCs/>
        </w:rPr>
        <w:t xml:space="preserve">Triad Broadcasting Company, Inc., </w:t>
      </w:r>
      <w:r w:rsidR="00C321D8">
        <w:t>Memorandum Opinion and Order, 96 FCC 2d 1235, 1244</w:t>
      </w:r>
      <w:r w:rsidR="007412BB">
        <w:t>, para. 21 (1984)</w:t>
      </w:r>
      <w:r w:rsidR="00C368AC">
        <w:t>)</w:t>
      </w:r>
      <w:r>
        <w:t>.</w:t>
      </w:r>
      <w:bookmarkEnd w:id="9"/>
    </w:p>
  </w:footnote>
  <w:footnote w:id="39">
    <w:p w:rsidR="00584501" w:rsidP="00584501" w14:paraId="190F332E" w14:textId="77777777">
      <w:pPr>
        <w:pStyle w:val="FootnoteText"/>
      </w:pPr>
      <w:r>
        <w:rPr>
          <w:rStyle w:val="FootnoteReference"/>
        </w:rPr>
        <w:footnoteRef/>
      </w:r>
      <w:r>
        <w:t xml:space="preserve"> </w:t>
      </w:r>
      <w:r w:rsidRPr="00344C0B">
        <w:rPr>
          <w:i/>
        </w:rPr>
        <w:t>Forfeiture Policy Statement</w:t>
      </w:r>
      <w:r w:rsidRPr="00344C0B">
        <w:t>, 12 FCC Rcd 170</w:t>
      </w:r>
      <w:r>
        <w:t>99, para. 22 (“The Commission expects, and it is each licensee’s obligation, to know and comply with all of the Commission’s rules.”).</w:t>
      </w:r>
    </w:p>
  </w:footnote>
  <w:footnote w:id="40">
    <w:p w:rsidR="00262EDA" w:rsidP="008A062A" w14:paraId="15513F48" w14:textId="6488CBDB">
      <w:pPr>
        <w:pStyle w:val="FootnoteText"/>
      </w:pPr>
      <w:r>
        <w:rPr>
          <w:rStyle w:val="FootnoteReference"/>
        </w:rPr>
        <w:footnoteRef/>
      </w:r>
      <w:r>
        <w:t xml:space="preserve"> </w:t>
      </w:r>
      <w:r w:rsidRPr="00860271">
        <w:rPr>
          <w:i/>
          <w:iCs/>
        </w:rPr>
        <w:t>N</w:t>
      </w:r>
      <w:r w:rsidR="00334F3D">
        <w:rPr>
          <w:i/>
          <w:iCs/>
        </w:rPr>
        <w:t>AL</w:t>
      </w:r>
      <w:r>
        <w:t>, 35 FCC Rcd at 11835</w:t>
      </w:r>
      <w:r w:rsidR="00D7459A">
        <w:t xml:space="preserve">; </w:t>
      </w:r>
      <w:r w:rsidR="00C443FE">
        <w:t>47 CFR</w:t>
      </w:r>
      <w:r w:rsidR="0012027B">
        <w:t xml:space="preserve"> §</w:t>
      </w:r>
      <w:r w:rsidR="00C443FE">
        <w:t xml:space="preserve"> 73.878(a); </w:t>
      </w:r>
      <w:r w:rsidR="00C443FE">
        <w:rPr>
          <w:i/>
          <w:iCs/>
        </w:rPr>
        <w:t>see also</w:t>
      </w:r>
      <w:r w:rsidR="00C443FE">
        <w:t xml:space="preserve"> 47 U.S.C. </w:t>
      </w:r>
      <w:r w:rsidR="00E51664">
        <w:t>§ 303(n) (the Commission has “authority to inspect all radio installations associated with stations required to be licensed by the Act</w:t>
      </w:r>
      <w:r w:rsidR="009C40AB">
        <w:t xml:space="preserve"> . . .”)</w:t>
      </w:r>
      <w:r>
        <w:t>.</w:t>
      </w:r>
    </w:p>
  </w:footnote>
  <w:footnote w:id="41">
    <w:p w:rsidR="00262EDA" w:rsidP="00891DAD" w14:paraId="07F97C7A" w14:textId="2E6651AE">
      <w:pPr>
        <w:pStyle w:val="FootnoteText"/>
      </w:pPr>
      <w:r>
        <w:rPr>
          <w:rStyle w:val="FootnoteReference"/>
        </w:rPr>
        <w:footnoteRef/>
      </w:r>
      <w:r>
        <w:t xml:space="preserve"> Response at 3-4</w:t>
      </w:r>
      <w:r w:rsidR="00411600">
        <w:t>, Declaration of Wayne Manning</w:t>
      </w:r>
      <w:r>
        <w:t>.</w:t>
      </w:r>
    </w:p>
  </w:footnote>
  <w:footnote w:id="42">
    <w:p w:rsidR="00C15FE0" w:rsidRPr="00AB0F67" w:rsidP="00C15FE0" w14:paraId="17153EF0" w14:textId="2B750E0C">
      <w:pPr>
        <w:pStyle w:val="FootnoteText"/>
      </w:pPr>
      <w:r>
        <w:rPr>
          <w:rStyle w:val="FootnoteReference"/>
        </w:rPr>
        <w:footnoteRef/>
      </w:r>
      <w:r>
        <w:t xml:space="preserve"> </w:t>
      </w:r>
      <w:r w:rsidRPr="009D39DC" w:rsidR="009D39DC">
        <w:rPr>
          <w:i/>
          <w:iCs/>
        </w:rPr>
        <w:t xml:space="preserve">See </w:t>
      </w:r>
      <w:r>
        <w:rPr>
          <w:i/>
          <w:iCs/>
        </w:rPr>
        <w:t xml:space="preserve">D.T.V., LLC, </w:t>
      </w:r>
      <w:r>
        <w:t>Forfeiture Order, 31 FCC Rcd 2650, 2654</w:t>
      </w:r>
      <w:r w:rsidR="00E6664C">
        <w:t>, para. 12</w:t>
      </w:r>
      <w:r>
        <w:t xml:space="preserve"> (2016), </w:t>
      </w:r>
      <w:r>
        <w:rPr>
          <w:i/>
          <w:iCs/>
        </w:rPr>
        <w:t>recon</w:t>
      </w:r>
      <w:r w:rsidR="00F81505">
        <w:rPr>
          <w:i/>
          <w:iCs/>
        </w:rPr>
        <w:t>.</w:t>
      </w:r>
      <w:r>
        <w:rPr>
          <w:i/>
          <w:iCs/>
        </w:rPr>
        <w:t xml:space="preserve"> </w:t>
      </w:r>
      <w:r w:rsidR="00C96432">
        <w:rPr>
          <w:i/>
          <w:iCs/>
        </w:rPr>
        <w:t>dismissed</w:t>
      </w:r>
      <w:r>
        <w:rPr>
          <w:i/>
          <w:iCs/>
        </w:rPr>
        <w:t xml:space="preserve">, </w:t>
      </w:r>
      <w:r>
        <w:t>Memorandum Opinion and Order, 31 FCC Rcd 8927 (EB 2016)</w:t>
      </w:r>
      <w:r w:rsidR="009D39DC">
        <w:t xml:space="preserve"> (</w:t>
      </w:r>
      <w:r w:rsidR="00041632">
        <w:t>“[</w:t>
      </w:r>
      <w:r w:rsidR="009D39DC">
        <w:t>E</w:t>
      </w:r>
      <w:r w:rsidR="00041632">
        <w:t>]</w:t>
      </w:r>
      <w:r w:rsidR="009D39DC">
        <w:t xml:space="preserve">ffective enforcement of the rules </w:t>
      </w:r>
      <w:r w:rsidR="00041632">
        <w:t>‘</w:t>
      </w:r>
      <w:r w:rsidR="009D39DC">
        <w:t xml:space="preserve">requires licensees to provide FCC agents with </w:t>
      </w:r>
      <w:r w:rsidRPr="00DD32CE" w:rsidR="009D39DC">
        <w:rPr>
          <w:i/>
          <w:iCs/>
        </w:rPr>
        <w:t>timely</w:t>
      </w:r>
      <w:r w:rsidR="009D39DC">
        <w:t xml:space="preserve"> access to their facilities</w:t>
      </w:r>
      <w:r w:rsidR="00041632">
        <w:t>’</w:t>
      </w:r>
      <w:r w:rsidR="009D39DC">
        <w:t>”)</w:t>
      </w:r>
      <w:r w:rsidR="007E5879">
        <w:t>.</w:t>
      </w:r>
    </w:p>
  </w:footnote>
  <w:footnote w:id="43">
    <w:p w:rsidR="004D76A1" w:rsidRPr="00AB0F67" w:rsidP="004D76A1" w14:paraId="45185B6D" w14:textId="43481D42">
      <w:pPr>
        <w:pStyle w:val="FootnoteText"/>
      </w:pPr>
      <w:r>
        <w:rPr>
          <w:rStyle w:val="FootnoteReference"/>
        </w:rPr>
        <w:footnoteRef/>
      </w:r>
      <w:r>
        <w:t xml:space="preserve"> </w:t>
      </w:r>
      <w:r w:rsidRPr="00BF06EF" w:rsidR="00054701">
        <w:rPr>
          <w:i/>
          <w:iCs/>
        </w:rPr>
        <w:t>See</w:t>
      </w:r>
      <w:r w:rsidR="00844622">
        <w:rPr>
          <w:i/>
          <w:iCs/>
        </w:rPr>
        <w:t>,</w:t>
      </w:r>
      <w:r w:rsidRPr="00BF06EF" w:rsidR="00054701">
        <w:rPr>
          <w:i/>
          <w:iCs/>
        </w:rPr>
        <w:t xml:space="preserve"> e.g., </w:t>
      </w:r>
      <w:r w:rsidRPr="00BF06EF">
        <w:rPr>
          <w:i/>
          <w:iCs/>
        </w:rPr>
        <w:t>Dialing Services,</w:t>
      </w:r>
      <w:r w:rsidR="00E6664C">
        <w:rPr>
          <w:i/>
          <w:iCs/>
        </w:rPr>
        <w:t xml:space="preserve"> LLC,</w:t>
      </w:r>
      <w:r w:rsidRPr="00BF06EF">
        <w:rPr>
          <w:i/>
          <w:iCs/>
        </w:rPr>
        <w:t xml:space="preserve"> </w:t>
      </w:r>
      <w:r w:rsidRPr="00BF06EF">
        <w:t>Forfeiture Order, 32 FCC Rcd 6192, 6204</w:t>
      </w:r>
      <w:r w:rsidR="00E6664C">
        <w:t>, para. 32</w:t>
      </w:r>
      <w:r w:rsidRPr="00BF06EF">
        <w:t xml:space="preserve"> (2017).</w:t>
      </w:r>
      <w:r w:rsidRPr="00BF06EF" w:rsidR="003901D5">
        <w:t xml:space="preserve">  </w:t>
      </w:r>
      <w:r w:rsidRPr="00BF06EF" w:rsidR="003901D5">
        <w:rPr>
          <w:i/>
          <w:iCs/>
        </w:rPr>
        <w:t>See also AT&amp;T Wireless Services, Inc</w:t>
      </w:r>
      <w:r w:rsidRPr="00BF06EF" w:rsidR="003901D5">
        <w:t>., Forfeiture Order, 17 FCC Rcd 21866, 21875</w:t>
      </w:r>
      <w:r w:rsidR="00F452BF">
        <w:t>, para. 26</w:t>
      </w:r>
      <w:r w:rsidRPr="00BF06EF" w:rsidR="003901D5">
        <w:t xml:space="preserve"> (2002) (“All licensees and</w:t>
      </w:r>
      <w:r w:rsidR="00205181">
        <w:t xml:space="preserve"> Commission regulatees</w:t>
      </w:r>
      <w:r w:rsidRPr="00BF06EF" w:rsidR="003901D5">
        <w:t xml:space="preserve"> are expected to promptly take corrective action when violations are brought to their attention</w:t>
      </w:r>
      <w:r w:rsidR="003901D5">
        <w:t>”)</w:t>
      </w:r>
      <w:r w:rsidR="00167721">
        <w:t>.</w:t>
      </w:r>
    </w:p>
  </w:footnote>
  <w:footnote w:id="44">
    <w:p w:rsidR="001475C8" w14:paraId="73CBAC79" w14:textId="2D7B636C">
      <w:pPr>
        <w:pStyle w:val="FootnoteText"/>
      </w:pPr>
      <w:r>
        <w:rPr>
          <w:rStyle w:val="FootnoteReference"/>
        </w:rPr>
        <w:footnoteRef/>
      </w:r>
      <w:r>
        <w:t xml:space="preserve"> Declaration of Wayne Manning.</w:t>
      </w:r>
    </w:p>
  </w:footnote>
  <w:footnote w:id="45">
    <w:p w:rsidR="00262EDA" w:rsidP="00E602D9" w14:paraId="6F21A93D" w14:textId="4604FF00">
      <w:pPr>
        <w:pStyle w:val="FootnoteText"/>
      </w:pPr>
      <w:r>
        <w:rPr>
          <w:rStyle w:val="FootnoteReference"/>
        </w:rPr>
        <w:footnoteRef/>
      </w:r>
      <w:r>
        <w:t xml:space="preserve"> </w:t>
      </w:r>
      <w:r w:rsidRPr="00E11BB8">
        <w:rPr>
          <w:i/>
          <w:iCs/>
        </w:rPr>
        <w:t xml:space="preserve">See </w:t>
      </w:r>
      <w:r>
        <w:t>47 CFR §</w:t>
      </w:r>
      <w:r w:rsidRPr="001C53BB">
        <w:t xml:space="preserve"> </w:t>
      </w:r>
      <w:r>
        <w:t xml:space="preserve">11.11(a).  LPFM stations are included in the Commission’s definition of EAS participants.  At a minimum, </w:t>
      </w:r>
      <w:r w:rsidR="009C658F">
        <w:t xml:space="preserve">each </w:t>
      </w:r>
      <w:r>
        <w:t>LPFM station must install a properly functioning EAS decoder to receive emergency alerts and provide audio message</w:t>
      </w:r>
      <w:r w:rsidR="009C658F">
        <w:t>s</w:t>
      </w:r>
      <w:r>
        <w:t xml:space="preserve"> to </w:t>
      </w:r>
      <w:r w:rsidR="009C658F">
        <w:t>their</w:t>
      </w:r>
      <w:r>
        <w:t xml:space="preserve"> audience.  </w:t>
      </w:r>
      <w:r w:rsidRPr="005E6474">
        <w:rPr>
          <w:i/>
          <w:iCs/>
        </w:rPr>
        <w:t>Id.</w:t>
      </w:r>
    </w:p>
  </w:footnote>
  <w:footnote w:id="46">
    <w:p w:rsidR="00FE70B8" w:rsidP="00FE70B8" w14:paraId="1286EB58" w14:textId="29C20409">
      <w:pPr>
        <w:pStyle w:val="FootnoteText"/>
      </w:pPr>
      <w:r>
        <w:rPr>
          <w:rStyle w:val="FootnoteReference"/>
        </w:rPr>
        <w:footnoteRef/>
      </w:r>
      <w:r w:rsidRPr="00FE70B8">
        <w:rPr>
          <w:i/>
          <w:iCs/>
        </w:rPr>
        <w:t xml:space="preserve"> </w:t>
      </w:r>
      <w:r w:rsidRPr="00860271">
        <w:rPr>
          <w:i/>
          <w:iCs/>
        </w:rPr>
        <w:t>N</w:t>
      </w:r>
      <w:r w:rsidR="00334F3D">
        <w:rPr>
          <w:i/>
          <w:iCs/>
        </w:rPr>
        <w:t>AL</w:t>
      </w:r>
      <w:r>
        <w:t>, 35 FCC Rcd at 11835.</w:t>
      </w:r>
    </w:p>
  </w:footnote>
  <w:footnote w:id="47">
    <w:p w:rsidR="00262EDA" w:rsidP="00DB2399" w14:paraId="4E4D4AD4" w14:textId="4C1743F8">
      <w:pPr>
        <w:pStyle w:val="FootnoteText"/>
      </w:pPr>
      <w:r>
        <w:rPr>
          <w:rStyle w:val="FootnoteReference"/>
        </w:rPr>
        <w:footnoteRef/>
      </w:r>
      <w:r>
        <w:t xml:space="preserve"> Response at 3.</w:t>
      </w:r>
    </w:p>
  </w:footnote>
  <w:footnote w:id="48">
    <w:p w:rsidR="00BC0EC6" w:rsidP="00BC0EC6" w14:paraId="03A833E6" w14:textId="6A1DBB47">
      <w:pPr>
        <w:pStyle w:val="FootnoteText"/>
      </w:pPr>
      <w:r>
        <w:rPr>
          <w:rStyle w:val="FootnoteReference"/>
        </w:rPr>
        <w:footnoteRef/>
      </w:r>
      <w:r>
        <w:t xml:space="preserve"> 47 CFR §</w:t>
      </w:r>
      <w:r w:rsidRPr="001C53BB">
        <w:t xml:space="preserve"> </w:t>
      </w:r>
      <w:r>
        <w:t xml:space="preserve">11.18(f).  “A Local Primary </w:t>
      </w:r>
      <w:r w:rsidR="00662378">
        <w:t xml:space="preserve">(LP) </w:t>
      </w:r>
      <w:r>
        <w:t xml:space="preserve">is an entity that serves as a monitoring assignment for other EAS Participants within the state.”  </w:t>
      </w:r>
      <w:r>
        <w:rPr>
          <w:i/>
          <w:iCs/>
        </w:rPr>
        <w:t>Id.</w:t>
      </w:r>
      <w:r>
        <w:t xml:space="preserve">  “State EAS plans contain guidelines that must be followed by EAS </w:t>
      </w:r>
      <w:r w:rsidR="00C635BE">
        <w:t>P</w:t>
      </w:r>
      <w:r>
        <w:t>articipants’ personnel, emergency officials, and National Weather Service</w:t>
      </w:r>
      <w:r w:rsidR="00662378">
        <w:t xml:space="preserve"> (NWS)</w:t>
      </w:r>
      <w:r>
        <w:t xml:space="preserve"> personnel to activate the EAS.”  47 CFR</w:t>
      </w:r>
      <w:r w:rsidR="00FF4F1C">
        <w:t xml:space="preserve"> § </w:t>
      </w:r>
      <w:r>
        <w:t>11.21(a).  State EAS plans must show “monitoring assignments and the specific primary and backup path for emergency action notification (EAN)/Presidential Alert messages from the [Primary Entry Point] to all key EAS sources.”  47 CFR § 11.21(a)(4).</w:t>
      </w:r>
    </w:p>
  </w:footnote>
  <w:footnote w:id="49">
    <w:p w:rsidR="00BC0EC6" w:rsidP="00BC0EC6" w14:paraId="7926C9B7" w14:textId="63C7C8D0">
      <w:pPr>
        <w:pStyle w:val="FootnoteText"/>
      </w:pPr>
      <w:r>
        <w:rPr>
          <w:rStyle w:val="FootnoteReference"/>
        </w:rPr>
        <w:footnoteRef/>
      </w:r>
      <w:r>
        <w:t xml:space="preserve"> </w:t>
      </w:r>
      <w:r w:rsidRPr="00B761B4">
        <w:rPr>
          <w:i/>
          <w:iCs/>
        </w:rPr>
        <w:t>See</w:t>
      </w:r>
      <w:r>
        <w:t xml:space="preserve"> State of Florida Emergency Alert System Plan (Approved October 2019, Revised November 11, 2019); </w:t>
      </w:r>
      <w:r w:rsidRPr="00530E3F">
        <w:rPr>
          <w:i/>
          <w:iCs/>
        </w:rPr>
        <w:t>see</w:t>
      </w:r>
      <w:r w:rsidR="00BF3D69">
        <w:rPr>
          <w:i/>
          <w:iCs/>
        </w:rPr>
        <w:t> </w:t>
      </w:r>
      <w:r w:rsidRPr="00530E3F">
        <w:rPr>
          <w:i/>
          <w:iCs/>
        </w:rPr>
        <w:t>also</w:t>
      </w:r>
      <w:r>
        <w:t xml:space="preserve"> State of Florida Emergency Alert System Plan (Approved June 2020, Revised April 2021), </w:t>
      </w:r>
      <w:hyperlink r:id="rId2" w:history="1">
        <w:r w:rsidRPr="00062DBF" w:rsidR="008225CF">
          <w:rPr>
            <w:rStyle w:val="Hyperlink"/>
          </w:rPr>
          <w:t>https://fab.org/eas-plan/</w:t>
        </w:r>
      </w:hyperlink>
      <w:r>
        <w:t>.</w:t>
      </w:r>
    </w:p>
  </w:footnote>
  <w:footnote w:id="50">
    <w:p w:rsidR="00B8405C" w14:paraId="5B0DC47C" w14:textId="2D81965E">
      <w:pPr>
        <w:pStyle w:val="FootnoteText"/>
      </w:pPr>
      <w:r>
        <w:rPr>
          <w:rStyle w:val="FootnoteReference"/>
        </w:rPr>
        <w:footnoteRef/>
      </w:r>
      <w:r>
        <w:t xml:space="preserve"> In addition to </w:t>
      </w:r>
      <w:r w:rsidR="001153CD">
        <w:t xml:space="preserve">the two stations in different Florida </w:t>
      </w:r>
      <w:r>
        <w:t>EAS Operational Areas</w:t>
      </w:r>
      <w:r w:rsidR="000B798C">
        <w:t xml:space="preserve">, </w:t>
      </w:r>
      <w:r w:rsidR="008A7ED0">
        <w:t xml:space="preserve">there is no record evidence of a written agreement between the two licensees under </w:t>
      </w:r>
      <w:r w:rsidR="000B798C">
        <w:t>section 11.52(c) of the Commission’s rules, which allows co-located LPFM stations</w:t>
      </w:r>
      <w:r w:rsidR="008A7ED0">
        <w:t xml:space="preserve"> that are not co-owned </w:t>
      </w:r>
      <w:r w:rsidR="001153CD">
        <w:t>under</w:t>
      </w:r>
      <w:r w:rsidR="008A7ED0">
        <w:t xml:space="preserve"> the ownership restrictions in 47 CFR § 73.855,</w:t>
      </w:r>
      <w:r w:rsidR="000B798C">
        <w:t xml:space="preserve"> to comply with the EAS monitoring requirements using a single EAS decoder pursuant to a written agreement</w:t>
      </w:r>
      <w:r w:rsidR="008A7ED0">
        <w:t xml:space="preserve"> that includes terms listed in the rule</w:t>
      </w:r>
      <w:r w:rsidR="000B798C">
        <w:t xml:space="preserve">.  </w:t>
      </w:r>
      <w:r w:rsidRPr="00DD4FD3" w:rsidR="000B798C">
        <w:rPr>
          <w:i/>
          <w:iCs/>
        </w:rPr>
        <w:t xml:space="preserve">See </w:t>
      </w:r>
      <w:r w:rsidR="000B798C">
        <w:t>47 CFR §</w:t>
      </w:r>
      <w:r w:rsidRPr="001C53BB" w:rsidR="000B798C">
        <w:t xml:space="preserve"> </w:t>
      </w:r>
      <w:r w:rsidR="000B798C">
        <w:t xml:space="preserve">11.52(c).  The </w:t>
      </w:r>
      <w:r w:rsidRPr="00EC53A1" w:rsidR="000B798C">
        <w:rPr>
          <w:i/>
          <w:iCs/>
        </w:rPr>
        <w:t>LPFM Technical Order</w:t>
      </w:r>
      <w:r w:rsidR="000B798C">
        <w:t xml:space="preserve"> adopted certain changes to the LPFM technical rules, including changes to 47 CFR § 11.52(c).</w:t>
      </w:r>
      <w:r w:rsidRPr="000F316B" w:rsidR="000B798C">
        <w:t xml:space="preserve"> </w:t>
      </w:r>
      <w:r w:rsidR="000B798C">
        <w:t xml:space="preserve"> The amended section 11.52(c) became effective July 13, 2020.</w:t>
      </w:r>
    </w:p>
  </w:footnote>
  <w:footnote w:id="51">
    <w:p w:rsidR="00612328" w:rsidP="00612328" w14:paraId="561A1AC4" w14:textId="02851E2F">
      <w:pPr>
        <w:pStyle w:val="FootnoteText"/>
      </w:pPr>
      <w:r>
        <w:rPr>
          <w:rStyle w:val="FootnoteReference"/>
        </w:rPr>
        <w:footnoteRef/>
      </w:r>
      <w:r>
        <w:t xml:space="preserve"> </w:t>
      </w:r>
      <w:r w:rsidRPr="00DD4FD3">
        <w:rPr>
          <w:i/>
          <w:iCs/>
        </w:rPr>
        <w:t xml:space="preserve">See </w:t>
      </w:r>
      <w:r>
        <w:t>47 CFR §</w:t>
      </w:r>
      <w:r w:rsidRPr="001C53BB">
        <w:t xml:space="preserve"> </w:t>
      </w:r>
      <w:r>
        <w:t>11.52(d)</w:t>
      </w:r>
      <w:r w:rsidR="00B52300">
        <w:t>(1)</w:t>
      </w:r>
      <w:r>
        <w:t>.</w:t>
      </w:r>
    </w:p>
  </w:footnote>
  <w:footnote w:id="52">
    <w:p w:rsidR="0005315B" w:rsidRPr="004D24F3" w:rsidP="0005315B" w14:paraId="4CA780DB" w14:textId="3ECFCC8D">
      <w:pPr>
        <w:pStyle w:val="FootnoteText"/>
      </w:pPr>
      <w:r>
        <w:rPr>
          <w:rStyle w:val="FootnoteReference"/>
        </w:rPr>
        <w:footnoteRef/>
      </w:r>
      <w:r>
        <w:t xml:space="preserve"> </w:t>
      </w:r>
      <w:r w:rsidRPr="00DD4FD3" w:rsidR="00E84D03">
        <w:rPr>
          <w:i/>
          <w:iCs/>
        </w:rPr>
        <w:t xml:space="preserve">See </w:t>
      </w:r>
      <w:r w:rsidR="00E84D03">
        <w:t>47 CFR §</w:t>
      </w:r>
      <w:r w:rsidR="00A06DB1">
        <w:t>§</w:t>
      </w:r>
      <w:r w:rsidRPr="001C53BB" w:rsidR="00E84D03">
        <w:t xml:space="preserve"> </w:t>
      </w:r>
      <w:r w:rsidR="00E84D03">
        <w:t>11.11(a)</w:t>
      </w:r>
      <w:r w:rsidR="002B7CB3">
        <w:t>,</w:t>
      </w:r>
      <w:r w:rsidRPr="001C53BB" w:rsidR="00096BFF">
        <w:t xml:space="preserve"> </w:t>
      </w:r>
      <w:r w:rsidR="00096BFF">
        <w:t>11.31.</w:t>
      </w:r>
    </w:p>
  </w:footnote>
  <w:footnote w:id="53">
    <w:p w:rsidR="00993B8D" w14:paraId="4735EF8F" w14:textId="33048118">
      <w:pPr>
        <w:pStyle w:val="FootnoteText"/>
      </w:pPr>
      <w:r>
        <w:rPr>
          <w:rStyle w:val="FootnoteReference"/>
        </w:rPr>
        <w:footnoteRef/>
      </w:r>
      <w:r>
        <w:t xml:space="preserve"> </w:t>
      </w:r>
      <w:r w:rsidRPr="00DD4FD3">
        <w:rPr>
          <w:i/>
          <w:iCs/>
        </w:rPr>
        <w:t>See</w:t>
      </w:r>
      <w:r>
        <w:t xml:space="preserve"> Response, Exhibit 2.</w:t>
      </w:r>
    </w:p>
  </w:footnote>
  <w:footnote w:id="54">
    <w:p w:rsidR="007A3619" w:rsidP="007A3619" w14:paraId="43036AA3" w14:textId="6290A0D5">
      <w:pPr>
        <w:pStyle w:val="FootnoteText"/>
      </w:pPr>
      <w:r>
        <w:rPr>
          <w:rStyle w:val="FootnoteReference"/>
        </w:rPr>
        <w:footnoteRef/>
      </w:r>
      <w:r>
        <w:t xml:space="preserve"> </w:t>
      </w:r>
      <w:r>
        <w:rPr>
          <w:i/>
          <w:iCs/>
        </w:rPr>
        <w:t xml:space="preserve">See Tidewater Communications LLC, </w:t>
      </w:r>
      <w:r>
        <w:t xml:space="preserve">Order on Review, 25 FCC Rcd 1675, 1678-79, para. 11 (2010) (affirming the Bureau’s rejection of a request for a reduction based on a history of compliance where a prior monetary forfeiture was cancelled but the underlying notice of violation survived).  </w:t>
      </w:r>
    </w:p>
  </w:footnote>
  <w:footnote w:id="55">
    <w:p w:rsidR="00293CE5" w:rsidP="00293CE5" w14:paraId="5FC371D4" w14:textId="6C41923E">
      <w:pPr>
        <w:pStyle w:val="FootnoteText"/>
      </w:pPr>
      <w:r>
        <w:rPr>
          <w:rStyle w:val="FootnoteReference"/>
        </w:rPr>
        <w:footnoteRef/>
      </w:r>
      <w:r>
        <w:t xml:space="preserve"> </w:t>
      </w:r>
      <w:r>
        <w:rPr>
          <w:i/>
          <w:iCs/>
        </w:rPr>
        <w:t>T</w:t>
      </w:r>
      <w:r w:rsidRPr="00D11483">
        <w:rPr>
          <w:i/>
          <w:iCs/>
        </w:rPr>
        <w:t>he Omega Church International Ministries, In</w:t>
      </w:r>
      <w:r>
        <w:rPr>
          <w:i/>
          <w:iCs/>
        </w:rPr>
        <w:t xml:space="preserve">c., Attn. Wayne J. Manning, </w:t>
      </w:r>
      <w:r>
        <w:t>Notice of Unlicensed Operation (EB</w:t>
      </w:r>
      <w:r w:rsidR="00C02F7E">
        <w:t> </w:t>
      </w:r>
      <w:r>
        <w:t>2017)</w:t>
      </w:r>
      <w:r w:rsidR="00C02F7E">
        <w:t xml:space="preserve">, </w:t>
      </w:r>
      <w:bookmarkStart w:id="12" w:name="_Hlk85460687"/>
      <w:hyperlink r:id="rId3" w:history="1">
        <w:r w:rsidRPr="00A96BC0" w:rsidR="00BA0BED">
          <w:rPr>
            <w:rStyle w:val="Hyperlink"/>
          </w:rPr>
          <w:t>https://docs.fcc.gov/public/attachments/DOC-348455A1.pdf</w:t>
        </w:r>
      </w:hyperlink>
      <w:r w:rsidR="00103F9B">
        <w:t xml:space="preserve"> (on file in EB-FIELDSCR-17-00025680)</w:t>
      </w:r>
      <w:r>
        <w:t xml:space="preserve">.  </w:t>
      </w:r>
      <w:bookmarkEnd w:id="12"/>
    </w:p>
  </w:footnote>
  <w:footnote w:id="56">
    <w:p w:rsidR="00293CE5" w:rsidP="00293CE5" w14:paraId="67F2B226" w14:textId="4FCC65EB">
      <w:pPr>
        <w:pStyle w:val="FootnoteText"/>
      </w:pPr>
      <w:r>
        <w:rPr>
          <w:rStyle w:val="FootnoteReference"/>
        </w:rPr>
        <w:footnoteRef/>
      </w:r>
      <w:r>
        <w:t xml:space="preserve"> </w:t>
      </w:r>
      <w:r>
        <w:rPr>
          <w:i/>
          <w:iCs/>
        </w:rPr>
        <w:t xml:space="preserve">See Wayne Manning, The </w:t>
      </w:r>
      <w:r w:rsidRPr="00D11483">
        <w:rPr>
          <w:i/>
          <w:iCs/>
        </w:rPr>
        <w:t>Omega Church International Ministr</w:t>
      </w:r>
      <w:r w:rsidR="0052022F">
        <w:rPr>
          <w:i/>
          <w:iCs/>
        </w:rPr>
        <w:t>ies</w:t>
      </w:r>
      <w:r>
        <w:rPr>
          <w:i/>
          <w:iCs/>
        </w:rPr>
        <w:t xml:space="preserve">, </w:t>
      </w:r>
      <w:r>
        <w:t>Response to Notice of Unlicensed Operation (Dec. 29, 2017) (on file in EB-FIELDSCR-17-00025680).</w:t>
      </w:r>
      <w:r w:rsidR="002C0B2D">
        <w:t xml:space="preserve">  </w:t>
      </w:r>
    </w:p>
  </w:footnote>
  <w:footnote w:id="57">
    <w:p w:rsidR="0099552F" w:rsidP="0099552F" w14:paraId="199F3B31" w14:textId="712CA4C3">
      <w:pPr>
        <w:pStyle w:val="FootnoteText"/>
      </w:pPr>
      <w:r>
        <w:rPr>
          <w:rStyle w:val="FootnoteReference"/>
        </w:rPr>
        <w:footnoteRef/>
      </w:r>
      <w:r>
        <w:t xml:space="preserve"> </w:t>
      </w:r>
      <w:r w:rsidRPr="00047127">
        <w:rPr>
          <w:i/>
          <w:iCs/>
        </w:rPr>
        <w:t>See</w:t>
      </w:r>
      <w:r>
        <w:t xml:space="preserve"> 2017 Florida Not for Profit Corporation Annual Report (Feb. 21, 2017) (identifying Manning as Jupiter’s president</w:t>
      </w:r>
      <w:r w:rsidR="0078556C">
        <w:t xml:space="preserve"> and director</w:t>
      </w:r>
      <w:r>
        <w:t xml:space="preserve">) (on file in EB-FIELDSCR-17-00025789).  </w:t>
      </w:r>
    </w:p>
  </w:footnote>
  <w:footnote w:id="58">
    <w:p w:rsidR="00100105" w14:paraId="278DD596" w14:textId="474FFF8A">
      <w:pPr>
        <w:pStyle w:val="FootnoteText"/>
      </w:pPr>
      <w:r>
        <w:rPr>
          <w:rStyle w:val="FootnoteReference"/>
        </w:rPr>
        <w:footnoteRef/>
      </w:r>
      <w:r>
        <w:t xml:space="preserve"> </w:t>
      </w:r>
      <w:r w:rsidRPr="004352F2">
        <w:rPr>
          <w:i/>
          <w:iCs/>
        </w:rPr>
        <w:t>See</w:t>
      </w:r>
      <w:r>
        <w:rPr>
          <w:i/>
          <w:iCs/>
        </w:rPr>
        <w:t>,</w:t>
      </w:r>
      <w:r w:rsidRPr="004352F2">
        <w:rPr>
          <w:i/>
          <w:iCs/>
        </w:rPr>
        <w:t xml:space="preserve"> e.</w:t>
      </w:r>
      <w:r>
        <w:rPr>
          <w:i/>
          <w:iCs/>
        </w:rPr>
        <w:t xml:space="preserve">g., </w:t>
      </w:r>
      <w:r w:rsidR="0078556C">
        <w:rPr>
          <w:i/>
          <w:iCs/>
        </w:rPr>
        <w:t xml:space="preserve">Revocation of License of </w:t>
      </w:r>
      <w:r>
        <w:rPr>
          <w:i/>
          <w:iCs/>
        </w:rPr>
        <w:t xml:space="preserve">KWK Radio, Inc., </w:t>
      </w:r>
      <w:r w:rsidR="0078556C">
        <w:t xml:space="preserve">Decision, </w:t>
      </w:r>
      <w:r>
        <w:t>34 FCC 1039 (1963) (revoking broadcast license due to fraud by station manager, a vice president</w:t>
      </w:r>
      <w:r w:rsidR="00513312">
        <w:t>)</w:t>
      </w:r>
      <w:r>
        <w:t>,</w:t>
      </w:r>
      <w:r w:rsidR="00591FF3">
        <w:t xml:space="preserve"> </w:t>
      </w:r>
      <w:r>
        <w:rPr>
          <w:i/>
          <w:iCs/>
        </w:rPr>
        <w:t>recon. denied</w:t>
      </w:r>
      <w:r>
        <w:t xml:space="preserve">, Memorandum Opinion and Order, 35 FCC 561 (1963), </w:t>
      </w:r>
      <w:r>
        <w:rPr>
          <w:i/>
          <w:iCs/>
        </w:rPr>
        <w:t>aff’d sub nom. KWK Radio, Inc. v. FCC</w:t>
      </w:r>
      <w:r>
        <w:t xml:space="preserve">, 337 F.2d 540 (D.C. Cir. 1964), </w:t>
      </w:r>
      <w:r>
        <w:rPr>
          <w:i/>
          <w:iCs/>
        </w:rPr>
        <w:t>cert. denied</w:t>
      </w:r>
      <w:r>
        <w:t>, 380 U.S. 910 (1965).</w:t>
      </w:r>
      <w:r w:rsidR="00513312">
        <w:t xml:space="preserve">  The Commission </w:t>
      </w:r>
      <w:r w:rsidR="005223AA">
        <w:t>found</w:t>
      </w:r>
      <w:r w:rsidR="00513312">
        <w:t xml:space="preserve"> that “the station manager was a vice president of KWK with broad authority over day-to-day station operation . . . .  In this capacity he was himself a principal.  In any event, the station manager was not on a lark on his own . . . but was acting within the scope of his position, and his willful misconduct may be properly imputed to KWK.”  35 FCC 561, 562, para. 5.</w:t>
      </w:r>
    </w:p>
  </w:footnote>
  <w:footnote w:id="59">
    <w:p w:rsidR="00527E79" w:rsidRPr="00344C0B" w:rsidP="00527E79" w14:paraId="6571BC63" w14:textId="6847C480">
      <w:pPr>
        <w:pStyle w:val="FootnoteText"/>
      </w:pPr>
      <w:r w:rsidRPr="00344C0B">
        <w:rPr>
          <w:rStyle w:val="FootnoteReference"/>
        </w:rPr>
        <w:footnoteRef/>
      </w:r>
      <w:r w:rsidRPr="00344C0B">
        <w:t xml:space="preserve"> </w:t>
      </w:r>
      <w:r w:rsidR="00B46C5B">
        <w:t>History of compliance is one of several factors to be considered when determining the appropriate forfeiture</w:t>
      </w:r>
      <w:r w:rsidR="006A66B0">
        <w:t xml:space="preserve"> and </w:t>
      </w:r>
      <w:r w:rsidR="006C2E04">
        <w:t xml:space="preserve">the Commission </w:t>
      </w:r>
      <w:r w:rsidR="006A66B0">
        <w:t>retain</w:t>
      </w:r>
      <w:r w:rsidR="006C2E04">
        <w:t>s</w:t>
      </w:r>
      <w:r w:rsidR="006A66B0">
        <w:t xml:space="preserve"> the discretion to decline reducing or canceling a forfeiture if other prongs of </w:t>
      </w:r>
      <w:r w:rsidRPr="00344C0B" w:rsidR="00B46C5B">
        <w:t>47 U.S.C. §</w:t>
      </w:r>
      <w:r w:rsidR="00D511AB">
        <w:t> </w:t>
      </w:r>
      <w:r w:rsidRPr="00344C0B" w:rsidR="00B46C5B">
        <w:t>503(b)(2)(E)</w:t>
      </w:r>
      <w:r w:rsidR="002B2A45">
        <w:t xml:space="preserve"> support that result</w:t>
      </w:r>
      <w:r w:rsidR="00B46C5B">
        <w:t>.</w:t>
      </w:r>
      <w:r w:rsidR="00E3118B">
        <w:t xml:space="preserve">  </w:t>
      </w:r>
      <w:r w:rsidR="00E3118B">
        <w:rPr>
          <w:i/>
          <w:iCs/>
        </w:rPr>
        <w:t>See, e.g., Fabrice Polynice, Harold Sido and Veronise Sido, North Miami, F</w:t>
      </w:r>
      <w:r w:rsidR="006C2E04">
        <w:rPr>
          <w:i/>
          <w:iCs/>
        </w:rPr>
        <w:t>lorida</w:t>
      </w:r>
      <w:r w:rsidR="00E3118B">
        <w:rPr>
          <w:i/>
          <w:iCs/>
        </w:rPr>
        <w:t>,</w:t>
      </w:r>
      <w:r w:rsidR="00E3118B">
        <w:t xml:space="preserve"> </w:t>
      </w:r>
      <w:r w:rsidR="00B46C5B">
        <w:t>Forfeiture Order, 33 FCC Rcd 6852, 68</w:t>
      </w:r>
      <w:r w:rsidR="006C2E04">
        <w:t>60-</w:t>
      </w:r>
      <w:r w:rsidR="00B46C5B">
        <w:t>6</w:t>
      </w:r>
      <w:r w:rsidR="006C2E04">
        <w:t>2</w:t>
      </w:r>
      <w:r w:rsidR="00B46C5B">
        <w:t>, para</w:t>
      </w:r>
      <w:r w:rsidR="000F2E05">
        <w:t>s</w:t>
      </w:r>
      <w:r w:rsidR="00B46C5B">
        <w:t xml:space="preserve">. </w:t>
      </w:r>
      <w:r w:rsidR="00281DA7">
        <w:t>2</w:t>
      </w:r>
      <w:r w:rsidR="006C2E04">
        <w:t>1</w:t>
      </w:r>
      <w:r w:rsidR="00281DA7">
        <w:t>-</w:t>
      </w:r>
      <w:r w:rsidR="00B46C5B">
        <w:t>2</w:t>
      </w:r>
      <w:r w:rsidR="00324E9E">
        <w:t>3</w:t>
      </w:r>
      <w:r w:rsidR="00B46C5B">
        <w:t xml:space="preserve"> (2018)</w:t>
      </w:r>
      <w:r w:rsidR="001F68F4">
        <w:t xml:space="preserve"> (declining an inability to pay claim where illegal actions were egregious and could “interfere with licensed communications, including authorized broadcasts and public safety transmissions”)</w:t>
      </w:r>
      <w:r w:rsidR="00913CD7">
        <w:t xml:space="preserve">; </w:t>
      </w:r>
      <w:r w:rsidR="006076E7">
        <w:rPr>
          <w:i/>
          <w:iCs/>
        </w:rPr>
        <w:t xml:space="preserve">Adrian Abramovich, Marketing Strategy Leaders, Inc., and Marketing Leaders, Inc., </w:t>
      </w:r>
      <w:r w:rsidR="006076E7">
        <w:t>Forfeiture Order, 33 FCC Rcd 4663, 46</w:t>
      </w:r>
      <w:r w:rsidR="006C2E04">
        <w:t>78-</w:t>
      </w:r>
      <w:r w:rsidR="006076E7">
        <w:t>79, para</w:t>
      </w:r>
      <w:r w:rsidR="00913CD7">
        <w:t>s</w:t>
      </w:r>
      <w:r w:rsidR="006076E7">
        <w:t xml:space="preserve">. </w:t>
      </w:r>
      <w:r w:rsidR="00913CD7">
        <w:t>44-</w:t>
      </w:r>
      <w:r w:rsidR="006076E7">
        <w:t>45 (2018)</w:t>
      </w:r>
      <w:r w:rsidR="001F68F4">
        <w:t xml:space="preserve"> (inability to pay is one of several factors to be considered in determining the appropriate forfeiture and can be outweighed by other factors).</w:t>
      </w:r>
    </w:p>
  </w:footnote>
  <w:footnote w:id="60">
    <w:p w:rsidR="006F57A6" w:rsidP="006F57A6" w14:paraId="37A7599D" w14:textId="68812418">
      <w:pPr>
        <w:pStyle w:val="FootnoteText"/>
      </w:pPr>
      <w:r>
        <w:rPr>
          <w:rStyle w:val="FootnoteReference"/>
        </w:rPr>
        <w:footnoteRef/>
      </w:r>
      <w:r>
        <w:t xml:space="preserve"> 47 CFR §</w:t>
      </w:r>
      <w:r w:rsidRPr="001C53BB">
        <w:t xml:space="preserve"> 73.8</w:t>
      </w:r>
      <w:r>
        <w:t>78(a).</w:t>
      </w:r>
    </w:p>
  </w:footnote>
  <w:footnote w:id="61">
    <w:p w:rsidR="00964576" w:rsidP="00964576" w14:paraId="0C36160B" w14:textId="5C439471">
      <w:pPr>
        <w:pStyle w:val="FootnoteText"/>
      </w:pPr>
      <w:r>
        <w:rPr>
          <w:rStyle w:val="FootnoteReference"/>
        </w:rPr>
        <w:footnoteRef/>
      </w:r>
      <w:r>
        <w:t xml:space="preserve"> Response at 3-4</w:t>
      </w:r>
      <w:r w:rsidR="00411600">
        <w:t>, Declaration of Wayne Manning</w:t>
      </w:r>
      <w:r>
        <w:t>.</w:t>
      </w:r>
    </w:p>
  </w:footnote>
  <w:footnote w:id="62">
    <w:p w:rsidR="006F57A6" w:rsidP="006F57A6" w14:paraId="0A97359E" w14:textId="77777777">
      <w:pPr>
        <w:pStyle w:val="FootnoteText"/>
      </w:pPr>
      <w:r>
        <w:rPr>
          <w:rStyle w:val="FootnoteReference"/>
        </w:rPr>
        <w:footnoteRef/>
      </w:r>
      <w:r>
        <w:t xml:space="preserve"> 47 CFR § 11.11(a).</w:t>
      </w:r>
    </w:p>
  </w:footnote>
  <w:footnote w:id="63">
    <w:p w:rsidR="00262EDA" w:rsidP="0051325F" w14:paraId="66452E23" w14:textId="77777777">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64">
    <w:p w:rsidR="00262EDA" w:rsidRPr="00344C0B" w:rsidP="003343CA" w14:paraId="76557DCB" w14:textId="77777777">
      <w:pPr>
        <w:pStyle w:val="FootnoteText"/>
      </w:pPr>
      <w:r w:rsidRPr="00344C0B">
        <w:rPr>
          <w:rStyle w:val="FootnoteReference"/>
        </w:rPr>
        <w:footnoteRef/>
      </w:r>
      <w:r w:rsidRPr="00344C0B">
        <w:t xml:space="preserve"> 47 U.S.C. § 503(b).</w:t>
      </w:r>
    </w:p>
  </w:footnote>
  <w:footnote w:id="65">
    <w:p w:rsidR="00262EDA" w:rsidRPr="00344C0B" w:rsidP="003343CA" w14:paraId="48C7DE3D" w14:textId="77777777">
      <w:pPr>
        <w:pStyle w:val="FootnoteText"/>
      </w:pPr>
      <w:r w:rsidRPr="00344C0B">
        <w:rPr>
          <w:rStyle w:val="FootnoteReference"/>
        </w:rPr>
        <w:footnoteRef/>
      </w:r>
      <w:r w:rsidRPr="00344C0B">
        <w:t xml:space="preserve"> 47 CFR § 1.80.</w:t>
      </w:r>
    </w:p>
  </w:footnote>
  <w:footnote w:id="66">
    <w:p w:rsidR="00A92DEF" w:rsidRPr="00B63FC8" w:rsidP="00A92DEF" w14:paraId="24296C49" w14:textId="77777777">
      <w:pPr>
        <w:pStyle w:val="FootnoteText"/>
        <w:rPr>
          <w:color w:val="000000"/>
        </w:rPr>
      </w:pPr>
      <w:r w:rsidRPr="00B63FC8">
        <w:rPr>
          <w:rStyle w:val="FootnoteReference"/>
          <w:color w:val="000000"/>
        </w:rPr>
        <w:footnoteRef/>
      </w:r>
      <w:r w:rsidRPr="00B63FC8">
        <w:rPr>
          <w:color w:val="000000"/>
          <w:lang w:val="es-ES"/>
        </w:rPr>
        <w:t xml:space="preserve"> 47 U.S.C. § 301.</w:t>
      </w:r>
    </w:p>
  </w:footnote>
  <w:footnote w:id="67">
    <w:p w:rsidR="00A92DEF" w:rsidRPr="00B63FC8" w:rsidP="00A92DEF" w14:paraId="642BFEB7" w14:textId="77777777">
      <w:pPr>
        <w:pStyle w:val="FootnoteText"/>
        <w:rPr>
          <w:color w:val="000000"/>
        </w:rPr>
      </w:pPr>
      <w:r w:rsidRPr="00B63FC8">
        <w:rPr>
          <w:rStyle w:val="FootnoteReference"/>
          <w:color w:val="000000"/>
        </w:rPr>
        <w:footnoteRef/>
      </w:r>
      <w:r w:rsidRPr="00B63FC8">
        <w:rPr>
          <w:color w:val="000000"/>
          <w:lang w:val="es-ES"/>
        </w:rPr>
        <w:t xml:space="preserve"> 47 CFR §§ 11.11(a), </w:t>
      </w:r>
      <w:r>
        <w:t>73.840, 73.845, 73.878(a).</w:t>
      </w:r>
    </w:p>
  </w:footnote>
  <w:footnote w:id="68">
    <w:p w:rsidR="00262EDA" w:rsidRPr="005C1CFD" w:rsidP="003343CA" w14:paraId="36A5AFFD" w14:textId="66F52766">
      <w:pPr>
        <w:pStyle w:val="FootnoteText"/>
        <w:rPr>
          <w:iCs/>
        </w:rPr>
      </w:pPr>
      <w:r w:rsidRPr="005C1CFD">
        <w:rPr>
          <w:rStyle w:val="FootnoteReference"/>
        </w:rPr>
        <w:footnoteRef/>
      </w:r>
      <w:r w:rsidRPr="005C1CFD" w:rsidR="005C1CFD">
        <w:t xml:space="preserve"> 4</w:t>
      </w:r>
      <w:r w:rsidRPr="00344C0B" w:rsidR="005C1CFD">
        <w:t>7 CFR § 1.80.</w:t>
      </w:r>
    </w:p>
  </w:footnote>
  <w:footnote w:id="69">
    <w:p w:rsidR="00262EDA" w:rsidRPr="00344C0B" w:rsidP="003343CA" w14:paraId="0D5D50FC" w14:textId="77777777">
      <w:pPr>
        <w:pStyle w:val="FootnoteText"/>
      </w:pPr>
      <w:r w:rsidRPr="00344C0B">
        <w:rPr>
          <w:rStyle w:val="FootnoteReference"/>
        </w:rPr>
        <w:footnoteRef/>
      </w:r>
      <w:r w:rsidRPr="00344C0B">
        <w:t xml:space="preserve"> 47 U.S.C. § 504(a).</w:t>
      </w:r>
    </w:p>
  </w:footnote>
  <w:footnote w:id="70">
    <w:p w:rsidR="0083078C" w:rsidRPr="003433FA" w:rsidP="0083078C" w14:paraId="0FAE05CE" w14:textId="77777777">
      <w:pPr>
        <w:pStyle w:val="FootnoteText"/>
      </w:pPr>
      <w:r w:rsidRPr="009716F7">
        <w:rPr>
          <w:rStyle w:val="FootnoteReference"/>
        </w:rPr>
        <w:footnoteRef/>
      </w:r>
      <w:r w:rsidRPr="009716F7">
        <w:t xml:space="preserve"> For questions </w:t>
      </w:r>
      <w:r w:rsidRPr="003433FA">
        <w:t>regarding payment procedures, please contact the Financial Operations Group Help Desk by phone at 1-877-480-3201 (option #</w:t>
      </w:r>
      <w:r>
        <w:t>1</w:t>
      </w:r>
      <w:r w:rsidRPr="003433FA">
        <w:t>)</w:t>
      </w:r>
      <w:r>
        <w:t>.</w:t>
      </w:r>
    </w:p>
  </w:footnote>
  <w:footnote w:id="71">
    <w:p w:rsidR="0083078C" w:rsidRPr="003433FA" w:rsidP="0083078C" w14:paraId="22217705" w14:textId="528F0150">
      <w:pPr>
        <w:pStyle w:val="FootnoteText"/>
      </w:pPr>
      <w:r w:rsidRPr="003433FA">
        <w:rPr>
          <w:rStyle w:val="FootnoteReference"/>
        </w:rPr>
        <w:footnoteRef/>
      </w:r>
      <w:r w:rsidRPr="003433FA">
        <w:t xml:space="preserve"> FCC Form 159 is accessible at </w:t>
      </w:r>
      <w:hyperlink r:id="rId4" w:history="1">
        <w:r w:rsidRPr="00933CF1" w:rsidR="00933CF1">
          <w:rPr>
            <w:rStyle w:val="Hyperlink"/>
          </w:rPr>
          <w:t>https://www.fcc.gov/licensing-databases/fees/fcc-remittance-advice-form-159</w:t>
        </w:r>
      </w:hyperlink>
      <w:r w:rsidRPr="003433FA">
        <w:rPr>
          <w:rStyle w:val="Hyperlink"/>
        </w:rPr>
        <w:t>.</w:t>
      </w:r>
    </w:p>
  </w:footnote>
  <w:footnote w:id="72">
    <w:p w:rsidR="0083078C" w:rsidRPr="009716F7" w:rsidP="0083078C" w14:paraId="78DFC3B8" w14:textId="06F2E024">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5" w:history="1">
        <w:r w:rsidRPr="00D76723">
          <w:rPr>
            <w:rStyle w:val="Hyperlink"/>
          </w:rPr>
          <w:t>h</w:t>
        </w:r>
        <w:r w:rsidRPr="00DF5B5C">
          <w:rPr>
            <w:rStyle w:val="Hyperlink"/>
          </w:rPr>
          <w:t>ttps://apps.fcc.gov/cores/userLogin.do</w:t>
        </w:r>
      </w:hyperlink>
      <w:r w:rsidRPr="004B6755">
        <w:t>.</w:t>
      </w:r>
    </w:p>
  </w:footnote>
  <w:footnote w:id="73">
    <w:p w:rsidR="0083078C" w:rsidP="0083078C" w14:paraId="3B645FEE" w14:textId="24917721">
      <w:pPr>
        <w:pStyle w:val="FootnoteText"/>
      </w:pPr>
      <w:r w:rsidRPr="009716F7">
        <w:rPr>
          <w:rStyle w:val="FootnoteReference"/>
        </w:rPr>
        <w:footnoteRef/>
      </w:r>
      <w:r w:rsidRPr="009716F7">
        <w:t xml:space="preserve"> Instructions for completing the form may be obtained at</w:t>
      </w:r>
      <w:r w:rsidR="00FE2A2C">
        <w:t xml:space="preserve"> </w:t>
      </w:r>
      <w:hyperlink r:id="rId6" w:history="1">
        <w:r w:rsidRPr="009716F7" w:rsidR="00FE2A2C">
          <w:rPr>
            <w:rStyle w:val="Hyperlink"/>
          </w:rPr>
          <w:t>http://www.fcc.gov/Forms/Form159/159.pdf</w:t>
        </w:r>
      </w:hyperlink>
      <w:r w:rsidRPr="009716F7" w:rsidR="00FE2A2C">
        <w:t>.</w:t>
      </w:r>
    </w:p>
  </w:footnote>
  <w:footnote w:id="74">
    <w:p w:rsidR="00262EDA" w:rsidRPr="0030738C" w:rsidP="00F23F1E" w14:paraId="0711CDBE" w14:textId="77777777">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5C5" w14:paraId="2C221F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2EDA" w:rsidRPr="001B048F" w:rsidP="001B048F" w14:paraId="67FC8372" w14:textId="19F7B9B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344C0B">
      <w:rPr>
        <w:spacing w:val="-2"/>
      </w:rPr>
      <w:t xml:space="preserve">DA </w:t>
    </w:r>
    <w:r>
      <w:rPr>
        <w:spacing w:val="-2"/>
      </w:rPr>
      <w:t>2</w:t>
    </w:r>
    <w:r w:rsidR="00D12712">
      <w:rPr>
        <w:spacing w:val="-2"/>
      </w:rPr>
      <w:t>2</w:t>
    </w:r>
    <w:r w:rsidRPr="00344C0B">
      <w:rPr>
        <w:spacing w:val="-2"/>
      </w:rPr>
      <w:t>-</w:t>
    </w:r>
    <w:r w:rsidR="00BF3E09">
      <w:rPr>
        <w:spacing w:val="-2"/>
      </w:rPr>
      <w:t>813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2EDA" w:rsidRPr="001B048F" w:rsidP="001B048F" w14:paraId="09B00415" w14:textId="51003480">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Pr="00CE57A9">
      <w:rPr>
        <w:spacing w:val="-2"/>
      </w:rPr>
      <w:t xml:space="preserve">DA </w:t>
    </w:r>
    <w:r>
      <w:rPr>
        <w:spacing w:val="-2"/>
      </w:rPr>
      <w:t>2</w:t>
    </w:r>
    <w:r w:rsidR="00D12712">
      <w:rPr>
        <w:spacing w:val="-2"/>
      </w:rPr>
      <w:t>2</w:t>
    </w:r>
    <w:r w:rsidRPr="00CE57A9">
      <w:rPr>
        <w:spacing w:val="-2"/>
      </w:rPr>
      <w:t>-</w:t>
    </w:r>
    <w:r w:rsidR="00BF3E09">
      <w:rPr>
        <w:spacing w:val="-2"/>
      </w:rPr>
      <w:t>813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C428B8"/>
    <w:multiLevelType w:val="hybridMultilevel"/>
    <w:tmpl w:val="D8F264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990123"/>
    <w:multiLevelType w:val="hybridMultilevel"/>
    <w:tmpl w:val="DCF41EFC"/>
    <w:lvl w:ilvl="0">
      <w:start w:val="1"/>
      <w:numFmt w:val="bullet"/>
      <w:lvlText w:val=""/>
      <w:lvlJc w:val="left"/>
      <w:pPr>
        <w:ind w:left="1800" w:hanging="360"/>
      </w:pPr>
      <w:rPr>
        <w:rFonts w:ascii="Symbol" w:hAnsi="Symbol" w:hint="default"/>
        <w:color w:val="auto"/>
        <w:sz w:val="16"/>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CA151E"/>
    <w:multiLevelType w:val="hybridMultilevel"/>
    <w:tmpl w:val="2DF682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10"/>
  </w:num>
  <w:num w:numId="2">
    <w:abstractNumId w:val="7"/>
  </w:num>
  <w:num w:numId="3">
    <w:abstractNumId w:val="0"/>
    <w:lvlOverride w:ilvl="0">
      <w:lvl w:ilvl="0">
        <w:start w:val="0"/>
        <w:numFmt w:val="bullet"/>
        <w:pStyle w:val="par1"/>
        <w:lvlText w:val=""/>
        <w:legacy w:legacy="1" w:legacySpace="0" w:legacyIndent="360"/>
        <w:lvlJc w:val="left"/>
        <w:rPr>
          <w:rFonts w:ascii="Symbol" w:hAnsi="Symbol" w:hint="default"/>
        </w:rPr>
      </w:lvl>
    </w:lvlOverride>
  </w:num>
  <w:num w:numId="4">
    <w:abstractNumId w:val="9"/>
  </w:num>
  <w:num w:numId="5">
    <w:abstractNumId w:val="10"/>
    <w:lvlOverride w:ilvl="0">
      <w:startOverride w:val="1"/>
    </w:lvlOverride>
  </w:num>
  <w:num w:numId="6">
    <w:abstractNumId w:val="10"/>
  </w:num>
  <w:num w:numId="7">
    <w:abstractNumId w:val="10"/>
  </w:num>
  <w:num w:numId="8">
    <w:abstractNumId w:val="10"/>
  </w:num>
  <w:num w:numId="9">
    <w:abstractNumId w:val="4"/>
  </w:num>
  <w:num w:numId="10">
    <w:abstractNumId w:val="8"/>
  </w:num>
  <w:num w:numId="11">
    <w:abstractNumId w:val="5"/>
  </w:num>
  <w:num w:numId="12">
    <w:abstractNumId w:val="1"/>
  </w:num>
  <w:num w:numId="13">
    <w:abstractNumId w:val="10"/>
  </w:num>
  <w:num w:numId="14">
    <w:abstractNumId w:val="10"/>
  </w:num>
  <w:num w:numId="15">
    <w:abstractNumId w:val="10"/>
  </w:num>
  <w:num w:numId="16">
    <w:abstractNumId w:val="10"/>
  </w:num>
  <w:num w:numId="17">
    <w:abstractNumId w:val="11"/>
  </w:num>
  <w:num w:numId="18">
    <w:abstractNumId w:val="6"/>
  </w:num>
  <w:num w:numId="19">
    <w:abstractNumId w:val="2"/>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5148"/>
    <w:rsid w:val="00005C58"/>
    <w:rsid w:val="00005CF3"/>
    <w:rsid w:val="0000624E"/>
    <w:rsid w:val="000075D1"/>
    <w:rsid w:val="00007C5B"/>
    <w:rsid w:val="000124D4"/>
    <w:rsid w:val="00014462"/>
    <w:rsid w:val="000145C6"/>
    <w:rsid w:val="0001536B"/>
    <w:rsid w:val="00016B15"/>
    <w:rsid w:val="000174F9"/>
    <w:rsid w:val="00020233"/>
    <w:rsid w:val="00020AF4"/>
    <w:rsid w:val="0002589A"/>
    <w:rsid w:val="000264B4"/>
    <w:rsid w:val="00026CE4"/>
    <w:rsid w:val="00030B0C"/>
    <w:rsid w:val="00031AE8"/>
    <w:rsid w:val="000338C2"/>
    <w:rsid w:val="000338EE"/>
    <w:rsid w:val="00036300"/>
    <w:rsid w:val="000363CE"/>
    <w:rsid w:val="00036D58"/>
    <w:rsid w:val="00041632"/>
    <w:rsid w:val="000422D6"/>
    <w:rsid w:val="00043C9B"/>
    <w:rsid w:val="00043E10"/>
    <w:rsid w:val="000452C2"/>
    <w:rsid w:val="0004544C"/>
    <w:rsid w:val="00045B3C"/>
    <w:rsid w:val="00046801"/>
    <w:rsid w:val="00047127"/>
    <w:rsid w:val="00050233"/>
    <w:rsid w:val="0005219D"/>
    <w:rsid w:val="0005261A"/>
    <w:rsid w:val="0005315B"/>
    <w:rsid w:val="000531A3"/>
    <w:rsid w:val="00053D5D"/>
    <w:rsid w:val="00054701"/>
    <w:rsid w:val="000569BB"/>
    <w:rsid w:val="000604EB"/>
    <w:rsid w:val="00061FF8"/>
    <w:rsid w:val="00062C44"/>
    <w:rsid w:val="00062DBF"/>
    <w:rsid w:val="00063589"/>
    <w:rsid w:val="000649FE"/>
    <w:rsid w:val="00065276"/>
    <w:rsid w:val="0006620E"/>
    <w:rsid w:val="000702AC"/>
    <w:rsid w:val="00071E3F"/>
    <w:rsid w:val="00072D7D"/>
    <w:rsid w:val="00074717"/>
    <w:rsid w:val="00075607"/>
    <w:rsid w:val="0007571D"/>
    <w:rsid w:val="00080535"/>
    <w:rsid w:val="0008396D"/>
    <w:rsid w:val="00083C5A"/>
    <w:rsid w:val="00083EB0"/>
    <w:rsid w:val="000853AD"/>
    <w:rsid w:val="00086824"/>
    <w:rsid w:val="00090D11"/>
    <w:rsid w:val="00091AE4"/>
    <w:rsid w:val="00092506"/>
    <w:rsid w:val="00094E7F"/>
    <w:rsid w:val="00096001"/>
    <w:rsid w:val="0009610D"/>
    <w:rsid w:val="000962DF"/>
    <w:rsid w:val="00096BFF"/>
    <w:rsid w:val="00097E9D"/>
    <w:rsid w:val="00097F82"/>
    <w:rsid w:val="000A3051"/>
    <w:rsid w:val="000A3E68"/>
    <w:rsid w:val="000A4776"/>
    <w:rsid w:val="000A5273"/>
    <w:rsid w:val="000A5F95"/>
    <w:rsid w:val="000B0216"/>
    <w:rsid w:val="000B04D5"/>
    <w:rsid w:val="000B14C3"/>
    <w:rsid w:val="000B1C2B"/>
    <w:rsid w:val="000B1EAA"/>
    <w:rsid w:val="000B29ED"/>
    <w:rsid w:val="000B357A"/>
    <w:rsid w:val="000B7657"/>
    <w:rsid w:val="000B798C"/>
    <w:rsid w:val="000B7E44"/>
    <w:rsid w:val="000C092B"/>
    <w:rsid w:val="000C34B3"/>
    <w:rsid w:val="000C3976"/>
    <w:rsid w:val="000C477C"/>
    <w:rsid w:val="000C6050"/>
    <w:rsid w:val="000C6438"/>
    <w:rsid w:val="000C7429"/>
    <w:rsid w:val="000D03AE"/>
    <w:rsid w:val="000D0D08"/>
    <w:rsid w:val="000D1391"/>
    <w:rsid w:val="000D39E6"/>
    <w:rsid w:val="000D5A8F"/>
    <w:rsid w:val="000E1951"/>
    <w:rsid w:val="000E2707"/>
    <w:rsid w:val="000E6152"/>
    <w:rsid w:val="000E6897"/>
    <w:rsid w:val="000F0111"/>
    <w:rsid w:val="000F0435"/>
    <w:rsid w:val="000F0A93"/>
    <w:rsid w:val="000F0E6A"/>
    <w:rsid w:val="000F1155"/>
    <w:rsid w:val="000F1BB2"/>
    <w:rsid w:val="000F2E05"/>
    <w:rsid w:val="000F316B"/>
    <w:rsid w:val="000F352C"/>
    <w:rsid w:val="000F3703"/>
    <w:rsid w:val="000F460B"/>
    <w:rsid w:val="000F587E"/>
    <w:rsid w:val="000F61AE"/>
    <w:rsid w:val="00100105"/>
    <w:rsid w:val="00100122"/>
    <w:rsid w:val="00100646"/>
    <w:rsid w:val="0010289B"/>
    <w:rsid w:val="00103F9B"/>
    <w:rsid w:val="00105931"/>
    <w:rsid w:val="00105A35"/>
    <w:rsid w:val="001067B6"/>
    <w:rsid w:val="00107D28"/>
    <w:rsid w:val="00107EF9"/>
    <w:rsid w:val="001108B2"/>
    <w:rsid w:val="00112BEF"/>
    <w:rsid w:val="00112C8D"/>
    <w:rsid w:val="0011337B"/>
    <w:rsid w:val="0011397F"/>
    <w:rsid w:val="0011404D"/>
    <w:rsid w:val="00114BFB"/>
    <w:rsid w:val="001153CD"/>
    <w:rsid w:val="0011687C"/>
    <w:rsid w:val="0012027B"/>
    <w:rsid w:val="001205FE"/>
    <w:rsid w:val="00120867"/>
    <w:rsid w:val="0012103C"/>
    <w:rsid w:val="0012132F"/>
    <w:rsid w:val="00122264"/>
    <w:rsid w:val="00122DDF"/>
    <w:rsid w:val="0012427E"/>
    <w:rsid w:val="00126C88"/>
    <w:rsid w:val="00131460"/>
    <w:rsid w:val="00131C7F"/>
    <w:rsid w:val="00135F7F"/>
    <w:rsid w:val="00136243"/>
    <w:rsid w:val="00136476"/>
    <w:rsid w:val="00137AAD"/>
    <w:rsid w:val="00140ABB"/>
    <w:rsid w:val="00140B9D"/>
    <w:rsid w:val="001426F0"/>
    <w:rsid w:val="0014464E"/>
    <w:rsid w:val="00145E08"/>
    <w:rsid w:val="00146741"/>
    <w:rsid w:val="001475C8"/>
    <w:rsid w:val="00147D2B"/>
    <w:rsid w:val="00147F12"/>
    <w:rsid w:val="001532B1"/>
    <w:rsid w:val="00153904"/>
    <w:rsid w:val="00153CE0"/>
    <w:rsid w:val="00154A5C"/>
    <w:rsid w:val="00156845"/>
    <w:rsid w:val="00162161"/>
    <w:rsid w:val="00164D9B"/>
    <w:rsid w:val="00167721"/>
    <w:rsid w:val="00167D10"/>
    <w:rsid w:val="001715BD"/>
    <w:rsid w:val="00172581"/>
    <w:rsid w:val="00172B07"/>
    <w:rsid w:val="00172C38"/>
    <w:rsid w:val="00173465"/>
    <w:rsid w:val="00173EA2"/>
    <w:rsid w:val="001740BB"/>
    <w:rsid w:val="00174836"/>
    <w:rsid w:val="00180026"/>
    <w:rsid w:val="0018074F"/>
    <w:rsid w:val="001819AF"/>
    <w:rsid w:val="00181FCB"/>
    <w:rsid w:val="001841FF"/>
    <w:rsid w:val="0018481A"/>
    <w:rsid w:val="00184DFD"/>
    <w:rsid w:val="00185075"/>
    <w:rsid w:val="00185191"/>
    <w:rsid w:val="00186BEA"/>
    <w:rsid w:val="001871E3"/>
    <w:rsid w:val="00187D1A"/>
    <w:rsid w:val="00187DC2"/>
    <w:rsid w:val="00190CEF"/>
    <w:rsid w:val="00190FDE"/>
    <w:rsid w:val="00196010"/>
    <w:rsid w:val="00196E93"/>
    <w:rsid w:val="001A08F9"/>
    <w:rsid w:val="001A2913"/>
    <w:rsid w:val="001A29EF"/>
    <w:rsid w:val="001A2F40"/>
    <w:rsid w:val="001A5A25"/>
    <w:rsid w:val="001A63E2"/>
    <w:rsid w:val="001A69BA"/>
    <w:rsid w:val="001A79FB"/>
    <w:rsid w:val="001B03D2"/>
    <w:rsid w:val="001B048F"/>
    <w:rsid w:val="001B305A"/>
    <w:rsid w:val="001B437B"/>
    <w:rsid w:val="001B4434"/>
    <w:rsid w:val="001B6316"/>
    <w:rsid w:val="001B77C9"/>
    <w:rsid w:val="001C0A99"/>
    <w:rsid w:val="001C3156"/>
    <w:rsid w:val="001C319F"/>
    <w:rsid w:val="001C3B35"/>
    <w:rsid w:val="001C42B3"/>
    <w:rsid w:val="001C4AE1"/>
    <w:rsid w:val="001C53BB"/>
    <w:rsid w:val="001C5A28"/>
    <w:rsid w:val="001D0BD1"/>
    <w:rsid w:val="001D1CEF"/>
    <w:rsid w:val="001D2176"/>
    <w:rsid w:val="001D3236"/>
    <w:rsid w:val="001D3DBB"/>
    <w:rsid w:val="001D421C"/>
    <w:rsid w:val="001D4F95"/>
    <w:rsid w:val="001D6819"/>
    <w:rsid w:val="001E135C"/>
    <w:rsid w:val="001E1906"/>
    <w:rsid w:val="001E1FA3"/>
    <w:rsid w:val="001E3000"/>
    <w:rsid w:val="001E3BF6"/>
    <w:rsid w:val="001E401B"/>
    <w:rsid w:val="001E5FB0"/>
    <w:rsid w:val="001E6DD0"/>
    <w:rsid w:val="001E6E6E"/>
    <w:rsid w:val="001E7FBE"/>
    <w:rsid w:val="001F0088"/>
    <w:rsid w:val="001F16B5"/>
    <w:rsid w:val="001F2779"/>
    <w:rsid w:val="001F2B76"/>
    <w:rsid w:val="001F3256"/>
    <w:rsid w:val="001F3368"/>
    <w:rsid w:val="001F3946"/>
    <w:rsid w:val="001F3E44"/>
    <w:rsid w:val="001F405C"/>
    <w:rsid w:val="001F5AA4"/>
    <w:rsid w:val="001F68F4"/>
    <w:rsid w:val="001F7EE0"/>
    <w:rsid w:val="002012FB"/>
    <w:rsid w:val="002037C2"/>
    <w:rsid w:val="00205181"/>
    <w:rsid w:val="0020536E"/>
    <w:rsid w:val="00205A7D"/>
    <w:rsid w:val="00206B42"/>
    <w:rsid w:val="00210AC7"/>
    <w:rsid w:val="0021315C"/>
    <w:rsid w:val="002135F2"/>
    <w:rsid w:val="0021454F"/>
    <w:rsid w:val="002146E2"/>
    <w:rsid w:val="0021599C"/>
    <w:rsid w:val="00217FA1"/>
    <w:rsid w:val="00220288"/>
    <w:rsid w:val="00223173"/>
    <w:rsid w:val="00225854"/>
    <w:rsid w:val="00225903"/>
    <w:rsid w:val="00226144"/>
    <w:rsid w:val="00226191"/>
    <w:rsid w:val="0022665A"/>
    <w:rsid w:val="00226A84"/>
    <w:rsid w:val="0022712D"/>
    <w:rsid w:val="002273EB"/>
    <w:rsid w:val="002312A8"/>
    <w:rsid w:val="00232BF1"/>
    <w:rsid w:val="00232BF7"/>
    <w:rsid w:val="00233CD3"/>
    <w:rsid w:val="0023667B"/>
    <w:rsid w:val="00236820"/>
    <w:rsid w:val="00236E75"/>
    <w:rsid w:val="00237008"/>
    <w:rsid w:val="002416B7"/>
    <w:rsid w:val="00245190"/>
    <w:rsid w:val="002458DF"/>
    <w:rsid w:val="00246222"/>
    <w:rsid w:val="00250184"/>
    <w:rsid w:val="002508D5"/>
    <w:rsid w:val="00250EDF"/>
    <w:rsid w:val="002523B2"/>
    <w:rsid w:val="00252799"/>
    <w:rsid w:val="002528C2"/>
    <w:rsid w:val="00254955"/>
    <w:rsid w:val="00255547"/>
    <w:rsid w:val="00256904"/>
    <w:rsid w:val="00256B42"/>
    <w:rsid w:val="00260287"/>
    <w:rsid w:val="002626A7"/>
    <w:rsid w:val="00262EDA"/>
    <w:rsid w:val="00262F57"/>
    <w:rsid w:val="00263674"/>
    <w:rsid w:val="002641DC"/>
    <w:rsid w:val="00264272"/>
    <w:rsid w:val="002659F3"/>
    <w:rsid w:val="00265BD1"/>
    <w:rsid w:val="00265FC9"/>
    <w:rsid w:val="00270CD1"/>
    <w:rsid w:val="002710C5"/>
    <w:rsid w:val="002718D7"/>
    <w:rsid w:val="002722DC"/>
    <w:rsid w:val="002739C5"/>
    <w:rsid w:val="00273E8C"/>
    <w:rsid w:val="00273F20"/>
    <w:rsid w:val="002748F6"/>
    <w:rsid w:val="00276202"/>
    <w:rsid w:val="002771E0"/>
    <w:rsid w:val="002801DE"/>
    <w:rsid w:val="002817A9"/>
    <w:rsid w:val="00281850"/>
    <w:rsid w:val="00281DA7"/>
    <w:rsid w:val="00283E59"/>
    <w:rsid w:val="00287564"/>
    <w:rsid w:val="00287A1C"/>
    <w:rsid w:val="002903F5"/>
    <w:rsid w:val="00290F81"/>
    <w:rsid w:val="0029358E"/>
    <w:rsid w:val="00293ACC"/>
    <w:rsid w:val="00293CE5"/>
    <w:rsid w:val="0029556E"/>
    <w:rsid w:val="00295AFC"/>
    <w:rsid w:val="002966A1"/>
    <w:rsid w:val="00297271"/>
    <w:rsid w:val="00297424"/>
    <w:rsid w:val="002A035D"/>
    <w:rsid w:val="002A117C"/>
    <w:rsid w:val="002A1963"/>
    <w:rsid w:val="002A3E76"/>
    <w:rsid w:val="002A6946"/>
    <w:rsid w:val="002A6ABE"/>
    <w:rsid w:val="002A6E9D"/>
    <w:rsid w:val="002A7882"/>
    <w:rsid w:val="002A790A"/>
    <w:rsid w:val="002B17E2"/>
    <w:rsid w:val="002B1E3F"/>
    <w:rsid w:val="002B2A45"/>
    <w:rsid w:val="002B4EF3"/>
    <w:rsid w:val="002B5518"/>
    <w:rsid w:val="002B7493"/>
    <w:rsid w:val="002B7CB3"/>
    <w:rsid w:val="002C079C"/>
    <w:rsid w:val="002C0B2D"/>
    <w:rsid w:val="002C11A5"/>
    <w:rsid w:val="002C12AD"/>
    <w:rsid w:val="002C256E"/>
    <w:rsid w:val="002C52F1"/>
    <w:rsid w:val="002C5C29"/>
    <w:rsid w:val="002C66A2"/>
    <w:rsid w:val="002C67FB"/>
    <w:rsid w:val="002C7EA2"/>
    <w:rsid w:val="002D08D6"/>
    <w:rsid w:val="002D39AD"/>
    <w:rsid w:val="002D3A88"/>
    <w:rsid w:val="002D48CC"/>
    <w:rsid w:val="002D4CD9"/>
    <w:rsid w:val="002D6A81"/>
    <w:rsid w:val="002D74C4"/>
    <w:rsid w:val="002E046E"/>
    <w:rsid w:val="002E1671"/>
    <w:rsid w:val="002E2420"/>
    <w:rsid w:val="002E43B6"/>
    <w:rsid w:val="002E6027"/>
    <w:rsid w:val="002E68FE"/>
    <w:rsid w:val="002F2ACB"/>
    <w:rsid w:val="002F2CBF"/>
    <w:rsid w:val="002F3777"/>
    <w:rsid w:val="002F68F4"/>
    <w:rsid w:val="00303299"/>
    <w:rsid w:val="003058BC"/>
    <w:rsid w:val="00305A07"/>
    <w:rsid w:val="00306C34"/>
    <w:rsid w:val="00306C50"/>
    <w:rsid w:val="0030738C"/>
    <w:rsid w:val="003073C9"/>
    <w:rsid w:val="00310889"/>
    <w:rsid w:val="00314CBC"/>
    <w:rsid w:val="0031695D"/>
    <w:rsid w:val="0032053D"/>
    <w:rsid w:val="0032148E"/>
    <w:rsid w:val="003215E2"/>
    <w:rsid w:val="00321B6C"/>
    <w:rsid w:val="00321C84"/>
    <w:rsid w:val="0032244D"/>
    <w:rsid w:val="00324E9E"/>
    <w:rsid w:val="00325463"/>
    <w:rsid w:val="003312C8"/>
    <w:rsid w:val="00331329"/>
    <w:rsid w:val="00331B47"/>
    <w:rsid w:val="00331D4E"/>
    <w:rsid w:val="0033219C"/>
    <w:rsid w:val="00332D8F"/>
    <w:rsid w:val="003343CA"/>
    <w:rsid w:val="00334F3D"/>
    <w:rsid w:val="003353D2"/>
    <w:rsid w:val="00335814"/>
    <w:rsid w:val="003368A3"/>
    <w:rsid w:val="003368E2"/>
    <w:rsid w:val="003374EB"/>
    <w:rsid w:val="003400E9"/>
    <w:rsid w:val="0034011B"/>
    <w:rsid w:val="00340246"/>
    <w:rsid w:val="003427FA"/>
    <w:rsid w:val="00343118"/>
    <w:rsid w:val="003433FA"/>
    <w:rsid w:val="00344871"/>
    <w:rsid w:val="00344C0B"/>
    <w:rsid w:val="00345F40"/>
    <w:rsid w:val="00346497"/>
    <w:rsid w:val="00346DCB"/>
    <w:rsid w:val="003472A7"/>
    <w:rsid w:val="00347397"/>
    <w:rsid w:val="00353E9D"/>
    <w:rsid w:val="003563C1"/>
    <w:rsid w:val="00361B43"/>
    <w:rsid w:val="003623B1"/>
    <w:rsid w:val="00365D85"/>
    <w:rsid w:val="00366500"/>
    <w:rsid w:val="00371CFB"/>
    <w:rsid w:val="00373669"/>
    <w:rsid w:val="00374A75"/>
    <w:rsid w:val="003811A4"/>
    <w:rsid w:val="0038136A"/>
    <w:rsid w:val="00381F0C"/>
    <w:rsid w:val="00382B6A"/>
    <w:rsid w:val="00382DA1"/>
    <w:rsid w:val="00382DAA"/>
    <w:rsid w:val="00383587"/>
    <w:rsid w:val="00384660"/>
    <w:rsid w:val="00385141"/>
    <w:rsid w:val="00387E99"/>
    <w:rsid w:val="003901D5"/>
    <w:rsid w:val="003914E3"/>
    <w:rsid w:val="00391D5B"/>
    <w:rsid w:val="00392762"/>
    <w:rsid w:val="00393277"/>
    <w:rsid w:val="00394A26"/>
    <w:rsid w:val="00397114"/>
    <w:rsid w:val="0039768C"/>
    <w:rsid w:val="00397DD3"/>
    <w:rsid w:val="003A07BF"/>
    <w:rsid w:val="003A28E7"/>
    <w:rsid w:val="003A4346"/>
    <w:rsid w:val="003A4767"/>
    <w:rsid w:val="003A531B"/>
    <w:rsid w:val="003A5530"/>
    <w:rsid w:val="003A6708"/>
    <w:rsid w:val="003A6F0A"/>
    <w:rsid w:val="003B06E0"/>
    <w:rsid w:val="003B105A"/>
    <w:rsid w:val="003B3A3E"/>
    <w:rsid w:val="003B3DC1"/>
    <w:rsid w:val="003B4544"/>
    <w:rsid w:val="003B533B"/>
    <w:rsid w:val="003B5341"/>
    <w:rsid w:val="003B5EF6"/>
    <w:rsid w:val="003B6421"/>
    <w:rsid w:val="003B6F75"/>
    <w:rsid w:val="003C0138"/>
    <w:rsid w:val="003C0BCF"/>
    <w:rsid w:val="003C300A"/>
    <w:rsid w:val="003C401F"/>
    <w:rsid w:val="003C5EF1"/>
    <w:rsid w:val="003C618F"/>
    <w:rsid w:val="003C63D7"/>
    <w:rsid w:val="003C6559"/>
    <w:rsid w:val="003C73DB"/>
    <w:rsid w:val="003D0E20"/>
    <w:rsid w:val="003D254B"/>
    <w:rsid w:val="003D4574"/>
    <w:rsid w:val="003D5B63"/>
    <w:rsid w:val="003D5BD6"/>
    <w:rsid w:val="003D6D33"/>
    <w:rsid w:val="003D6E79"/>
    <w:rsid w:val="003D7550"/>
    <w:rsid w:val="003D7BD0"/>
    <w:rsid w:val="003E2A4D"/>
    <w:rsid w:val="003E36EC"/>
    <w:rsid w:val="003E4BA1"/>
    <w:rsid w:val="003E51E0"/>
    <w:rsid w:val="003E5CB1"/>
    <w:rsid w:val="003E7003"/>
    <w:rsid w:val="003E7E76"/>
    <w:rsid w:val="003F094F"/>
    <w:rsid w:val="003F1B6D"/>
    <w:rsid w:val="003F1DE5"/>
    <w:rsid w:val="003F2F66"/>
    <w:rsid w:val="003F3E95"/>
    <w:rsid w:val="003F4BAA"/>
    <w:rsid w:val="003F6C94"/>
    <w:rsid w:val="003F7BA7"/>
    <w:rsid w:val="004016AD"/>
    <w:rsid w:val="004018F6"/>
    <w:rsid w:val="00402166"/>
    <w:rsid w:val="00403291"/>
    <w:rsid w:val="00403B86"/>
    <w:rsid w:val="00405123"/>
    <w:rsid w:val="004071A9"/>
    <w:rsid w:val="00410EBC"/>
    <w:rsid w:val="00411600"/>
    <w:rsid w:val="004121D5"/>
    <w:rsid w:val="00413209"/>
    <w:rsid w:val="00414769"/>
    <w:rsid w:val="00415E94"/>
    <w:rsid w:val="00416F51"/>
    <w:rsid w:val="004175FE"/>
    <w:rsid w:val="00420056"/>
    <w:rsid w:val="00420080"/>
    <w:rsid w:val="004200CE"/>
    <w:rsid w:val="0042056B"/>
    <w:rsid w:val="004211B5"/>
    <w:rsid w:val="0042170C"/>
    <w:rsid w:val="0042289D"/>
    <w:rsid w:val="00422B0D"/>
    <w:rsid w:val="00425DB3"/>
    <w:rsid w:val="00431572"/>
    <w:rsid w:val="00432A5D"/>
    <w:rsid w:val="00432A70"/>
    <w:rsid w:val="00433AC4"/>
    <w:rsid w:val="004342A4"/>
    <w:rsid w:val="004345E8"/>
    <w:rsid w:val="00434D26"/>
    <w:rsid w:val="004352F2"/>
    <w:rsid w:val="00436A9E"/>
    <w:rsid w:val="00436AC8"/>
    <w:rsid w:val="00436EEF"/>
    <w:rsid w:val="00441CED"/>
    <w:rsid w:val="00442655"/>
    <w:rsid w:val="004438C8"/>
    <w:rsid w:val="00444310"/>
    <w:rsid w:val="00447025"/>
    <w:rsid w:val="0044780A"/>
    <w:rsid w:val="00452C14"/>
    <w:rsid w:val="00452FBE"/>
    <w:rsid w:val="00454094"/>
    <w:rsid w:val="00454B2C"/>
    <w:rsid w:val="00454C92"/>
    <w:rsid w:val="00454EFD"/>
    <w:rsid w:val="00456260"/>
    <w:rsid w:val="00457AE7"/>
    <w:rsid w:val="00457BFC"/>
    <w:rsid w:val="00462F22"/>
    <w:rsid w:val="004636A0"/>
    <w:rsid w:val="00466CC6"/>
    <w:rsid w:val="00466E72"/>
    <w:rsid w:val="00466F65"/>
    <w:rsid w:val="0047207F"/>
    <w:rsid w:val="004736A1"/>
    <w:rsid w:val="0047396A"/>
    <w:rsid w:val="004749BE"/>
    <w:rsid w:val="00474C20"/>
    <w:rsid w:val="004770D2"/>
    <w:rsid w:val="004802A5"/>
    <w:rsid w:val="004820E0"/>
    <w:rsid w:val="00485522"/>
    <w:rsid w:val="004919D4"/>
    <w:rsid w:val="00493711"/>
    <w:rsid w:val="00493B9B"/>
    <w:rsid w:val="00493CB1"/>
    <w:rsid w:val="00493EB0"/>
    <w:rsid w:val="00494ACE"/>
    <w:rsid w:val="00495570"/>
    <w:rsid w:val="004A01EB"/>
    <w:rsid w:val="004A116C"/>
    <w:rsid w:val="004A1B36"/>
    <w:rsid w:val="004A4360"/>
    <w:rsid w:val="004B01B9"/>
    <w:rsid w:val="004B0616"/>
    <w:rsid w:val="004B0D3A"/>
    <w:rsid w:val="004B13E7"/>
    <w:rsid w:val="004B4BA5"/>
    <w:rsid w:val="004B577E"/>
    <w:rsid w:val="004B61F5"/>
    <w:rsid w:val="004B6495"/>
    <w:rsid w:val="004B6755"/>
    <w:rsid w:val="004C0256"/>
    <w:rsid w:val="004C0831"/>
    <w:rsid w:val="004C1903"/>
    <w:rsid w:val="004C3EDB"/>
    <w:rsid w:val="004C4957"/>
    <w:rsid w:val="004C6269"/>
    <w:rsid w:val="004C73AE"/>
    <w:rsid w:val="004C75E9"/>
    <w:rsid w:val="004C7C5C"/>
    <w:rsid w:val="004D0A63"/>
    <w:rsid w:val="004D1979"/>
    <w:rsid w:val="004D209F"/>
    <w:rsid w:val="004D24F3"/>
    <w:rsid w:val="004D2A37"/>
    <w:rsid w:val="004D42D2"/>
    <w:rsid w:val="004D45C5"/>
    <w:rsid w:val="004D6350"/>
    <w:rsid w:val="004D6A7E"/>
    <w:rsid w:val="004D6E12"/>
    <w:rsid w:val="004D76A1"/>
    <w:rsid w:val="004E218D"/>
    <w:rsid w:val="004E2438"/>
    <w:rsid w:val="004E260E"/>
    <w:rsid w:val="004E2F0A"/>
    <w:rsid w:val="004E2F0C"/>
    <w:rsid w:val="004E3338"/>
    <w:rsid w:val="004E4FD9"/>
    <w:rsid w:val="004E5D01"/>
    <w:rsid w:val="004F0990"/>
    <w:rsid w:val="004F5043"/>
    <w:rsid w:val="004F5C39"/>
    <w:rsid w:val="004F5DB2"/>
    <w:rsid w:val="004F7167"/>
    <w:rsid w:val="00501305"/>
    <w:rsid w:val="00504A7B"/>
    <w:rsid w:val="005050B3"/>
    <w:rsid w:val="00505616"/>
    <w:rsid w:val="005056D3"/>
    <w:rsid w:val="00505C0B"/>
    <w:rsid w:val="00512A5C"/>
    <w:rsid w:val="0051325F"/>
    <w:rsid w:val="00513312"/>
    <w:rsid w:val="00514466"/>
    <w:rsid w:val="00514B5F"/>
    <w:rsid w:val="005156E2"/>
    <w:rsid w:val="00516039"/>
    <w:rsid w:val="0052022F"/>
    <w:rsid w:val="0052114E"/>
    <w:rsid w:val="005214C9"/>
    <w:rsid w:val="005223AA"/>
    <w:rsid w:val="00522727"/>
    <w:rsid w:val="00524998"/>
    <w:rsid w:val="00525CFE"/>
    <w:rsid w:val="00526086"/>
    <w:rsid w:val="005260AC"/>
    <w:rsid w:val="00526174"/>
    <w:rsid w:val="00527E79"/>
    <w:rsid w:val="00530E3F"/>
    <w:rsid w:val="00531A30"/>
    <w:rsid w:val="005348F0"/>
    <w:rsid w:val="0053593A"/>
    <w:rsid w:val="00535D18"/>
    <w:rsid w:val="00536652"/>
    <w:rsid w:val="0053734F"/>
    <w:rsid w:val="00537EE6"/>
    <w:rsid w:val="00540E32"/>
    <w:rsid w:val="005415C8"/>
    <w:rsid w:val="005417C9"/>
    <w:rsid w:val="0054220C"/>
    <w:rsid w:val="00543342"/>
    <w:rsid w:val="005440C1"/>
    <w:rsid w:val="0054466B"/>
    <w:rsid w:val="00544B80"/>
    <w:rsid w:val="00545EF8"/>
    <w:rsid w:val="00546B65"/>
    <w:rsid w:val="00547654"/>
    <w:rsid w:val="00550C13"/>
    <w:rsid w:val="00552923"/>
    <w:rsid w:val="00553342"/>
    <w:rsid w:val="00553494"/>
    <w:rsid w:val="00554E08"/>
    <w:rsid w:val="005556D3"/>
    <w:rsid w:val="0055689F"/>
    <w:rsid w:val="00557BF1"/>
    <w:rsid w:val="00560703"/>
    <w:rsid w:val="00560EDC"/>
    <w:rsid w:val="005610FD"/>
    <w:rsid w:val="00563820"/>
    <w:rsid w:val="0056472A"/>
    <w:rsid w:val="00565849"/>
    <w:rsid w:val="0056704D"/>
    <w:rsid w:val="00567C95"/>
    <w:rsid w:val="00567D8D"/>
    <w:rsid w:val="005717ED"/>
    <w:rsid w:val="0057268B"/>
    <w:rsid w:val="0057548C"/>
    <w:rsid w:val="00575EEA"/>
    <w:rsid w:val="00582C37"/>
    <w:rsid w:val="00584501"/>
    <w:rsid w:val="005866C4"/>
    <w:rsid w:val="00590800"/>
    <w:rsid w:val="00591CD9"/>
    <w:rsid w:val="00591EEA"/>
    <w:rsid w:val="00591FF3"/>
    <w:rsid w:val="005921B4"/>
    <w:rsid w:val="00594BDC"/>
    <w:rsid w:val="00595732"/>
    <w:rsid w:val="005966A2"/>
    <w:rsid w:val="0059732E"/>
    <w:rsid w:val="005A1B41"/>
    <w:rsid w:val="005A5988"/>
    <w:rsid w:val="005A72DD"/>
    <w:rsid w:val="005A72F7"/>
    <w:rsid w:val="005B2446"/>
    <w:rsid w:val="005B3158"/>
    <w:rsid w:val="005B4A56"/>
    <w:rsid w:val="005B4CEA"/>
    <w:rsid w:val="005B67ED"/>
    <w:rsid w:val="005B6A61"/>
    <w:rsid w:val="005B7313"/>
    <w:rsid w:val="005B77D1"/>
    <w:rsid w:val="005B78B6"/>
    <w:rsid w:val="005B7F34"/>
    <w:rsid w:val="005C1CFD"/>
    <w:rsid w:val="005C1FCA"/>
    <w:rsid w:val="005C2A5A"/>
    <w:rsid w:val="005C30D4"/>
    <w:rsid w:val="005C6730"/>
    <w:rsid w:val="005C6B5E"/>
    <w:rsid w:val="005C7265"/>
    <w:rsid w:val="005C7D70"/>
    <w:rsid w:val="005D250F"/>
    <w:rsid w:val="005D364B"/>
    <w:rsid w:val="005D4F7D"/>
    <w:rsid w:val="005D5057"/>
    <w:rsid w:val="005D78A7"/>
    <w:rsid w:val="005E100D"/>
    <w:rsid w:val="005E26E1"/>
    <w:rsid w:val="005E3D9F"/>
    <w:rsid w:val="005E5F5E"/>
    <w:rsid w:val="005E6474"/>
    <w:rsid w:val="005E685F"/>
    <w:rsid w:val="005E6AD0"/>
    <w:rsid w:val="005E7EDA"/>
    <w:rsid w:val="005F0923"/>
    <w:rsid w:val="005F1E01"/>
    <w:rsid w:val="005F318B"/>
    <w:rsid w:val="005F4F72"/>
    <w:rsid w:val="005F67CC"/>
    <w:rsid w:val="006020E8"/>
    <w:rsid w:val="00603106"/>
    <w:rsid w:val="0060633E"/>
    <w:rsid w:val="006075C3"/>
    <w:rsid w:val="006076E7"/>
    <w:rsid w:val="00607EBC"/>
    <w:rsid w:val="00610DB8"/>
    <w:rsid w:val="006120A0"/>
    <w:rsid w:val="00612328"/>
    <w:rsid w:val="00612FC6"/>
    <w:rsid w:val="00613389"/>
    <w:rsid w:val="006149D1"/>
    <w:rsid w:val="00615297"/>
    <w:rsid w:val="006155AA"/>
    <w:rsid w:val="006168A4"/>
    <w:rsid w:val="0061719F"/>
    <w:rsid w:val="00617E8D"/>
    <w:rsid w:val="00622396"/>
    <w:rsid w:val="0062396F"/>
    <w:rsid w:val="006248D5"/>
    <w:rsid w:val="00624EEA"/>
    <w:rsid w:val="00627E49"/>
    <w:rsid w:val="0063038A"/>
    <w:rsid w:val="0063240C"/>
    <w:rsid w:val="0063293B"/>
    <w:rsid w:val="00634F84"/>
    <w:rsid w:val="00635C26"/>
    <w:rsid w:val="00635D52"/>
    <w:rsid w:val="0063600B"/>
    <w:rsid w:val="00637C83"/>
    <w:rsid w:val="00637D3F"/>
    <w:rsid w:val="00640EAA"/>
    <w:rsid w:val="00644983"/>
    <w:rsid w:val="0064498D"/>
    <w:rsid w:val="00645E0B"/>
    <w:rsid w:val="006472F4"/>
    <w:rsid w:val="00647534"/>
    <w:rsid w:val="00647F96"/>
    <w:rsid w:val="00650C92"/>
    <w:rsid w:val="00652C21"/>
    <w:rsid w:val="00653DFB"/>
    <w:rsid w:val="00654CFD"/>
    <w:rsid w:val="006557D7"/>
    <w:rsid w:val="00655B5D"/>
    <w:rsid w:val="0065677C"/>
    <w:rsid w:val="006606A3"/>
    <w:rsid w:val="00661DE5"/>
    <w:rsid w:val="00662378"/>
    <w:rsid w:val="0066383A"/>
    <w:rsid w:val="00663A40"/>
    <w:rsid w:val="00664560"/>
    <w:rsid w:val="006647C4"/>
    <w:rsid w:val="0066537F"/>
    <w:rsid w:val="00666C32"/>
    <w:rsid w:val="006703C9"/>
    <w:rsid w:val="00671076"/>
    <w:rsid w:val="00671666"/>
    <w:rsid w:val="00672014"/>
    <w:rsid w:val="006733A8"/>
    <w:rsid w:val="00673674"/>
    <w:rsid w:val="00674873"/>
    <w:rsid w:val="00674B18"/>
    <w:rsid w:val="00677160"/>
    <w:rsid w:val="00683586"/>
    <w:rsid w:val="00683E53"/>
    <w:rsid w:val="00684F97"/>
    <w:rsid w:val="006856D9"/>
    <w:rsid w:val="00685D80"/>
    <w:rsid w:val="00686968"/>
    <w:rsid w:val="006877E7"/>
    <w:rsid w:val="00692CE1"/>
    <w:rsid w:val="0069425D"/>
    <w:rsid w:val="0069436B"/>
    <w:rsid w:val="006A3377"/>
    <w:rsid w:val="006A66B0"/>
    <w:rsid w:val="006A6A9B"/>
    <w:rsid w:val="006A6FD0"/>
    <w:rsid w:val="006B080E"/>
    <w:rsid w:val="006B4BA6"/>
    <w:rsid w:val="006B685D"/>
    <w:rsid w:val="006C0907"/>
    <w:rsid w:val="006C1C62"/>
    <w:rsid w:val="006C2DEA"/>
    <w:rsid w:val="006C2E04"/>
    <w:rsid w:val="006C304B"/>
    <w:rsid w:val="006C3196"/>
    <w:rsid w:val="006D2212"/>
    <w:rsid w:val="006D4FC4"/>
    <w:rsid w:val="006D550A"/>
    <w:rsid w:val="006D73F2"/>
    <w:rsid w:val="006D7FF3"/>
    <w:rsid w:val="006E0318"/>
    <w:rsid w:val="006E1688"/>
    <w:rsid w:val="006E2B1E"/>
    <w:rsid w:val="006E3B0D"/>
    <w:rsid w:val="006E3DA9"/>
    <w:rsid w:val="006E3DDF"/>
    <w:rsid w:val="006E64BC"/>
    <w:rsid w:val="006E6868"/>
    <w:rsid w:val="006E728E"/>
    <w:rsid w:val="006F0693"/>
    <w:rsid w:val="006F1C00"/>
    <w:rsid w:val="006F41AB"/>
    <w:rsid w:val="006F4A05"/>
    <w:rsid w:val="006F5407"/>
    <w:rsid w:val="006F57A6"/>
    <w:rsid w:val="006F7C8C"/>
    <w:rsid w:val="00700B82"/>
    <w:rsid w:val="00702DC9"/>
    <w:rsid w:val="007042DD"/>
    <w:rsid w:val="00704843"/>
    <w:rsid w:val="00706126"/>
    <w:rsid w:val="00706B3B"/>
    <w:rsid w:val="00707F69"/>
    <w:rsid w:val="00710547"/>
    <w:rsid w:val="007112FE"/>
    <w:rsid w:val="007115F7"/>
    <w:rsid w:val="00711B34"/>
    <w:rsid w:val="00711D6B"/>
    <w:rsid w:val="00713BE6"/>
    <w:rsid w:val="00713EBF"/>
    <w:rsid w:val="00714FD7"/>
    <w:rsid w:val="00715532"/>
    <w:rsid w:val="00715666"/>
    <w:rsid w:val="00715A5F"/>
    <w:rsid w:val="00716917"/>
    <w:rsid w:val="00717E46"/>
    <w:rsid w:val="007205B5"/>
    <w:rsid w:val="00723EAE"/>
    <w:rsid w:val="00725681"/>
    <w:rsid w:val="0072776E"/>
    <w:rsid w:val="00731211"/>
    <w:rsid w:val="00732309"/>
    <w:rsid w:val="007325C3"/>
    <w:rsid w:val="0073326F"/>
    <w:rsid w:val="00734734"/>
    <w:rsid w:val="00734FB0"/>
    <w:rsid w:val="007363D9"/>
    <w:rsid w:val="00737CEF"/>
    <w:rsid w:val="007412BB"/>
    <w:rsid w:val="007434BC"/>
    <w:rsid w:val="00743885"/>
    <w:rsid w:val="00743CDB"/>
    <w:rsid w:val="00744AE1"/>
    <w:rsid w:val="00745AB4"/>
    <w:rsid w:val="007470E1"/>
    <w:rsid w:val="007476FD"/>
    <w:rsid w:val="007479D6"/>
    <w:rsid w:val="00750D8C"/>
    <w:rsid w:val="00751F97"/>
    <w:rsid w:val="00752D0E"/>
    <w:rsid w:val="00753CE3"/>
    <w:rsid w:val="00755564"/>
    <w:rsid w:val="00755697"/>
    <w:rsid w:val="00755809"/>
    <w:rsid w:val="00757D29"/>
    <w:rsid w:val="00757E63"/>
    <w:rsid w:val="007627EA"/>
    <w:rsid w:val="00764242"/>
    <w:rsid w:val="00765619"/>
    <w:rsid w:val="00766B60"/>
    <w:rsid w:val="00767783"/>
    <w:rsid w:val="00770D3A"/>
    <w:rsid w:val="0077103F"/>
    <w:rsid w:val="00771599"/>
    <w:rsid w:val="00773432"/>
    <w:rsid w:val="007740F7"/>
    <w:rsid w:val="00776451"/>
    <w:rsid w:val="00776A79"/>
    <w:rsid w:val="0077743C"/>
    <w:rsid w:val="00777B51"/>
    <w:rsid w:val="00780410"/>
    <w:rsid w:val="00781BFC"/>
    <w:rsid w:val="0078216E"/>
    <w:rsid w:val="00782257"/>
    <w:rsid w:val="0078457A"/>
    <w:rsid w:val="0078556C"/>
    <w:rsid w:val="00785772"/>
    <w:rsid w:val="0078649E"/>
    <w:rsid w:val="00786ECD"/>
    <w:rsid w:val="00787848"/>
    <w:rsid w:val="00787DBC"/>
    <w:rsid w:val="007908B4"/>
    <w:rsid w:val="00790B4B"/>
    <w:rsid w:val="00791577"/>
    <w:rsid w:val="007917E8"/>
    <w:rsid w:val="00792AD9"/>
    <w:rsid w:val="00794B4C"/>
    <w:rsid w:val="007965F6"/>
    <w:rsid w:val="007A2AF2"/>
    <w:rsid w:val="007A3619"/>
    <w:rsid w:val="007A400F"/>
    <w:rsid w:val="007A6BE9"/>
    <w:rsid w:val="007A6F6F"/>
    <w:rsid w:val="007B076B"/>
    <w:rsid w:val="007B161C"/>
    <w:rsid w:val="007B1B20"/>
    <w:rsid w:val="007B25BE"/>
    <w:rsid w:val="007B5BDB"/>
    <w:rsid w:val="007B79A6"/>
    <w:rsid w:val="007C197B"/>
    <w:rsid w:val="007C3802"/>
    <w:rsid w:val="007C3FB4"/>
    <w:rsid w:val="007C416C"/>
    <w:rsid w:val="007C4D4F"/>
    <w:rsid w:val="007C56E3"/>
    <w:rsid w:val="007C5AB9"/>
    <w:rsid w:val="007C7AB8"/>
    <w:rsid w:val="007D0254"/>
    <w:rsid w:val="007D0DA2"/>
    <w:rsid w:val="007D1000"/>
    <w:rsid w:val="007D12CB"/>
    <w:rsid w:val="007D2CDF"/>
    <w:rsid w:val="007D4052"/>
    <w:rsid w:val="007D5BA0"/>
    <w:rsid w:val="007D74ED"/>
    <w:rsid w:val="007E066B"/>
    <w:rsid w:val="007E10B6"/>
    <w:rsid w:val="007E1840"/>
    <w:rsid w:val="007E2F5D"/>
    <w:rsid w:val="007E3473"/>
    <w:rsid w:val="007E39BB"/>
    <w:rsid w:val="007E3F37"/>
    <w:rsid w:val="007E45A0"/>
    <w:rsid w:val="007E5161"/>
    <w:rsid w:val="007E5879"/>
    <w:rsid w:val="007E6EDD"/>
    <w:rsid w:val="007F17D4"/>
    <w:rsid w:val="007F29BF"/>
    <w:rsid w:val="007F3697"/>
    <w:rsid w:val="007F3C22"/>
    <w:rsid w:val="007F3C44"/>
    <w:rsid w:val="007F3F8E"/>
    <w:rsid w:val="007F453A"/>
    <w:rsid w:val="007F7142"/>
    <w:rsid w:val="0080144D"/>
    <w:rsid w:val="00801783"/>
    <w:rsid w:val="00802184"/>
    <w:rsid w:val="00803264"/>
    <w:rsid w:val="008034B4"/>
    <w:rsid w:val="00804AA7"/>
    <w:rsid w:val="00805B0A"/>
    <w:rsid w:val="008063C8"/>
    <w:rsid w:val="00806AEF"/>
    <w:rsid w:val="008102A6"/>
    <w:rsid w:val="00811247"/>
    <w:rsid w:val="00812785"/>
    <w:rsid w:val="00813F43"/>
    <w:rsid w:val="00814284"/>
    <w:rsid w:val="00816449"/>
    <w:rsid w:val="00816F70"/>
    <w:rsid w:val="00817123"/>
    <w:rsid w:val="008173F6"/>
    <w:rsid w:val="008218CC"/>
    <w:rsid w:val="008225CF"/>
    <w:rsid w:val="00823395"/>
    <w:rsid w:val="00823D57"/>
    <w:rsid w:val="00827CE2"/>
    <w:rsid w:val="0083078C"/>
    <w:rsid w:val="008313D3"/>
    <w:rsid w:val="00832258"/>
    <w:rsid w:val="0083226B"/>
    <w:rsid w:val="00832BFB"/>
    <w:rsid w:val="00834F39"/>
    <w:rsid w:val="0083590C"/>
    <w:rsid w:val="00836DF6"/>
    <w:rsid w:val="008406DB"/>
    <w:rsid w:val="00844622"/>
    <w:rsid w:val="00844893"/>
    <w:rsid w:val="008464FB"/>
    <w:rsid w:val="00846B17"/>
    <w:rsid w:val="00847F8B"/>
    <w:rsid w:val="00850AE9"/>
    <w:rsid w:val="008513EB"/>
    <w:rsid w:val="00854197"/>
    <w:rsid w:val="00860271"/>
    <w:rsid w:val="0086225C"/>
    <w:rsid w:val="00862B6D"/>
    <w:rsid w:val="008635E6"/>
    <w:rsid w:val="008641FA"/>
    <w:rsid w:val="00866326"/>
    <w:rsid w:val="008666BC"/>
    <w:rsid w:val="00867A33"/>
    <w:rsid w:val="008711DB"/>
    <w:rsid w:val="00871995"/>
    <w:rsid w:val="00873C9D"/>
    <w:rsid w:val="008742A5"/>
    <w:rsid w:val="00874CFC"/>
    <w:rsid w:val="00875D92"/>
    <w:rsid w:val="00883350"/>
    <w:rsid w:val="00886A10"/>
    <w:rsid w:val="00890D8C"/>
    <w:rsid w:val="00890DC3"/>
    <w:rsid w:val="00891379"/>
    <w:rsid w:val="00891DAD"/>
    <w:rsid w:val="00894C98"/>
    <w:rsid w:val="00897242"/>
    <w:rsid w:val="008A062A"/>
    <w:rsid w:val="008A0B16"/>
    <w:rsid w:val="008A1161"/>
    <w:rsid w:val="008A1A2C"/>
    <w:rsid w:val="008A5F1D"/>
    <w:rsid w:val="008A6452"/>
    <w:rsid w:val="008A685E"/>
    <w:rsid w:val="008A7ED0"/>
    <w:rsid w:val="008A7EFD"/>
    <w:rsid w:val="008B006E"/>
    <w:rsid w:val="008B1964"/>
    <w:rsid w:val="008B19A0"/>
    <w:rsid w:val="008B438D"/>
    <w:rsid w:val="008B4AFB"/>
    <w:rsid w:val="008B529E"/>
    <w:rsid w:val="008B58E5"/>
    <w:rsid w:val="008B791F"/>
    <w:rsid w:val="008C26E9"/>
    <w:rsid w:val="008C464B"/>
    <w:rsid w:val="008C7C65"/>
    <w:rsid w:val="008D115E"/>
    <w:rsid w:val="008D1BE7"/>
    <w:rsid w:val="008D1E4D"/>
    <w:rsid w:val="008D1F5E"/>
    <w:rsid w:val="008D47B3"/>
    <w:rsid w:val="008D4CED"/>
    <w:rsid w:val="008D5219"/>
    <w:rsid w:val="008D6AFE"/>
    <w:rsid w:val="008E0D87"/>
    <w:rsid w:val="008E14F9"/>
    <w:rsid w:val="008E4FF4"/>
    <w:rsid w:val="008E6CB0"/>
    <w:rsid w:val="008E7579"/>
    <w:rsid w:val="008E7991"/>
    <w:rsid w:val="008F0F79"/>
    <w:rsid w:val="008F1FA3"/>
    <w:rsid w:val="008F357B"/>
    <w:rsid w:val="008F4B6E"/>
    <w:rsid w:val="008F7BA7"/>
    <w:rsid w:val="009012DC"/>
    <w:rsid w:val="00901EA9"/>
    <w:rsid w:val="009027F8"/>
    <w:rsid w:val="00902823"/>
    <w:rsid w:val="00902EDB"/>
    <w:rsid w:val="00903934"/>
    <w:rsid w:val="0090576A"/>
    <w:rsid w:val="00906500"/>
    <w:rsid w:val="00906DB9"/>
    <w:rsid w:val="00906F7A"/>
    <w:rsid w:val="00906FA2"/>
    <w:rsid w:val="00910008"/>
    <w:rsid w:val="00911E12"/>
    <w:rsid w:val="00912643"/>
    <w:rsid w:val="00913515"/>
    <w:rsid w:val="00913674"/>
    <w:rsid w:val="00913CD7"/>
    <w:rsid w:val="009150E9"/>
    <w:rsid w:val="009169D9"/>
    <w:rsid w:val="00920FB9"/>
    <w:rsid w:val="00921BEF"/>
    <w:rsid w:val="00922BC7"/>
    <w:rsid w:val="00924198"/>
    <w:rsid w:val="009244F0"/>
    <w:rsid w:val="00930DCE"/>
    <w:rsid w:val="00930E13"/>
    <w:rsid w:val="00931A3A"/>
    <w:rsid w:val="00932FF9"/>
    <w:rsid w:val="00933C71"/>
    <w:rsid w:val="00933CF1"/>
    <w:rsid w:val="009360EB"/>
    <w:rsid w:val="0093638C"/>
    <w:rsid w:val="00937A4E"/>
    <w:rsid w:val="00940993"/>
    <w:rsid w:val="00941155"/>
    <w:rsid w:val="009450EF"/>
    <w:rsid w:val="009470DD"/>
    <w:rsid w:val="009508B5"/>
    <w:rsid w:val="00955661"/>
    <w:rsid w:val="009566F4"/>
    <w:rsid w:val="00957948"/>
    <w:rsid w:val="00957FDC"/>
    <w:rsid w:val="009626A3"/>
    <w:rsid w:val="0096437D"/>
    <w:rsid w:val="00964576"/>
    <w:rsid w:val="00966093"/>
    <w:rsid w:val="009676FC"/>
    <w:rsid w:val="009708B5"/>
    <w:rsid w:val="009711C6"/>
    <w:rsid w:val="009714F0"/>
    <w:rsid w:val="009716F7"/>
    <w:rsid w:val="0097406A"/>
    <w:rsid w:val="00974A8A"/>
    <w:rsid w:val="0097633D"/>
    <w:rsid w:val="00977DB8"/>
    <w:rsid w:val="009803CA"/>
    <w:rsid w:val="00980AA0"/>
    <w:rsid w:val="00981A39"/>
    <w:rsid w:val="00981F23"/>
    <w:rsid w:val="00982002"/>
    <w:rsid w:val="009847FB"/>
    <w:rsid w:val="00985084"/>
    <w:rsid w:val="00986521"/>
    <w:rsid w:val="009879E0"/>
    <w:rsid w:val="00987E94"/>
    <w:rsid w:val="00990196"/>
    <w:rsid w:val="009901D6"/>
    <w:rsid w:val="00992A29"/>
    <w:rsid w:val="00993B8D"/>
    <w:rsid w:val="0099541B"/>
    <w:rsid w:val="0099552F"/>
    <w:rsid w:val="00995793"/>
    <w:rsid w:val="00995C68"/>
    <w:rsid w:val="009973E6"/>
    <w:rsid w:val="00997B60"/>
    <w:rsid w:val="00997EF3"/>
    <w:rsid w:val="009A09C6"/>
    <w:rsid w:val="009A0D62"/>
    <w:rsid w:val="009A2403"/>
    <w:rsid w:val="009A259B"/>
    <w:rsid w:val="009A2DFF"/>
    <w:rsid w:val="009A323D"/>
    <w:rsid w:val="009A3340"/>
    <w:rsid w:val="009A3AE5"/>
    <w:rsid w:val="009A4C09"/>
    <w:rsid w:val="009A5200"/>
    <w:rsid w:val="009A7C0F"/>
    <w:rsid w:val="009B0223"/>
    <w:rsid w:val="009B1061"/>
    <w:rsid w:val="009B2C59"/>
    <w:rsid w:val="009B3E58"/>
    <w:rsid w:val="009B4FE2"/>
    <w:rsid w:val="009B660B"/>
    <w:rsid w:val="009B6F55"/>
    <w:rsid w:val="009B7961"/>
    <w:rsid w:val="009C2411"/>
    <w:rsid w:val="009C264B"/>
    <w:rsid w:val="009C3321"/>
    <w:rsid w:val="009C40AB"/>
    <w:rsid w:val="009C4540"/>
    <w:rsid w:val="009C46AB"/>
    <w:rsid w:val="009C56DF"/>
    <w:rsid w:val="009C658F"/>
    <w:rsid w:val="009C6AD9"/>
    <w:rsid w:val="009D0554"/>
    <w:rsid w:val="009D088D"/>
    <w:rsid w:val="009D0C63"/>
    <w:rsid w:val="009D0E8E"/>
    <w:rsid w:val="009D1206"/>
    <w:rsid w:val="009D27C5"/>
    <w:rsid w:val="009D3096"/>
    <w:rsid w:val="009D39DC"/>
    <w:rsid w:val="009D5355"/>
    <w:rsid w:val="009E44EE"/>
    <w:rsid w:val="009E6286"/>
    <w:rsid w:val="009E708F"/>
    <w:rsid w:val="009E72D1"/>
    <w:rsid w:val="009E7990"/>
    <w:rsid w:val="009F3FEE"/>
    <w:rsid w:val="009F4B05"/>
    <w:rsid w:val="009F5B7E"/>
    <w:rsid w:val="009F6135"/>
    <w:rsid w:val="009F788C"/>
    <w:rsid w:val="009F7F9F"/>
    <w:rsid w:val="00A002F4"/>
    <w:rsid w:val="00A00AE0"/>
    <w:rsid w:val="00A01D1A"/>
    <w:rsid w:val="00A020A9"/>
    <w:rsid w:val="00A02148"/>
    <w:rsid w:val="00A02436"/>
    <w:rsid w:val="00A03915"/>
    <w:rsid w:val="00A03C41"/>
    <w:rsid w:val="00A047AF"/>
    <w:rsid w:val="00A0567A"/>
    <w:rsid w:val="00A05F69"/>
    <w:rsid w:val="00A06C2E"/>
    <w:rsid w:val="00A06DB1"/>
    <w:rsid w:val="00A10460"/>
    <w:rsid w:val="00A11C5A"/>
    <w:rsid w:val="00A13A0D"/>
    <w:rsid w:val="00A14E35"/>
    <w:rsid w:val="00A158BB"/>
    <w:rsid w:val="00A174D4"/>
    <w:rsid w:val="00A17B80"/>
    <w:rsid w:val="00A204BA"/>
    <w:rsid w:val="00A20570"/>
    <w:rsid w:val="00A2169D"/>
    <w:rsid w:val="00A22204"/>
    <w:rsid w:val="00A223C9"/>
    <w:rsid w:val="00A230E1"/>
    <w:rsid w:val="00A23780"/>
    <w:rsid w:val="00A24336"/>
    <w:rsid w:val="00A24619"/>
    <w:rsid w:val="00A24CD1"/>
    <w:rsid w:val="00A26C54"/>
    <w:rsid w:val="00A277AC"/>
    <w:rsid w:val="00A3018B"/>
    <w:rsid w:val="00A31D17"/>
    <w:rsid w:val="00A35093"/>
    <w:rsid w:val="00A36118"/>
    <w:rsid w:val="00A36DC9"/>
    <w:rsid w:val="00A3796D"/>
    <w:rsid w:val="00A404FE"/>
    <w:rsid w:val="00A40B25"/>
    <w:rsid w:val="00A412BC"/>
    <w:rsid w:val="00A41338"/>
    <w:rsid w:val="00A41565"/>
    <w:rsid w:val="00A41F6E"/>
    <w:rsid w:val="00A42341"/>
    <w:rsid w:val="00A44263"/>
    <w:rsid w:val="00A44314"/>
    <w:rsid w:val="00A45420"/>
    <w:rsid w:val="00A46C2A"/>
    <w:rsid w:val="00A47B89"/>
    <w:rsid w:val="00A52CEE"/>
    <w:rsid w:val="00A60337"/>
    <w:rsid w:val="00A614DA"/>
    <w:rsid w:val="00A61AFE"/>
    <w:rsid w:val="00A711BB"/>
    <w:rsid w:val="00A850DF"/>
    <w:rsid w:val="00A8777E"/>
    <w:rsid w:val="00A902C3"/>
    <w:rsid w:val="00A92DEF"/>
    <w:rsid w:val="00A95983"/>
    <w:rsid w:val="00A96BC0"/>
    <w:rsid w:val="00AA19E7"/>
    <w:rsid w:val="00AA1C42"/>
    <w:rsid w:val="00AA2BDA"/>
    <w:rsid w:val="00AA3024"/>
    <w:rsid w:val="00AA614F"/>
    <w:rsid w:val="00AB0323"/>
    <w:rsid w:val="00AB0F67"/>
    <w:rsid w:val="00AB203D"/>
    <w:rsid w:val="00AB21EE"/>
    <w:rsid w:val="00AB2A81"/>
    <w:rsid w:val="00AB308E"/>
    <w:rsid w:val="00AB32F3"/>
    <w:rsid w:val="00AB3FF0"/>
    <w:rsid w:val="00AC005F"/>
    <w:rsid w:val="00AC084D"/>
    <w:rsid w:val="00AC08EF"/>
    <w:rsid w:val="00AC0A30"/>
    <w:rsid w:val="00AC7682"/>
    <w:rsid w:val="00AC7905"/>
    <w:rsid w:val="00AD0726"/>
    <w:rsid w:val="00AD2CA5"/>
    <w:rsid w:val="00AD35D3"/>
    <w:rsid w:val="00AD525D"/>
    <w:rsid w:val="00AD544F"/>
    <w:rsid w:val="00AE04FB"/>
    <w:rsid w:val="00AE2DC4"/>
    <w:rsid w:val="00AE361B"/>
    <w:rsid w:val="00AE4E71"/>
    <w:rsid w:val="00AE6AE6"/>
    <w:rsid w:val="00AE6CDF"/>
    <w:rsid w:val="00AF0762"/>
    <w:rsid w:val="00AF2483"/>
    <w:rsid w:val="00AF497E"/>
    <w:rsid w:val="00AF5637"/>
    <w:rsid w:val="00AF59C3"/>
    <w:rsid w:val="00AF6122"/>
    <w:rsid w:val="00B00023"/>
    <w:rsid w:val="00B02827"/>
    <w:rsid w:val="00B046DF"/>
    <w:rsid w:val="00B047AB"/>
    <w:rsid w:val="00B0601B"/>
    <w:rsid w:val="00B0799B"/>
    <w:rsid w:val="00B102D9"/>
    <w:rsid w:val="00B106C6"/>
    <w:rsid w:val="00B113D1"/>
    <w:rsid w:val="00B11E8B"/>
    <w:rsid w:val="00B132B2"/>
    <w:rsid w:val="00B13699"/>
    <w:rsid w:val="00B20811"/>
    <w:rsid w:val="00B21753"/>
    <w:rsid w:val="00B21E65"/>
    <w:rsid w:val="00B23E86"/>
    <w:rsid w:val="00B246DD"/>
    <w:rsid w:val="00B26603"/>
    <w:rsid w:val="00B27178"/>
    <w:rsid w:val="00B272F1"/>
    <w:rsid w:val="00B307A4"/>
    <w:rsid w:val="00B30BE6"/>
    <w:rsid w:val="00B3551A"/>
    <w:rsid w:val="00B3610D"/>
    <w:rsid w:val="00B414F4"/>
    <w:rsid w:val="00B41DAA"/>
    <w:rsid w:val="00B43471"/>
    <w:rsid w:val="00B43B75"/>
    <w:rsid w:val="00B43F05"/>
    <w:rsid w:val="00B4422D"/>
    <w:rsid w:val="00B46C5B"/>
    <w:rsid w:val="00B510DE"/>
    <w:rsid w:val="00B5182F"/>
    <w:rsid w:val="00B52300"/>
    <w:rsid w:val="00B52F5E"/>
    <w:rsid w:val="00B543C8"/>
    <w:rsid w:val="00B54595"/>
    <w:rsid w:val="00B5518F"/>
    <w:rsid w:val="00B56B3A"/>
    <w:rsid w:val="00B573D0"/>
    <w:rsid w:val="00B57A41"/>
    <w:rsid w:val="00B57E6A"/>
    <w:rsid w:val="00B60320"/>
    <w:rsid w:val="00B63FC8"/>
    <w:rsid w:val="00B64E80"/>
    <w:rsid w:val="00B661C1"/>
    <w:rsid w:val="00B70224"/>
    <w:rsid w:val="00B70A0B"/>
    <w:rsid w:val="00B73723"/>
    <w:rsid w:val="00B7385F"/>
    <w:rsid w:val="00B73DE8"/>
    <w:rsid w:val="00B74EC4"/>
    <w:rsid w:val="00B753CC"/>
    <w:rsid w:val="00B761B4"/>
    <w:rsid w:val="00B76701"/>
    <w:rsid w:val="00B76C17"/>
    <w:rsid w:val="00B839D8"/>
    <w:rsid w:val="00B8405C"/>
    <w:rsid w:val="00B84DAA"/>
    <w:rsid w:val="00B850D7"/>
    <w:rsid w:val="00B8687C"/>
    <w:rsid w:val="00B86B94"/>
    <w:rsid w:val="00B92842"/>
    <w:rsid w:val="00B96413"/>
    <w:rsid w:val="00BA069F"/>
    <w:rsid w:val="00BA0BED"/>
    <w:rsid w:val="00BA0DEA"/>
    <w:rsid w:val="00BA2A97"/>
    <w:rsid w:val="00BA4B75"/>
    <w:rsid w:val="00BA57B8"/>
    <w:rsid w:val="00BA7420"/>
    <w:rsid w:val="00BB18C9"/>
    <w:rsid w:val="00BB2B10"/>
    <w:rsid w:val="00BB4888"/>
    <w:rsid w:val="00BB4E1B"/>
    <w:rsid w:val="00BB5EFC"/>
    <w:rsid w:val="00BB6D6F"/>
    <w:rsid w:val="00BB7C0B"/>
    <w:rsid w:val="00BC0EC6"/>
    <w:rsid w:val="00BC3C88"/>
    <w:rsid w:val="00BC3FB6"/>
    <w:rsid w:val="00BC4C73"/>
    <w:rsid w:val="00BC5E07"/>
    <w:rsid w:val="00BD5C10"/>
    <w:rsid w:val="00BD747D"/>
    <w:rsid w:val="00BE05C4"/>
    <w:rsid w:val="00BE07D6"/>
    <w:rsid w:val="00BE123C"/>
    <w:rsid w:val="00BE2540"/>
    <w:rsid w:val="00BE290A"/>
    <w:rsid w:val="00BF06EF"/>
    <w:rsid w:val="00BF0CB5"/>
    <w:rsid w:val="00BF0F22"/>
    <w:rsid w:val="00BF170C"/>
    <w:rsid w:val="00BF180D"/>
    <w:rsid w:val="00BF3D69"/>
    <w:rsid w:val="00BF3E09"/>
    <w:rsid w:val="00BF689C"/>
    <w:rsid w:val="00C00242"/>
    <w:rsid w:val="00C008AE"/>
    <w:rsid w:val="00C02572"/>
    <w:rsid w:val="00C02F7E"/>
    <w:rsid w:val="00C03E67"/>
    <w:rsid w:val="00C04069"/>
    <w:rsid w:val="00C04FDD"/>
    <w:rsid w:val="00C06213"/>
    <w:rsid w:val="00C063BE"/>
    <w:rsid w:val="00C06D8E"/>
    <w:rsid w:val="00C11CF4"/>
    <w:rsid w:val="00C135FF"/>
    <w:rsid w:val="00C138D9"/>
    <w:rsid w:val="00C14EBB"/>
    <w:rsid w:val="00C15447"/>
    <w:rsid w:val="00C15FE0"/>
    <w:rsid w:val="00C166FE"/>
    <w:rsid w:val="00C16C03"/>
    <w:rsid w:val="00C1790A"/>
    <w:rsid w:val="00C211BD"/>
    <w:rsid w:val="00C2189B"/>
    <w:rsid w:val="00C23262"/>
    <w:rsid w:val="00C23391"/>
    <w:rsid w:val="00C2400C"/>
    <w:rsid w:val="00C2483C"/>
    <w:rsid w:val="00C24BEE"/>
    <w:rsid w:val="00C25A81"/>
    <w:rsid w:val="00C25EAE"/>
    <w:rsid w:val="00C262D4"/>
    <w:rsid w:val="00C26339"/>
    <w:rsid w:val="00C26770"/>
    <w:rsid w:val="00C26850"/>
    <w:rsid w:val="00C30B5C"/>
    <w:rsid w:val="00C321D8"/>
    <w:rsid w:val="00C32B5E"/>
    <w:rsid w:val="00C339C4"/>
    <w:rsid w:val="00C351E4"/>
    <w:rsid w:val="00C356B2"/>
    <w:rsid w:val="00C36399"/>
    <w:rsid w:val="00C36457"/>
    <w:rsid w:val="00C36684"/>
    <w:rsid w:val="00C368AC"/>
    <w:rsid w:val="00C37DEA"/>
    <w:rsid w:val="00C42847"/>
    <w:rsid w:val="00C43C63"/>
    <w:rsid w:val="00C443FE"/>
    <w:rsid w:val="00C44737"/>
    <w:rsid w:val="00C453D5"/>
    <w:rsid w:val="00C47216"/>
    <w:rsid w:val="00C501C5"/>
    <w:rsid w:val="00C504AA"/>
    <w:rsid w:val="00C50FCC"/>
    <w:rsid w:val="00C52987"/>
    <w:rsid w:val="00C5491C"/>
    <w:rsid w:val="00C5575E"/>
    <w:rsid w:val="00C61D71"/>
    <w:rsid w:val="00C62074"/>
    <w:rsid w:val="00C635BE"/>
    <w:rsid w:val="00C64736"/>
    <w:rsid w:val="00C66435"/>
    <w:rsid w:val="00C710A4"/>
    <w:rsid w:val="00C727E1"/>
    <w:rsid w:val="00C7470E"/>
    <w:rsid w:val="00C7583B"/>
    <w:rsid w:val="00C7593B"/>
    <w:rsid w:val="00C76308"/>
    <w:rsid w:val="00C771F0"/>
    <w:rsid w:val="00C80AB7"/>
    <w:rsid w:val="00C81248"/>
    <w:rsid w:val="00C8137E"/>
    <w:rsid w:val="00C81DFC"/>
    <w:rsid w:val="00C82A24"/>
    <w:rsid w:val="00C82C71"/>
    <w:rsid w:val="00C835A2"/>
    <w:rsid w:val="00C84565"/>
    <w:rsid w:val="00C852E2"/>
    <w:rsid w:val="00C855E5"/>
    <w:rsid w:val="00C872E7"/>
    <w:rsid w:val="00C90207"/>
    <w:rsid w:val="00C93576"/>
    <w:rsid w:val="00C938FF"/>
    <w:rsid w:val="00C94231"/>
    <w:rsid w:val="00C9491E"/>
    <w:rsid w:val="00C94EDA"/>
    <w:rsid w:val="00C9559E"/>
    <w:rsid w:val="00C95B56"/>
    <w:rsid w:val="00C96432"/>
    <w:rsid w:val="00C96482"/>
    <w:rsid w:val="00C96605"/>
    <w:rsid w:val="00C9673A"/>
    <w:rsid w:val="00C96BE0"/>
    <w:rsid w:val="00C97F25"/>
    <w:rsid w:val="00CA4ABE"/>
    <w:rsid w:val="00CA5552"/>
    <w:rsid w:val="00CA60E2"/>
    <w:rsid w:val="00CA74A0"/>
    <w:rsid w:val="00CB1825"/>
    <w:rsid w:val="00CB1BCD"/>
    <w:rsid w:val="00CB2B07"/>
    <w:rsid w:val="00CB4BFB"/>
    <w:rsid w:val="00CB5F22"/>
    <w:rsid w:val="00CB6E37"/>
    <w:rsid w:val="00CC0BFA"/>
    <w:rsid w:val="00CC2198"/>
    <w:rsid w:val="00CC3E7E"/>
    <w:rsid w:val="00CC48B6"/>
    <w:rsid w:val="00CC5471"/>
    <w:rsid w:val="00CC660D"/>
    <w:rsid w:val="00CC6B2D"/>
    <w:rsid w:val="00CC6D10"/>
    <w:rsid w:val="00CC71B8"/>
    <w:rsid w:val="00CC75A5"/>
    <w:rsid w:val="00CD01AA"/>
    <w:rsid w:val="00CD3DC8"/>
    <w:rsid w:val="00CD3E55"/>
    <w:rsid w:val="00CD47CE"/>
    <w:rsid w:val="00CD76EF"/>
    <w:rsid w:val="00CD77C0"/>
    <w:rsid w:val="00CD7A1B"/>
    <w:rsid w:val="00CE3466"/>
    <w:rsid w:val="00CE34BE"/>
    <w:rsid w:val="00CE3B9C"/>
    <w:rsid w:val="00CE40AF"/>
    <w:rsid w:val="00CE57A9"/>
    <w:rsid w:val="00CE5EF5"/>
    <w:rsid w:val="00CE772D"/>
    <w:rsid w:val="00CF0B8B"/>
    <w:rsid w:val="00CF0BCD"/>
    <w:rsid w:val="00CF2340"/>
    <w:rsid w:val="00CF537E"/>
    <w:rsid w:val="00CF6B67"/>
    <w:rsid w:val="00CF74E6"/>
    <w:rsid w:val="00D026DE"/>
    <w:rsid w:val="00D03A25"/>
    <w:rsid w:val="00D0582F"/>
    <w:rsid w:val="00D065F2"/>
    <w:rsid w:val="00D06A3E"/>
    <w:rsid w:val="00D077FA"/>
    <w:rsid w:val="00D07F7E"/>
    <w:rsid w:val="00D10B17"/>
    <w:rsid w:val="00D11483"/>
    <w:rsid w:val="00D114DA"/>
    <w:rsid w:val="00D12712"/>
    <w:rsid w:val="00D137D5"/>
    <w:rsid w:val="00D14780"/>
    <w:rsid w:val="00D15C2F"/>
    <w:rsid w:val="00D16CF6"/>
    <w:rsid w:val="00D20440"/>
    <w:rsid w:val="00D22D91"/>
    <w:rsid w:val="00D23943"/>
    <w:rsid w:val="00D249F3"/>
    <w:rsid w:val="00D26A16"/>
    <w:rsid w:val="00D30513"/>
    <w:rsid w:val="00D326CB"/>
    <w:rsid w:val="00D41418"/>
    <w:rsid w:val="00D414D4"/>
    <w:rsid w:val="00D417DA"/>
    <w:rsid w:val="00D4283C"/>
    <w:rsid w:val="00D444BA"/>
    <w:rsid w:val="00D47DD0"/>
    <w:rsid w:val="00D50D85"/>
    <w:rsid w:val="00D511AB"/>
    <w:rsid w:val="00D52D53"/>
    <w:rsid w:val="00D53A40"/>
    <w:rsid w:val="00D55192"/>
    <w:rsid w:val="00D55603"/>
    <w:rsid w:val="00D61BD8"/>
    <w:rsid w:val="00D626E1"/>
    <w:rsid w:val="00D63D2E"/>
    <w:rsid w:val="00D70FC6"/>
    <w:rsid w:val="00D72F57"/>
    <w:rsid w:val="00D73073"/>
    <w:rsid w:val="00D73F30"/>
    <w:rsid w:val="00D7459A"/>
    <w:rsid w:val="00D74B66"/>
    <w:rsid w:val="00D74B7B"/>
    <w:rsid w:val="00D75D1C"/>
    <w:rsid w:val="00D75D78"/>
    <w:rsid w:val="00D76723"/>
    <w:rsid w:val="00D770CE"/>
    <w:rsid w:val="00D77881"/>
    <w:rsid w:val="00D80B05"/>
    <w:rsid w:val="00D817AE"/>
    <w:rsid w:val="00D83377"/>
    <w:rsid w:val="00D84124"/>
    <w:rsid w:val="00D87E6F"/>
    <w:rsid w:val="00D914C6"/>
    <w:rsid w:val="00D94AA7"/>
    <w:rsid w:val="00D95C6C"/>
    <w:rsid w:val="00D97644"/>
    <w:rsid w:val="00DA0164"/>
    <w:rsid w:val="00DA0A5A"/>
    <w:rsid w:val="00DA16F6"/>
    <w:rsid w:val="00DA4A80"/>
    <w:rsid w:val="00DA593A"/>
    <w:rsid w:val="00DA63E8"/>
    <w:rsid w:val="00DA67BE"/>
    <w:rsid w:val="00DA6A9C"/>
    <w:rsid w:val="00DB04B0"/>
    <w:rsid w:val="00DB110F"/>
    <w:rsid w:val="00DB1E0A"/>
    <w:rsid w:val="00DB209B"/>
    <w:rsid w:val="00DB2399"/>
    <w:rsid w:val="00DB3984"/>
    <w:rsid w:val="00DB3F2E"/>
    <w:rsid w:val="00DB645E"/>
    <w:rsid w:val="00DB77B0"/>
    <w:rsid w:val="00DC2866"/>
    <w:rsid w:val="00DC445E"/>
    <w:rsid w:val="00DC4DD7"/>
    <w:rsid w:val="00DC68F5"/>
    <w:rsid w:val="00DC7255"/>
    <w:rsid w:val="00DD066D"/>
    <w:rsid w:val="00DD117D"/>
    <w:rsid w:val="00DD13C8"/>
    <w:rsid w:val="00DD17B4"/>
    <w:rsid w:val="00DD32CE"/>
    <w:rsid w:val="00DD355E"/>
    <w:rsid w:val="00DD4C98"/>
    <w:rsid w:val="00DD4FD3"/>
    <w:rsid w:val="00DD50E8"/>
    <w:rsid w:val="00DD76B6"/>
    <w:rsid w:val="00DD7B34"/>
    <w:rsid w:val="00DE1258"/>
    <w:rsid w:val="00DE3412"/>
    <w:rsid w:val="00DE7D42"/>
    <w:rsid w:val="00DF2FC3"/>
    <w:rsid w:val="00DF330E"/>
    <w:rsid w:val="00DF3333"/>
    <w:rsid w:val="00DF4567"/>
    <w:rsid w:val="00DF49C5"/>
    <w:rsid w:val="00DF59FC"/>
    <w:rsid w:val="00DF5B5C"/>
    <w:rsid w:val="00DF5EBF"/>
    <w:rsid w:val="00DF6D91"/>
    <w:rsid w:val="00DF73EF"/>
    <w:rsid w:val="00E03105"/>
    <w:rsid w:val="00E03C5E"/>
    <w:rsid w:val="00E03D76"/>
    <w:rsid w:val="00E0401A"/>
    <w:rsid w:val="00E06D55"/>
    <w:rsid w:val="00E07A2F"/>
    <w:rsid w:val="00E119F6"/>
    <w:rsid w:val="00E11BB8"/>
    <w:rsid w:val="00E11FD6"/>
    <w:rsid w:val="00E136B4"/>
    <w:rsid w:val="00E14B22"/>
    <w:rsid w:val="00E20614"/>
    <w:rsid w:val="00E20D0E"/>
    <w:rsid w:val="00E216B3"/>
    <w:rsid w:val="00E22968"/>
    <w:rsid w:val="00E237CE"/>
    <w:rsid w:val="00E240DB"/>
    <w:rsid w:val="00E26A9A"/>
    <w:rsid w:val="00E26AF8"/>
    <w:rsid w:val="00E273E3"/>
    <w:rsid w:val="00E27FAF"/>
    <w:rsid w:val="00E3118B"/>
    <w:rsid w:val="00E32B89"/>
    <w:rsid w:val="00E348AF"/>
    <w:rsid w:val="00E36292"/>
    <w:rsid w:val="00E36BA6"/>
    <w:rsid w:val="00E40344"/>
    <w:rsid w:val="00E41348"/>
    <w:rsid w:val="00E41B1D"/>
    <w:rsid w:val="00E44BA5"/>
    <w:rsid w:val="00E467E4"/>
    <w:rsid w:val="00E479EE"/>
    <w:rsid w:val="00E51553"/>
    <w:rsid w:val="00E51664"/>
    <w:rsid w:val="00E51C8E"/>
    <w:rsid w:val="00E51F9F"/>
    <w:rsid w:val="00E53B49"/>
    <w:rsid w:val="00E53C8C"/>
    <w:rsid w:val="00E54723"/>
    <w:rsid w:val="00E5540F"/>
    <w:rsid w:val="00E574B8"/>
    <w:rsid w:val="00E57ED1"/>
    <w:rsid w:val="00E6009E"/>
    <w:rsid w:val="00E602D9"/>
    <w:rsid w:val="00E61780"/>
    <w:rsid w:val="00E65068"/>
    <w:rsid w:val="00E650AE"/>
    <w:rsid w:val="00E6664C"/>
    <w:rsid w:val="00E6792A"/>
    <w:rsid w:val="00E706C6"/>
    <w:rsid w:val="00E74600"/>
    <w:rsid w:val="00E75F11"/>
    <w:rsid w:val="00E776B5"/>
    <w:rsid w:val="00E77906"/>
    <w:rsid w:val="00E8181A"/>
    <w:rsid w:val="00E82C94"/>
    <w:rsid w:val="00E8403F"/>
    <w:rsid w:val="00E8463E"/>
    <w:rsid w:val="00E84C99"/>
    <w:rsid w:val="00E84D03"/>
    <w:rsid w:val="00E8568C"/>
    <w:rsid w:val="00E85E97"/>
    <w:rsid w:val="00E875F5"/>
    <w:rsid w:val="00E909ED"/>
    <w:rsid w:val="00E912AF"/>
    <w:rsid w:val="00E92DE7"/>
    <w:rsid w:val="00E9402D"/>
    <w:rsid w:val="00E94C3F"/>
    <w:rsid w:val="00E95128"/>
    <w:rsid w:val="00E95342"/>
    <w:rsid w:val="00E97171"/>
    <w:rsid w:val="00E97D23"/>
    <w:rsid w:val="00EA0934"/>
    <w:rsid w:val="00EA1ECA"/>
    <w:rsid w:val="00EA338C"/>
    <w:rsid w:val="00EA48AE"/>
    <w:rsid w:val="00EA4FDA"/>
    <w:rsid w:val="00EA61E0"/>
    <w:rsid w:val="00EA643A"/>
    <w:rsid w:val="00EA691C"/>
    <w:rsid w:val="00EA6D53"/>
    <w:rsid w:val="00EA7BC5"/>
    <w:rsid w:val="00EB238E"/>
    <w:rsid w:val="00EB2694"/>
    <w:rsid w:val="00EB452B"/>
    <w:rsid w:val="00EB5C8E"/>
    <w:rsid w:val="00EB7BFE"/>
    <w:rsid w:val="00EC01C8"/>
    <w:rsid w:val="00EC2EB4"/>
    <w:rsid w:val="00EC389E"/>
    <w:rsid w:val="00EC53A1"/>
    <w:rsid w:val="00EC59F7"/>
    <w:rsid w:val="00EC6192"/>
    <w:rsid w:val="00ED001A"/>
    <w:rsid w:val="00ED176D"/>
    <w:rsid w:val="00ED2C73"/>
    <w:rsid w:val="00ED49B6"/>
    <w:rsid w:val="00ED4ECB"/>
    <w:rsid w:val="00ED50F4"/>
    <w:rsid w:val="00ED5C7C"/>
    <w:rsid w:val="00ED6DE5"/>
    <w:rsid w:val="00ED724D"/>
    <w:rsid w:val="00ED7F11"/>
    <w:rsid w:val="00EE05DB"/>
    <w:rsid w:val="00EE1752"/>
    <w:rsid w:val="00EE194C"/>
    <w:rsid w:val="00EE2ADE"/>
    <w:rsid w:val="00EE7218"/>
    <w:rsid w:val="00EF23E9"/>
    <w:rsid w:val="00EF2D22"/>
    <w:rsid w:val="00EF3412"/>
    <w:rsid w:val="00EF49F0"/>
    <w:rsid w:val="00EF5120"/>
    <w:rsid w:val="00EF55FB"/>
    <w:rsid w:val="00EF5B91"/>
    <w:rsid w:val="00EF6758"/>
    <w:rsid w:val="00F01499"/>
    <w:rsid w:val="00F0262C"/>
    <w:rsid w:val="00F0388C"/>
    <w:rsid w:val="00F03DF9"/>
    <w:rsid w:val="00F04893"/>
    <w:rsid w:val="00F07C8E"/>
    <w:rsid w:val="00F11319"/>
    <w:rsid w:val="00F122FD"/>
    <w:rsid w:val="00F14821"/>
    <w:rsid w:val="00F14D59"/>
    <w:rsid w:val="00F156C3"/>
    <w:rsid w:val="00F15E74"/>
    <w:rsid w:val="00F16485"/>
    <w:rsid w:val="00F17708"/>
    <w:rsid w:val="00F20ECB"/>
    <w:rsid w:val="00F210F9"/>
    <w:rsid w:val="00F21DEF"/>
    <w:rsid w:val="00F22F1D"/>
    <w:rsid w:val="00F23449"/>
    <w:rsid w:val="00F23F1E"/>
    <w:rsid w:val="00F25CE3"/>
    <w:rsid w:val="00F25F40"/>
    <w:rsid w:val="00F2682B"/>
    <w:rsid w:val="00F320D8"/>
    <w:rsid w:val="00F32A89"/>
    <w:rsid w:val="00F339D3"/>
    <w:rsid w:val="00F34840"/>
    <w:rsid w:val="00F34CE5"/>
    <w:rsid w:val="00F3535A"/>
    <w:rsid w:val="00F35991"/>
    <w:rsid w:val="00F368C8"/>
    <w:rsid w:val="00F37846"/>
    <w:rsid w:val="00F379BE"/>
    <w:rsid w:val="00F448C0"/>
    <w:rsid w:val="00F452BF"/>
    <w:rsid w:val="00F45CBA"/>
    <w:rsid w:val="00F46EB0"/>
    <w:rsid w:val="00F4743F"/>
    <w:rsid w:val="00F51AF3"/>
    <w:rsid w:val="00F574C0"/>
    <w:rsid w:val="00F61065"/>
    <w:rsid w:val="00F665D5"/>
    <w:rsid w:val="00F67E72"/>
    <w:rsid w:val="00F700B5"/>
    <w:rsid w:val="00F70861"/>
    <w:rsid w:val="00F73406"/>
    <w:rsid w:val="00F75285"/>
    <w:rsid w:val="00F80BCB"/>
    <w:rsid w:val="00F81505"/>
    <w:rsid w:val="00F838D9"/>
    <w:rsid w:val="00F83951"/>
    <w:rsid w:val="00F84343"/>
    <w:rsid w:val="00F8613C"/>
    <w:rsid w:val="00F90362"/>
    <w:rsid w:val="00F925DB"/>
    <w:rsid w:val="00F93126"/>
    <w:rsid w:val="00F9326A"/>
    <w:rsid w:val="00F93ACC"/>
    <w:rsid w:val="00F954EA"/>
    <w:rsid w:val="00F95728"/>
    <w:rsid w:val="00F968BB"/>
    <w:rsid w:val="00F97FA6"/>
    <w:rsid w:val="00FA093F"/>
    <w:rsid w:val="00FA2BC9"/>
    <w:rsid w:val="00FA3463"/>
    <w:rsid w:val="00FA3465"/>
    <w:rsid w:val="00FA54CB"/>
    <w:rsid w:val="00FA581C"/>
    <w:rsid w:val="00FA672A"/>
    <w:rsid w:val="00FB141C"/>
    <w:rsid w:val="00FB2641"/>
    <w:rsid w:val="00FB39B8"/>
    <w:rsid w:val="00FB4458"/>
    <w:rsid w:val="00FB450C"/>
    <w:rsid w:val="00FB45BC"/>
    <w:rsid w:val="00FB5DF0"/>
    <w:rsid w:val="00FC07AE"/>
    <w:rsid w:val="00FC1C58"/>
    <w:rsid w:val="00FC39E0"/>
    <w:rsid w:val="00FC4440"/>
    <w:rsid w:val="00FC4705"/>
    <w:rsid w:val="00FC69B9"/>
    <w:rsid w:val="00FC6A04"/>
    <w:rsid w:val="00FC6E06"/>
    <w:rsid w:val="00FD170F"/>
    <w:rsid w:val="00FD188C"/>
    <w:rsid w:val="00FD2585"/>
    <w:rsid w:val="00FD4C47"/>
    <w:rsid w:val="00FE0C20"/>
    <w:rsid w:val="00FE1281"/>
    <w:rsid w:val="00FE2A2C"/>
    <w:rsid w:val="00FE4BB1"/>
    <w:rsid w:val="00FE70B8"/>
    <w:rsid w:val="00FE74AF"/>
    <w:rsid w:val="00FF0865"/>
    <w:rsid w:val="00FF10F5"/>
    <w:rsid w:val="00FF4F1C"/>
    <w:rsid w:val="00FF50ED"/>
    <w:rsid w:val="00FF5284"/>
    <w:rsid w:val="00FF5DE5"/>
    <w:rsid w:val="00FF6E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CEEB51A"/>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5C5"/>
    <w:pPr>
      <w:widowControl w:val="0"/>
    </w:pPr>
    <w:rPr>
      <w:snapToGrid w:val="0"/>
      <w:kern w:val="28"/>
      <w:szCs w:val="20"/>
    </w:rPr>
  </w:style>
  <w:style w:type="paragraph" w:styleId="Heading1">
    <w:name w:val="heading 1"/>
    <w:basedOn w:val="Normal"/>
    <w:next w:val="ParaNum"/>
    <w:link w:val="Heading1Char"/>
    <w:qFormat/>
    <w:rsid w:val="004D45C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D45C5"/>
    <w:pPr>
      <w:keepNext/>
      <w:numPr>
        <w:ilvl w:val="1"/>
        <w:numId w:val="2"/>
      </w:numPr>
      <w:spacing w:after="120"/>
      <w:outlineLvl w:val="1"/>
    </w:pPr>
    <w:rPr>
      <w:b/>
    </w:rPr>
  </w:style>
  <w:style w:type="paragraph" w:styleId="Heading3">
    <w:name w:val="heading 3"/>
    <w:basedOn w:val="Normal"/>
    <w:next w:val="ParaNum"/>
    <w:link w:val="Heading3Char"/>
    <w:qFormat/>
    <w:rsid w:val="004D45C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D45C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D45C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D45C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D45C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D45C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D45C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D45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45C5"/>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2A790A"/>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4D45C5"/>
    <w:pPr>
      <w:numPr>
        <w:numId w:val="1"/>
      </w:numPr>
      <w:tabs>
        <w:tab w:val="clear" w:pos="1080"/>
        <w:tab w:val="num" w:pos="1440"/>
      </w:tabs>
      <w:spacing w:after="120"/>
    </w:pPr>
  </w:style>
  <w:style w:type="paragraph" w:styleId="EndnoteText">
    <w:name w:val="endnote text"/>
    <w:basedOn w:val="Normal"/>
    <w:link w:val="EndnoteTextChar"/>
    <w:semiHidden/>
    <w:rsid w:val="004D45C5"/>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4D45C5"/>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4D45C5"/>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D45C5"/>
    <w:rPr>
      <w:rFonts w:ascii="Times New Roman" w:hAnsi="Times New Roman"/>
      <w:dstrike w:val="0"/>
      <w:color w:val="auto"/>
      <w:sz w:val="20"/>
      <w:vertAlign w:val="superscript"/>
    </w:rPr>
  </w:style>
  <w:style w:type="paragraph" w:styleId="TOC1">
    <w:name w:val="toc 1"/>
    <w:basedOn w:val="Normal"/>
    <w:next w:val="Normal"/>
    <w:rsid w:val="004D45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D45C5"/>
    <w:pPr>
      <w:tabs>
        <w:tab w:val="left" w:pos="720"/>
        <w:tab w:val="right" w:leader="dot" w:pos="9360"/>
      </w:tabs>
      <w:suppressAutoHyphens/>
      <w:ind w:left="720" w:right="720" w:hanging="360"/>
    </w:pPr>
    <w:rPr>
      <w:noProof/>
    </w:rPr>
  </w:style>
  <w:style w:type="paragraph" w:styleId="TOC3">
    <w:name w:val="toc 3"/>
    <w:basedOn w:val="Normal"/>
    <w:next w:val="Normal"/>
    <w:semiHidden/>
    <w:rsid w:val="004D45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D45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45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45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45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45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45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45C5"/>
    <w:pPr>
      <w:tabs>
        <w:tab w:val="right" w:pos="9360"/>
      </w:tabs>
      <w:suppressAutoHyphens/>
    </w:pPr>
  </w:style>
  <w:style w:type="character" w:customStyle="1" w:styleId="EquationCaption">
    <w:name w:val="_Equation Caption"/>
    <w:rsid w:val="004D45C5"/>
  </w:style>
  <w:style w:type="paragraph" w:styleId="Header">
    <w:name w:val="header"/>
    <w:basedOn w:val="Normal"/>
    <w:link w:val="HeaderChar"/>
    <w:autoRedefine/>
    <w:rsid w:val="004D45C5"/>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4D45C5"/>
    <w:pPr>
      <w:tabs>
        <w:tab w:val="center" w:pos="4320"/>
        <w:tab w:val="right" w:pos="8640"/>
      </w:tabs>
    </w:pPr>
  </w:style>
  <w:style w:type="character" w:customStyle="1" w:styleId="FooterChar">
    <w:name w:val="Footer Char"/>
    <w:link w:val="Footer"/>
    <w:uiPriority w:val="99"/>
    <w:locked/>
    <w:rsid w:val="004D45C5"/>
    <w:rPr>
      <w:snapToGrid w:val="0"/>
      <w:kern w:val="28"/>
      <w:szCs w:val="20"/>
    </w:rPr>
  </w:style>
  <w:style w:type="character" w:styleId="PageNumber">
    <w:name w:val="page number"/>
    <w:basedOn w:val="DefaultParagraphFont"/>
    <w:rsid w:val="004D45C5"/>
  </w:style>
  <w:style w:type="paragraph" w:styleId="BlockText">
    <w:name w:val="Block Text"/>
    <w:basedOn w:val="Normal"/>
    <w:rsid w:val="004D45C5"/>
    <w:pPr>
      <w:spacing w:after="240"/>
      <w:ind w:left="1440" w:right="1440"/>
    </w:pPr>
  </w:style>
  <w:style w:type="paragraph" w:customStyle="1" w:styleId="Paratitle">
    <w:name w:val="Para title"/>
    <w:basedOn w:val="Normal"/>
    <w:rsid w:val="004D45C5"/>
    <w:pPr>
      <w:tabs>
        <w:tab w:val="center" w:pos="9270"/>
      </w:tabs>
      <w:spacing w:after="240"/>
    </w:pPr>
    <w:rPr>
      <w:spacing w:val="-2"/>
    </w:rPr>
  </w:style>
  <w:style w:type="paragraph" w:customStyle="1" w:styleId="Bullet">
    <w:name w:val="Bullet"/>
    <w:basedOn w:val="Normal"/>
    <w:rsid w:val="004D45C5"/>
    <w:pPr>
      <w:tabs>
        <w:tab w:val="left" w:pos="2160"/>
      </w:tabs>
      <w:spacing w:after="220"/>
      <w:ind w:left="2160" w:hanging="720"/>
    </w:pPr>
  </w:style>
  <w:style w:type="paragraph" w:customStyle="1" w:styleId="TableFormat">
    <w:name w:val="TableFormat"/>
    <w:basedOn w:val="Bullet"/>
    <w:rsid w:val="004D45C5"/>
    <w:pPr>
      <w:tabs>
        <w:tab w:val="clear" w:pos="2160"/>
        <w:tab w:val="left" w:pos="5040"/>
      </w:tabs>
      <w:ind w:left="5040" w:hanging="3600"/>
    </w:pPr>
  </w:style>
  <w:style w:type="paragraph" w:customStyle="1" w:styleId="TOCTitle">
    <w:name w:val="TOC Title"/>
    <w:basedOn w:val="Normal"/>
    <w:rsid w:val="004D45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45C5"/>
    <w:pPr>
      <w:jc w:val="center"/>
    </w:pPr>
    <w:rPr>
      <w:rFonts w:ascii="Times New Roman Bold" w:hAnsi="Times New Roman Bold"/>
      <w:b/>
      <w:bCs/>
      <w:caps/>
      <w:szCs w:val="22"/>
    </w:rPr>
  </w:style>
  <w:style w:type="character" w:styleId="Hyperlink">
    <w:name w:val="Hyperlink"/>
    <w:rsid w:val="004D45C5"/>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styleId="UnresolvedMention">
    <w:name w:val="Unresolved Mention"/>
    <w:basedOn w:val="DefaultParagraphFont"/>
    <w:uiPriority w:val="99"/>
    <w:semiHidden/>
    <w:unhideWhenUsed/>
    <w:rsid w:val="00930DCE"/>
    <w:rPr>
      <w:color w:val="605E5C"/>
      <w:shd w:val="clear" w:color="auto" w:fill="E1DFDD"/>
    </w:rPr>
  </w:style>
  <w:style w:type="character" w:customStyle="1" w:styleId="rrfootnoteCharCharChar">
    <w:name w:val="rrfootnote Char Char Char"/>
    <w:aliases w:val="Footnote Text Char1 Char Char Char Char Char Char,Style 5 Char Char Char,fn Char"/>
    <w:locked/>
    <w:rsid w:val="00AB21EE"/>
  </w:style>
  <w:style w:type="paragraph" w:customStyle="1" w:styleId="Paranum0">
    <w:name w:val="Paranum"/>
    <w:uiPriority w:val="99"/>
    <w:rsid w:val="00185191"/>
    <w:pPr>
      <w:numPr>
        <w:numId w:val="17"/>
      </w:numPr>
      <w:tabs>
        <w:tab w:val="left" w:pos="1440"/>
      </w:tabs>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https://apps.fcc.gov/cores/userLogin.do"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fcc.gov/media/filing-systems-and-databases" TargetMode="External" /><Relationship Id="rId2" Type="http://schemas.openxmlformats.org/officeDocument/2006/relationships/hyperlink" Target="https://fab.org/eas-plan/" TargetMode="External" /><Relationship Id="rId3" Type="http://schemas.openxmlformats.org/officeDocument/2006/relationships/hyperlink" Target="https://docs.fcc.gov/public/attachments/DOC-348455A1.pdf" TargetMode="External" /><Relationship Id="rId4" Type="http://schemas.openxmlformats.org/officeDocument/2006/relationships/hyperlink" Target="https://www.fcc.gov/licensing-databases/fees/fcc-remittance-advice-form-159" TargetMode="External" /><Relationship Id="rId5" Type="http://schemas.openxmlformats.org/officeDocument/2006/relationships/hyperlink" Target="https://apps.fcc.gov/cores/userLogin.do" TargetMode="External" /><Relationship Id="rId6"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