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4AA" w:rsidRPr="00B02A93" w:rsidP="0088295E" w14:paraId="410DBCD5" w14:textId="43DD1EBD">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A255DB">
        <w:rPr>
          <w:b/>
        </w:rPr>
        <w:t>814</w:t>
      </w:r>
    </w:p>
    <w:p w:rsidR="003474AA" w:rsidRPr="00B02A93" w:rsidP="003474AA" w14:paraId="47120647" w14:textId="034F4772">
      <w:pPr>
        <w:widowControl/>
        <w:suppressAutoHyphens/>
        <w:spacing w:after="240"/>
        <w:jc w:val="right"/>
        <w:rPr>
          <w:b/>
        </w:rPr>
      </w:pPr>
      <w:r w:rsidRPr="00B02A93">
        <w:rPr>
          <w:b/>
        </w:rPr>
        <w:t xml:space="preserve">Released:  </w:t>
      </w:r>
      <w:r w:rsidR="00685ACE">
        <w:rPr>
          <w:b/>
        </w:rPr>
        <w:t>August</w:t>
      </w:r>
      <w:r w:rsidR="005A029F">
        <w:rPr>
          <w:b/>
        </w:rPr>
        <w:t xml:space="preserve"> </w:t>
      </w:r>
      <w:r w:rsidR="0023194E">
        <w:rPr>
          <w:b/>
        </w:rPr>
        <w:t>3</w:t>
      </w:r>
      <w:r>
        <w:rPr>
          <w:b/>
        </w:rPr>
        <w:t>, 202</w:t>
      </w:r>
      <w:r w:rsidR="001D13D1">
        <w:rPr>
          <w:b/>
        </w:rPr>
        <w:t>2</w:t>
      </w:r>
    </w:p>
    <w:p w:rsidR="00B47F14" w:rsidP="00341E03" w14:paraId="41DB75A8"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00685ACE">
        <w:rPr>
          <w:b/>
          <w:bCs/>
          <w:szCs w:val="22"/>
        </w:rPr>
        <w:t>MERCURY WIRELESS INDIANA, LLC AND MERCURY WIRELESS KANSAS, LLC</w:t>
      </w:r>
      <w:r w:rsidR="00757599">
        <w:rPr>
          <w:b/>
          <w:bCs/>
          <w:szCs w:val="22"/>
        </w:rPr>
        <w:t xml:space="preserve"> </w:t>
      </w:r>
    </w:p>
    <w:p w:rsidR="003474AA" w:rsidRPr="00341E03" w:rsidP="00341E03" w14:paraId="1987B5E6" w14:textId="69E99A90">
      <w:pPr>
        <w:autoSpaceDE w:val="0"/>
        <w:autoSpaceDN w:val="0"/>
        <w:adjustRightInd w:val="0"/>
        <w:ind w:left="-180" w:right="90"/>
        <w:jc w:val="center"/>
        <w:rPr>
          <w:b/>
          <w:bCs/>
          <w:szCs w:val="22"/>
        </w:rPr>
      </w:pPr>
      <w:r>
        <w:rPr>
          <w:b/>
          <w:bCs/>
          <w:szCs w:val="22"/>
        </w:rPr>
        <w:t xml:space="preserve">TO </w:t>
      </w:r>
      <w:r w:rsidR="00685ACE">
        <w:rPr>
          <w:b/>
          <w:bCs/>
          <w:szCs w:val="22"/>
        </w:rPr>
        <w:t>NCP MERCURY AIV LP</w:t>
      </w:r>
    </w:p>
    <w:p w:rsidR="003474AA" w:rsidRPr="00B02A93" w:rsidP="003474AA" w14:paraId="065A05CF" w14:textId="77777777">
      <w:pPr>
        <w:autoSpaceDE w:val="0"/>
        <w:autoSpaceDN w:val="0"/>
        <w:adjustRightInd w:val="0"/>
        <w:rPr>
          <w:b/>
          <w:szCs w:val="22"/>
        </w:rPr>
      </w:pPr>
    </w:p>
    <w:p w:rsidR="003474AA" w:rsidRPr="00477B03" w:rsidP="003474AA" w14:paraId="469D9417" w14:textId="77777777">
      <w:pPr>
        <w:autoSpaceDE w:val="0"/>
        <w:autoSpaceDN w:val="0"/>
        <w:adjustRightInd w:val="0"/>
        <w:jc w:val="center"/>
        <w:rPr>
          <w:b/>
          <w:szCs w:val="22"/>
        </w:rPr>
      </w:pPr>
      <w:r w:rsidRPr="004D2C30">
        <w:rPr>
          <w:b/>
          <w:szCs w:val="22"/>
        </w:rPr>
        <w:t>NON-</w:t>
      </w:r>
      <w:r w:rsidRPr="00477B03" w:rsidR="002351E7">
        <w:rPr>
          <w:b/>
          <w:szCs w:val="22"/>
        </w:rPr>
        <w:t>STREAMLINED PLEADING CYCLE ESTABLISHED</w:t>
      </w:r>
    </w:p>
    <w:p w:rsidR="003474AA" w:rsidP="003474AA" w14:paraId="2647118C" w14:textId="77777777">
      <w:pPr>
        <w:autoSpaceDE w:val="0"/>
        <w:autoSpaceDN w:val="0"/>
        <w:adjustRightInd w:val="0"/>
        <w:jc w:val="center"/>
        <w:rPr>
          <w:b/>
          <w:szCs w:val="22"/>
        </w:rPr>
      </w:pPr>
    </w:p>
    <w:p w:rsidR="003474AA" w:rsidP="003474AA" w14:paraId="0F78DD83" w14:textId="090A881A">
      <w:pPr>
        <w:autoSpaceDE w:val="0"/>
        <w:autoSpaceDN w:val="0"/>
        <w:adjustRightInd w:val="0"/>
        <w:jc w:val="center"/>
        <w:rPr>
          <w:b/>
          <w:szCs w:val="22"/>
        </w:rPr>
      </w:pPr>
      <w:r w:rsidRPr="00B02A93">
        <w:rPr>
          <w:b/>
          <w:szCs w:val="22"/>
        </w:rPr>
        <w:t>WC Docket No. 2</w:t>
      </w:r>
      <w:r w:rsidR="005A029F">
        <w:rPr>
          <w:b/>
          <w:szCs w:val="22"/>
        </w:rPr>
        <w:t>2-</w:t>
      </w:r>
      <w:r w:rsidR="003A4975">
        <w:rPr>
          <w:b/>
          <w:szCs w:val="22"/>
        </w:rPr>
        <w:t>279</w:t>
      </w:r>
    </w:p>
    <w:p w:rsidR="003474AA" w:rsidP="003474AA" w14:paraId="2AD6A02A" w14:textId="77777777">
      <w:pPr>
        <w:autoSpaceDE w:val="0"/>
        <w:autoSpaceDN w:val="0"/>
        <w:adjustRightInd w:val="0"/>
        <w:jc w:val="center"/>
        <w:rPr>
          <w:b/>
          <w:szCs w:val="22"/>
        </w:rPr>
      </w:pPr>
    </w:p>
    <w:p w:rsidR="003474AA" w:rsidP="003474AA" w14:paraId="06CB403B" w14:textId="6B35C792">
      <w:pPr>
        <w:pStyle w:val="NoSpacing"/>
        <w:rPr>
          <w:b/>
          <w:szCs w:val="22"/>
        </w:rPr>
      </w:pPr>
      <w:r w:rsidRPr="005B2105">
        <w:rPr>
          <w:b/>
          <w:szCs w:val="22"/>
        </w:rPr>
        <w:t xml:space="preserve">Comments Due:  </w:t>
      </w:r>
      <w:r w:rsidR="00685ACE">
        <w:rPr>
          <w:b/>
          <w:szCs w:val="22"/>
        </w:rPr>
        <w:t>August</w:t>
      </w:r>
      <w:r w:rsidR="008014D0">
        <w:rPr>
          <w:b/>
          <w:szCs w:val="22"/>
        </w:rPr>
        <w:t xml:space="preserve"> </w:t>
      </w:r>
      <w:r w:rsidR="0023194E">
        <w:rPr>
          <w:b/>
          <w:szCs w:val="22"/>
        </w:rPr>
        <w:t>17</w:t>
      </w:r>
      <w:r>
        <w:rPr>
          <w:b/>
          <w:szCs w:val="22"/>
        </w:rPr>
        <w:t>,</w:t>
      </w:r>
      <w:r w:rsidRPr="005B2105">
        <w:rPr>
          <w:b/>
          <w:szCs w:val="22"/>
        </w:rPr>
        <w:t xml:space="preserve"> 202</w:t>
      </w:r>
      <w:r>
        <w:rPr>
          <w:b/>
          <w:szCs w:val="22"/>
        </w:rPr>
        <w:t xml:space="preserve">2 </w:t>
      </w:r>
    </w:p>
    <w:p w:rsidR="003474AA" w:rsidRPr="005B2105" w:rsidP="003474AA" w14:paraId="3E6BCA29" w14:textId="1F23CD93">
      <w:pPr>
        <w:pStyle w:val="NoSpacing"/>
        <w:rPr>
          <w:b/>
          <w:szCs w:val="22"/>
        </w:rPr>
      </w:pPr>
      <w:r>
        <w:rPr>
          <w:b/>
          <w:szCs w:val="22"/>
        </w:rPr>
        <w:t xml:space="preserve">Reply Comment Due:  </w:t>
      </w:r>
      <w:r w:rsidR="0023194E">
        <w:rPr>
          <w:b/>
          <w:szCs w:val="22"/>
        </w:rPr>
        <w:t>August 24</w:t>
      </w:r>
      <w:r>
        <w:rPr>
          <w:b/>
          <w:szCs w:val="22"/>
        </w:rPr>
        <w:t xml:space="preserve">, 2022 </w:t>
      </w:r>
    </w:p>
    <w:p w:rsidR="003474AA" w:rsidRPr="00B02A93" w:rsidP="003474AA" w14:paraId="48375F9C" w14:textId="77777777">
      <w:pPr>
        <w:autoSpaceDE w:val="0"/>
        <w:autoSpaceDN w:val="0"/>
        <w:adjustRightInd w:val="0"/>
        <w:jc w:val="center"/>
        <w:rPr>
          <w:b/>
          <w:szCs w:val="22"/>
        </w:rPr>
      </w:pPr>
    </w:p>
    <w:p w:rsidR="0054766A" w:rsidP="00685ACE" w14:paraId="0F5BBFE9" w14:textId="3BCDA251">
      <w:pPr>
        <w:widowControl/>
        <w:autoSpaceDE w:val="0"/>
        <w:autoSpaceDN w:val="0"/>
        <w:adjustRightInd w:val="0"/>
        <w:spacing w:after="120"/>
        <w:ind w:firstLine="720"/>
        <w:rPr>
          <w:snapToGrid/>
          <w:kern w:val="0"/>
          <w:szCs w:val="22"/>
        </w:rPr>
      </w:pPr>
      <w:r w:rsidRPr="00477B03">
        <w:rPr>
          <w:snapToGrid/>
          <w:kern w:val="0"/>
          <w:szCs w:val="22"/>
        </w:rPr>
        <w:t xml:space="preserve">By this Public Notice, the Wireline Competition Bureau </w:t>
      </w:r>
      <w:r w:rsidR="00727A69">
        <w:rPr>
          <w:snapToGrid/>
          <w:kern w:val="0"/>
          <w:szCs w:val="22"/>
        </w:rPr>
        <w:t xml:space="preserve">(Bureau) </w:t>
      </w:r>
      <w:r w:rsidRPr="00477B03">
        <w:rPr>
          <w:snapToGrid/>
          <w:kern w:val="0"/>
          <w:szCs w:val="22"/>
        </w:rPr>
        <w:t>seeks comment from interested parties on an application filed by</w:t>
      </w:r>
      <w:bookmarkStart w:id="0" w:name="_Hlk87961388"/>
      <w:r w:rsidR="00FD5AD9">
        <w:rPr>
          <w:snapToGrid/>
          <w:kern w:val="0"/>
          <w:szCs w:val="22"/>
        </w:rPr>
        <w:t xml:space="preserve"> </w:t>
      </w:r>
      <w:r w:rsidR="00685ACE">
        <w:rPr>
          <w:snapToGrid/>
          <w:kern w:val="0"/>
          <w:szCs w:val="22"/>
        </w:rPr>
        <w:t>Mercury Holdings, Inc. (MHI or Transferor), Mercury Wireless Indiana, LLC (MWI), Mercury Wireless Kansas, LLC (MWK, and together with MWI, Licensees), and NCP Mercury AIV LP (NCP Mercury or Transferee) (collectively, Applicants)</w:t>
      </w:r>
      <w:bookmarkEnd w:id="0"/>
      <w:r w:rsidRPr="00477B03">
        <w:rPr>
          <w:snapToGrid/>
          <w:kern w:val="0"/>
          <w:szCs w:val="22"/>
        </w:rPr>
        <w:t>, pursuant to section 214 of the Communications Act of 1934, as amended, and sections 63.03-04 of the Commission’s rules,</w:t>
      </w:r>
      <w:r>
        <w:rPr>
          <w:snapToGrid/>
          <w:kern w:val="0"/>
          <w:szCs w:val="22"/>
          <w:vertAlign w:val="superscript"/>
        </w:rPr>
        <w:footnoteReference w:id="3"/>
      </w:r>
      <w:r w:rsidRPr="00477B03">
        <w:rPr>
          <w:snapToGrid/>
          <w:kern w:val="0"/>
          <w:szCs w:val="22"/>
        </w:rPr>
        <w:t xml:space="preserve"> requesting consent </w:t>
      </w:r>
      <w:r w:rsidR="008D4566">
        <w:rPr>
          <w:snapToGrid/>
          <w:kern w:val="0"/>
          <w:szCs w:val="22"/>
        </w:rPr>
        <w:t>to</w:t>
      </w:r>
      <w:r w:rsidR="00A74809">
        <w:rPr>
          <w:snapToGrid/>
          <w:kern w:val="0"/>
          <w:szCs w:val="22"/>
        </w:rPr>
        <w:t xml:space="preserve"> </w:t>
      </w:r>
      <w:r w:rsidR="00E73F37">
        <w:rPr>
          <w:snapToGrid/>
          <w:kern w:val="0"/>
          <w:szCs w:val="22"/>
        </w:rPr>
        <w:t>t</w:t>
      </w:r>
      <w:r w:rsidR="005A029F">
        <w:rPr>
          <w:snapToGrid/>
          <w:kern w:val="0"/>
          <w:szCs w:val="22"/>
        </w:rPr>
        <w:t xml:space="preserve">ransfer control of </w:t>
      </w:r>
      <w:r w:rsidR="00685ACE">
        <w:rPr>
          <w:snapToGrid/>
          <w:kern w:val="0"/>
          <w:szCs w:val="22"/>
        </w:rPr>
        <w:t>MW</w:t>
      </w:r>
      <w:r w:rsidR="00727A69">
        <w:rPr>
          <w:snapToGrid/>
          <w:kern w:val="0"/>
          <w:szCs w:val="22"/>
        </w:rPr>
        <w:t>K</w:t>
      </w:r>
      <w:r w:rsidR="00685ACE">
        <w:rPr>
          <w:snapToGrid/>
          <w:kern w:val="0"/>
          <w:szCs w:val="22"/>
        </w:rPr>
        <w:t xml:space="preserve"> and MW</w:t>
      </w:r>
      <w:r w:rsidR="00727A69">
        <w:rPr>
          <w:snapToGrid/>
          <w:kern w:val="0"/>
          <w:szCs w:val="22"/>
        </w:rPr>
        <w:t>I</w:t>
      </w:r>
      <w:r w:rsidR="00E46BFF">
        <w:rPr>
          <w:snapToGrid/>
          <w:kern w:val="0"/>
          <w:szCs w:val="22"/>
        </w:rPr>
        <w:t xml:space="preserve"> </w:t>
      </w:r>
      <w:r w:rsidRPr="00AA0796" w:rsidR="00AA0796">
        <w:rPr>
          <w:snapToGrid/>
          <w:kern w:val="0"/>
          <w:szCs w:val="22"/>
        </w:rPr>
        <w:t xml:space="preserve">to </w:t>
      </w:r>
      <w:r w:rsidR="00685ACE">
        <w:rPr>
          <w:snapToGrid/>
          <w:kern w:val="0"/>
          <w:szCs w:val="22"/>
        </w:rPr>
        <w:t>NCP Mercury</w:t>
      </w:r>
      <w:r w:rsidR="00E73F37">
        <w:rPr>
          <w:snapToGrid/>
          <w:kern w:val="0"/>
          <w:szCs w:val="22"/>
        </w:rPr>
        <w:t>.</w:t>
      </w:r>
      <w:r w:rsidRPr="00477B03">
        <w:rPr>
          <w:snapToGrid/>
          <w:kern w:val="0"/>
          <w:szCs w:val="22"/>
        </w:rPr>
        <w:t xml:space="preserve"> </w:t>
      </w:r>
    </w:p>
    <w:p w:rsidR="00685ACE" w:rsidP="00E51465" w14:paraId="4DDE181F" w14:textId="322C5D06">
      <w:pPr>
        <w:widowControl/>
        <w:autoSpaceDE w:val="0"/>
        <w:autoSpaceDN w:val="0"/>
        <w:adjustRightInd w:val="0"/>
        <w:spacing w:after="120"/>
        <w:ind w:firstLine="720"/>
        <w:rPr>
          <w:snapToGrid/>
          <w:kern w:val="0"/>
          <w:szCs w:val="22"/>
        </w:rPr>
      </w:pPr>
      <w:r>
        <w:rPr>
          <w:snapToGrid/>
          <w:kern w:val="0"/>
          <w:szCs w:val="22"/>
        </w:rPr>
        <w:t>MHI, a Kansas corporation, currently holds 92.71% of the equity and voting interests in Mercury Broadband, LLC (Mercury Broadband), a Kansas limited liability company and the direct parent and sole member of Licensees.</w:t>
      </w:r>
      <w:r>
        <w:rPr>
          <w:rStyle w:val="FootnoteReference"/>
          <w:snapToGrid/>
          <w:kern w:val="0"/>
          <w:szCs w:val="22"/>
        </w:rPr>
        <w:footnoteReference w:id="4"/>
      </w:r>
      <w:r>
        <w:rPr>
          <w:snapToGrid/>
          <w:kern w:val="0"/>
          <w:szCs w:val="22"/>
        </w:rPr>
        <w:t xml:space="preserve">  MWK is a limited liability company organized under the laws of Indiana, </w:t>
      </w:r>
      <w:r w:rsidR="00795AC8">
        <w:rPr>
          <w:snapToGrid/>
          <w:kern w:val="0"/>
          <w:szCs w:val="22"/>
        </w:rPr>
        <w:t xml:space="preserve">an </w:t>
      </w:r>
      <w:r w:rsidR="005B4C89">
        <w:rPr>
          <w:snapToGrid/>
          <w:kern w:val="0"/>
          <w:szCs w:val="22"/>
        </w:rPr>
        <w:t>E</w:t>
      </w:r>
      <w:r w:rsidR="00795AC8">
        <w:rPr>
          <w:snapToGrid/>
          <w:kern w:val="0"/>
          <w:szCs w:val="22"/>
        </w:rPr>
        <w:t xml:space="preserve">ligible </w:t>
      </w:r>
      <w:r w:rsidR="005B4C89">
        <w:rPr>
          <w:snapToGrid/>
          <w:kern w:val="0"/>
          <w:szCs w:val="22"/>
        </w:rPr>
        <w:t>T</w:t>
      </w:r>
      <w:r w:rsidR="00795AC8">
        <w:rPr>
          <w:snapToGrid/>
          <w:kern w:val="0"/>
          <w:szCs w:val="22"/>
        </w:rPr>
        <w:t xml:space="preserve">elecommunications </w:t>
      </w:r>
      <w:r w:rsidR="005B4C89">
        <w:rPr>
          <w:snapToGrid/>
          <w:kern w:val="0"/>
          <w:szCs w:val="22"/>
        </w:rPr>
        <w:t>C</w:t>
      </w:r>
      <w:r w:rsidR="00795AC8">
        <w:rPr>
          <w:snapToGrid/>
          <w:kern w:val="0"/>
          <w:szCs w:val="22"/>
        </w:rPr>
        <w:t xml:space="preserve">arrier (ETC) </w:t>
      </w:r>
      <w:r w:rsidR="005B4C89">
        <w:rPr>
          <w:snapToGrid/>
          <w:kern w:val="0"/>
          <w:szCs w:val="22"/>
        </w:rPr>
        <w:t xml:space="preserve">in Illinois, Kansas, and Missouri, </w:t>
      </w:r>
      <w:r>
        <w:rPr>
          <w:snapToGrid/>
          <w:kern w:val="0"/>
          <w:szCs w:val="22"/>
        </w:rPr>
        <w:t>and</w:t>
      </w:r>
      <w:r w:rsidR="00727A69">
        <w:rPr>
          <w:snapToGrid/>
          <w:kern w:val="0"/>
          <w:szCs w:val="22"/>
        </w:rPr>
        <w:t xml:space="preserve"> currently</w:t>
      </w:r>
      <w:r>
        <w:rPr>
          <w:snapToGrid/>
          <w:kern w:val="0"/>
          <w:szCs w:val="22"/>
        </w:rPr>
        <w:t xml:space="preserve"> provides wireless broadband </w:t>
      </w:r>
      <w:r w:rsidR="007F6DE6">
        <w:rPr>
          <w:snapToGrid/>
          <w:kern w:val="0"/>
          <w:szCs w:val="22"/>
        </w:rPr>
        <w:t xml:space="preserve">and voice </w:t>
      </w:r>
      <w:r>
        <w:rPr>
          <w:snapToGrid/>
          <w:kern w:val="0"/>
          <w:szCs w:val="22"/>
        </w:rPr>
        <w:t>services in Kansas and Missouri</w:t>
      </w:r>
      <w:r w:rsidR="005B4C89">
        <w:rPr>
          <w:snapToGrid/>
          <w:kern w:val="0"/>
          <w:szCs w:val="22"/>
        </w:rPr>
        <w:t>.</w:t>
      </w:r>
      <w:r>
        <w:rPr>
          <w:rStyle w:val="FootnoteReference"/>
          <w:snapToGrid/>
          <w:kern w:val="0"/>
          <w:szCs w:val="22"/>
        </w:rPr>
        <w:footnoteReference w:id="5"/>
      </w:r>
      <w:r w:rsidR="005B4C89">
        <w:rPr>
          <w:snapToGrid/>
          <w:kern w:val="0"/>
          <w:szCs w:val="22"/>
        </w:rPr>
        <w:t xml:space="preserve">  MWK</w:t>
      </w:r>
      <w:r>
        <w:rPr>
          <w:snapToGrid/>
          <w:kern w:val="0"/>
          <w:szCs w:val="22"/>
        </w:rPr>
        <w:t xml:space="preserve"> receives </w:t>
      </w:r>
      <w:r w:rsidR="005007A5">
        <w:rPr>
          <w:szCs w:val="22"/>
        </w:rPr>
        <w:t xml:space="preserve">Connect America Fund (CAF) Phase II </w:t>
      </w:r>
      <w:r w:rsidR="00795AC8">
        <w:rPr>
          <w:szCs w:val="22"/>
        </w:rPr>
        <w:t xml:space="preserve">Auction 903 </w:t>
      </w:r>
      <w:r w:rsidR="005007A5">
        <w:rPr>
          <w:szCs w:val="22"/>
        </w:rPr>
        <w:t>support</w:t>
      </w:r>
      <w:r w:rsidR="005007A5">
        <w:rPr>
          <w:snapToGrid/>
          <w:kern w:val="0"/>
          <w:szCs w:val="22"/>
        </w:rPr>
        <w:t xml:space="preserve"> </w:t>
      </w:r>
      <w:r>
        <w:rPr>
          <w:snapToGrid/>
          <w:kern w:val="0"/>
          <w:szCs w:val="22"/>
        </w:rPr>
        <w:t xml:space="preserve">in </w:t>
      </w:r>
      <w:r w:rsidR="005B4C89">
        <w:rPr>
          <w:snapToGrid/>
          <w:kern w:val="0"/>
          <w:szCs w:val="22"/>
        </w:rPr>
        <w:t>Kansas and Missouri</w:t>
      </w:r>
      <w:r>
        <w:rPr>
          <w:snapToGrid/>
          <w:kern w:val="0"/>
          <w:szCs w:val="22"/>
        </w:rPr>
        <w:t>.</w:t>
      </w:r>
      <w:r>
        <w:rPr>
          <w:rStyle w:val="FootnoteReference"/>
          <w:snapToGrid/>
          <w:kern w:val="0"/>
          <w:szCs w:val="22"/>
        </w:rPr>
        <w:footnoteReference w:id="6"/>
      </w:r>
      <w:r>
        <w:rPr>
          <w:snapToGrid/>
          <w:kern w:val="0"/>
          <w:szCs w:val="22"/>
        </w:rPr>
        <w:t xml:space="preserve">  On July 14, 2022, the </w:t>
      </w:r>
      <w:r w:rsidR="00EA4A8A">
        <w:rPr>
          <w:snapToGrid/>
          <w:kern w:val="0"/>
          <w:szCs w:val="22"/>
        </w:rPr>
        <w:t>Bureau</w:t>
      </w:r>
      <w:r>
        <w:rPr>
          <w:snapToGrid/>
          <w:kern w:val="0"/>
          <w:szCs w:val="22"/>
        </w:rPr>
        <w:t xml:space="preserve"> authorized MWK to receive $8,228,680.40 in R</w:t>
      </w:r>
      <w:r w:rsidR="00B47F14">
        <w:rPr>
          <w:snapToGrid/>
          <w:kern w:val="0"/>
          <w:szCs w:val="22"/>
        </w:rPr>
        <w:t>ural Digital Opportunity Fund (R</w:t>
      </w:r>
      <w:r>
        <w:rPr>
          <w:snapToGrid/>
          <w:kern w:val="0"/>
          <w:szCs w:val="22"/>
        </w:rPr>
        <w:t>DOF</w:t>
      </w:r>
      <w:r w:rsidR="00B47F14">
        <w:rPr>
          <w:snapToGrid/>
          <w:kern w:val="0"/>
          <w:szCs w:val="22"/>
        </w:rPr>
        <w:t>) Auction 904</w:t>
      </w:r>
      <w:r>
        <w:rPr>
          <w:snapToGrid/>
          <w:kern w:val="0"/>
          <w:szCs w:val="22"/>
        </w:rPr>
        <w:t xml:space="preserve"> support to </w:t>
      </w:r>
      <w:r w:rsidR="00B47F14">
        <w:rPr>
          <w:snapToGrid/>
          <w:kern w:val="0"/>
          <w:szCs w:val="22"/>
        </w:rPr>
        <w:t xml:space="preserve">provide service to </w:t>
      </w:r>
      <w:r>
        <w:rPr>
          <w:snapToGrid/>
          <w:kern w:val="0"/>
          <w:szCs w:val="22"/>
        </w:rPr>
        <w:t>13,450 locations in Kansas, Missouri, and Illinois.</w:t>
      </w:r>
      <w:r>
        <w:rPr>
          <w:rStyle w:val="FootnoteReference"/>
          <w:snapToGrid/>
          <w:kern w:val="0"/>
          <w:szCs w:val="22"/>
        </w:rPr>
        <w:footnoteReference w:id="7"/>
      </w:r>
      <w:r>
        <w:rPr>
          <w:snapToGrid/>
          <w:kern w:val="0"/>
          <w:szCs w:val="22"/>
        </w:rPr>
        <w:t xml:space="preserve">  MWI is a limited liability company </w:t>
      </w:r>
      <w:r>
        <w:rPr>
          <w:snapToGrid/>
          <w:kern w:val="0"/>
          <w:szCs w:val="22"/>
        </w:rPr>
        <w:t xml:space="preserve">organized under the laws of Indiana, </w:t>
      </w:r>
      <w:r w:rsidR="005B4C89">
        <w:rPr>
          <w:snapToGrid/>
          <w:kern w:val="0"/>
          <w:szCs w:val="22"/>
        </w:rPr>
        <w:t xml:space="preserve">an ETC in Indiana, Michigan, and Ohio, </w:t>
      </w:r>
      <w:r>
        <w:rPr>
          <w:snapToGrid/>
          <w:kern w:val="0"/>
          <w:szCs w:val="22"/>
        </w:rPr>
        <w:t>and provides wireless broadband and voice services in Indiana and Michigan</w:t>
      </w:r>
      <w:r w:rsidR="005B4C89">
        <w:rPr>
          <w:snapToGrid/>
          <w:kern w:val="0"/>
          <w:szCs w:val="22"/>
        </w:rPr>
        <w:t>.</w:t>
      </w:r>
      <w:r>
        <w:rPr>
          <w:rStyle w:val="FootnoteReference"/>
          <w:snapToGrid/>
          <w:kern w:val="0"/>
          <w:szCs w:val="22"/>
        </w:rPr>
        <w:footnoteReference w:id="8"/>
      </w:r>
      <w:r w:rsidR="005B4C89">
        <w:rPr>
          <w:snapToGrid/>
          <w:kern w:val="0"/>
          <w:szCs w:val="22"/>
        </w:rPr>
        <w:t xml:space="preserve">  MWI </w:t>
      </w:r>
      <w:r>
        <w:rPr>
          <w:snapToGrid/>
          <w:kern w:val="0"/>
          <w:szCs w:val="22"/>
        </w:rPr>
        <w:t xml:space="preserve">receives CAF-II support in </w:t>
      </w:r>
      <w:r w:rsidR="005B4C89">
        <w:rPr>
          <w:snapToGrid/>
          <w:kern w:val="0"/>
          <w:szCs w:val="22"/>
        </w:rPr>
        <w:t xml:space="preserve">Indiana, Michigan, and </w:t>
      </w:r>
      <w:r>
        <w:rPr>
          <w:snapToGrid/>
          <w:kern w:val="0"/>
          <w:szCs w:val="22"/>
        </w:rPr>
        <w:t>Ohio.</w:t>
      </w:r>
      <w:r>
        <w:rPr>
          <w:rStyle w:val="FootnoteReference"/>
          <w:snapToGrid/>
          <w:kern w:val="0"/>
          <w:szCs w:val="22"/>
        </w:rPr>
        <w:footnoteReference w:id="9"/>
      </w:r>
      <w:r>
        <w:rPr>
          <w:snapToGrid/>
          <w:kern w:val="0"/>
          <w:szCs w:val="22"/>
        </w:rPr>
        <w:t xml:space="preserve">  On July 14, 2022, the </w:t>
      </w:r>
      <w:r w:rsidR="00EA4A8A">
        <w:rPr>
          <w:snapToGrid/>
          <w:kern w:val="0"/>
          <w:szCs w:val="22"/>
        </w:rPr>
        <w:t>Bureau</w:t>
      </w:r>
      <w:r>
        <w:rPr>
          <w:snapToGrid/>
          <w:kern w:val="0"/>
          <w:szCs w:val="22"/>
        </w:rPr>
        <w:t xml:space="preserve"> authorized MWI to receive $53,493,220.80 in RDOF support to </w:t>
      </w:r>
      <w:r w:rsidR="005B4C89">
        <w:rPr>
          <w:snapToGrid/>
          <w:kern w:val="0"/>
          <w:szCs w:val="22"/>
        </w:rPr>
        <w:t>provide service to</w:t>
      </w:r>
      <w:r>
        <w:rPr>
          <w:snapToGrid/>
          <w:kern w:val="0"/>
          <w:szCs w:val="22"/>
        </w:rPr>
        <w:t xml:space="preserve"> 109</w:t>
      </w:r>
      <w:r w:rsidR="007F6DE6">
        <w:rPr>
          <w:snapToGrid/>
          <w:kern w:val="0"/>
          <w:szCs w:val="22"/>
        </w:rPr>
        <w:t>,</w:t>
      </w:r>
      <w:r>
        <w:rPr>
          <w:snapToGrid/>
          <w:kern w:val="0"/>
          <w:szCs w:val="22"/>
        </w:rPr>
        <w:t>296 locations in Indiana, Michigan, and Ohio.</w:t>
      </w:r>
      <w:r>
        <w:rPr>
          <w:rStyle w:val="FootnoteReference"/>
          <w:snapToGrid/>
          <w:kern w:val="0"/>
          <w:szCs w:val="22"/>
        </w:rPr>
        <w:footnoteReference w:id="10"/>
      </w:r>
      <w:r>
        <w:rPr>
          <w:snapToGrid/>
          <w:kern w:val="0"/>
          <w:szCs w:val="22"/>
        </w:rPr>
        <w:t xml:space="preserve">  </w:t>
      </w:r>
    </w:p>
    <w:p w:rsidR="00D4418F" w:rsidP="00685ACE" w14:paraId="23248AB7" w14:textId="4228D6D7">
      <w:pPr>
        <w:widowControl/>
        <w:autoSpaceDE w:val="0"/>
        <w:autoSpaceDN w:val="0"/>
        <w:adjustRightInd w:val="0"/>
        <w:spacing w:after="120"/>
        <w:ind w:firstLine="720"/>
        <w:rPr>
          <w:snapToGrid/>
          <w:kern w:val="0"/>
          <w:szCs w:val="22"/>
        </w:rPr>
      </w:pPr>
      <w:r>
        <w:rPr>
          <w:snapToGrid/>
          <w:kern w:val="0"/>
          <w:szCs w:val="22"/>
        </w:rPr>
        <w:t xml:space="preserve">NCP Mercury is a Delaware limited partnership </w:t>
      </w:r>
      <w:r w:rsidR="00C052E9">
        <w:rPr>
          <w:snapToGrid/>
          <w:kern w:val="0"/>
          <w:szCs w:val="22"/>
        </w:rPr>
        <w:t xml:space="preserve">that was </w:t>
      </w:r>
      <w:r>
        <w:rPr>
          <w:snapToGrid/>
          <w:kern w:val="0"/>
          <w:szCs w:val="22"/>
        </w:rPr>
        <w:t>formed for purposes of the transaction to acquire indirect control of Licensees through its direct wholly</w:t>
      </w:r>
      <w:r w:rsidR="007F6DE6">
        <w:rPr>
          <w:snapToGrid/>
          <w:kern w:val="0"/>
          <w:szCs w:val="22"/>
        </w:rPr>
        <w:t>-</w:t>
      </w:r>
      <w:r>
        <w:rPr>
          <w:snapToGrid/>
          <w:kern w:val="0"/>
          <w:szCs w:val="22"/>
        </w:rPr>
        <w:t>owned subsidiary, Mercury TopCo, LLC (Mercury TopCo).</w:t>
      </w:r>
      <w:r>
        <w:rPr>
          <w:rStyle w:val="FootnoteReference"/>
          <w:snapToGrid/>
          <w:kern w:val="0"/>
          <w:szCs w:val="22"/>
        </w:rPr>
        <w:footnoteReference w:id="11"/>
      </w:r>
      <w:r>
        <w:rPr>
          <w:snapToGrid/>
          <w:kern w:val="0"/>
          <w:szCs w:val="22"/>
        </w:rPr>
        <w:t xml:space="preserve">  NCP Mercury and Mercury TopCo are holding companies and do not hold any Commission licenses or authorizations</w:t>
      </w:r>
      <w:r w:rsidR="002F6CD3">
        <w:rPr>
          <w:snapToGrid/>
          <w:kern w:val="0"/>
          <w:szCs w:val="22"/>
        </w:rPr>
        <w:t xml:space="preserve"> or</w:t>
      </w:r>
      <w:r>
        <w:rPr>
          <w:snapToGrid/>
          <w:kern w:val="0"/>
          <w:szCs w:val="22"/>
        </w:rPr>
        <w:t xml:space="preserve"> provide telecommunications services.</w:t>
      </w:r>
      <w:r>
        <w:rPr>
          <w:rStyle w:val="FootnoteReference"/>
          <w:snapToGrid/>
          <w:kern w:val="0"/>
          <w:szCs w:val="22"/>
        </w:rPr>
        <w:footnoteReference w:id="12"/>
      </w:r>
      <w:r>
        <w:rPr>
          <w:snapToGrid/>
          <w:kern w:val="0"/>
          <w:szCs w:val="22"/>
        </w:rPr>
        <w:t xml:space="preserve">  NCP Mercury is ultimately controlled by Northleaf Capital Group, Ltd. (Northleaf), a </w:t>
      </w:r>
      <w:r w:rsidR="002F6CD3">
        <w:rPr>
          <w:snapToGrid/>
          <w:kern w:val="0"/>
          <w:szCs w:val="22"/>
        </w:rPr>
        <w:t>Canadian investment entity.</w:t>
      </w:r>
      <w:r>
        <w:rPr>
          <w:rStyle w:val="FootnoteReference"/>
          <w:snapToGrid/>
          <w:kern w:val="0"/>
          <w:szCs w:val="22"/>
        </w:rPr>
        <w:footnoteReference w:id="13"/>
      </w:r>
      <w:r>
        <w:rPr>
          <w:snapToGrid/>
          <w:kern w:val="0"/>
          <w:szCs w:val="22"/>
        </w:rPr>
        <w:t xml:space="preserve">  </w:t>
      </w:r>
      <w:r w:rsidR="00B62C4D">
        <w:rPr>
          <w:snapToGrid/>
          <w:kern w:val="0"/>
          <w:szCs w:val="22"/>
        </w:rPr>
        <w:t xml:space="preserve">Applicants state that Northleaf is controlled </w:t>
      </w:r>
      <w:r w:rsidR="00934232">
        <w:rPr>
          <w:snapToGrid/>
          <w:kern w:val="0"/>
          <w:szCs w:val="22"/>
        </w:rPr>
        <w:t xml:space="preserve">(50.1%) </w:t>
      </w:r>
      <w:r w:rsidR="00B62C4D">
        <w:rPr>
          <w:snapToGrid/>
          <w:kern w:val="0"/>
          <w:szCs w:val="22"/>
        </w:rPr>
        <w:t>by its three f</w:t>
      </w:r>
      <w:r w:rsidR="00934232">
        <w:rPr>
          <w:snapToGrid/>
          <w:kern w:val="0"/>
          <w:szCs w:val="22"/>
        </w:rPr>
        <w:t>ounders</w:t>
      </w:r>
      <w:r w:rsidR="00B62C4D">
        <w:rPr>
          <w:snapToGrid/>
          <w:kern w:val="0"/>
          <w:szCs w:val="22"/>
        </w:rPr>
        <w:t xml:space="preserve">, Michael </w:t>
      </w:r>
      <w:r w:rsidR="00934232">
        <w:rPr>
          <w:snapToGrid/>
          <w:kern w:val="0"/>
          <w:szCs w:val="22"/>
        </w:rPr>
        <w:t>W</w:t>
      </w:r>
      <w:r w:rsidR="00B62C4D">
        <w:rPr>
          <w:snapToGrid/>
          <w:kern w:val="0"/>
          <w:szCs w:val="22"/>
        </w:rPr>
        <w:t xml:space="preserve">. Flood, Jeffrey E. Pentland, and Stuart </w:t>
      </w:r>
      <w:r w:rsidR="00934232">
        <w:rPr>
          <w:snapToGrid/>
          <w:kern w:val="0"/>
          <w:szCs w:val="22"/>
        </w:rPr>
        <w:t xml:space="preserve">D. </w:t>
      </w:r>
      <w:r w:rsidR="00B62C4D">
        <w:rPr>
          <w:snapToGrid/>
          <w:kern w:val="0"/>
          <w:szCs w:val="22"/>
        </w:rPr>
        <w:t>Waugh, all Canadian citizens, and certain other members of its senior leadership team</w:t>
      </w:r>
      <w:r w:rsidR="00934232">
        <w:rPr>
          <w:snapToGrid/>
          <w:kern w:val="0"/>
          <w:szCs w:val="22"/>
        </w:rPr>
        <w:t>, who generally vote in a block pursuant to a shareholders’ agreement.</w:t>
      </w:r>
      <w:r w:rsidRPr="00D4418F">
        <w:rPr>
          <w:rStyle w:val="FootnoteReference"/>
          <w:snapToGrid/>
          <w:kern w:val="0"/>
          <w:szCs w:val="22"/>
        </w:rPr>
        <w:t xml:space="preserve"> </w:t>
      </w:r>
      <w:r>
        <w:rPr>
          <w:rStyle w:val="FootnoteReference"/>
          <w:snapToGrid/>
          <w:kern w:val="0"/>
          <w:szCs w:val="22"/>
        </w:rPr>
        <w:footnoteReference w:id="14"/>
      </w:r>
      <w:r w:rsidR="00934232">
        <w:rPr>
          <w:snapToGrid/>
          <w:kern w:val="0"/>
          <w:szCs w:val="22"/>
        </w:rPr>
        <w:t xml:space="preserve">  </w:t>
      </w:r>
      <w:r w:rsidR="00547361">
        <w:rPr>
          <w:snapToGrid/>
          <w:kern w:val="0"/>
          <w:szCs w:val="22"/>
        </w:rPr>
        <w:t>Armstrong, L.P., a Canadian entity, holds the remaining 49.9% non-controlling interest in Northleaf.</w:t>
      </w:r>
      <w:r>
        <w:rPr>
          <w:rStyle w:val="FootnoteReference"/>
          <w:snapToGrid/>
          <w:kern w:val="0"/>
          <w:szCs w:val="22"/>
        </w:rPr>
        <w:footnoteReference w:id="15"/>
      </w:r>
      <w:r w:rsidR="00547361">
        <w:rPr>
          <w:snapToGrid/>
          <w:kern w:val="0"/>
          <w:szCs w:val="22"/>
        </w:rPr>
        <w:t xml:space="preserve"> </w:t>
      </w:r>
      <w:r w:rsidR="00934232">
        <w:rPr>
          <w:snapToGrid/>
          <w:kern w:val="0"/>
          <w:szCs w:val="22"/>
        </w:rPr>
        <w:t>Applicants state that other than the three founders, none of the other senior leadership team holds a 10% or greater</w:t>
      </w:r>
      <w:r>
        <w:rPr>
          <w:snapToGrid/>
          <w:kern w:val="0"/>
          <w:szCs w:val="22"/>
        </w:rPr>
        <w:t xml:space="preserve"> </w:t>
      </w:r>
      <w:r w:rsidR="00934232">
        <w:rPr>
          <w:snapToGrid/>
          <w:kern w:val="0"/>
          <w:szCs w:val="22"/>
        </w:rPr>
        <w:t>interest in NCP Mercury.</w:t>
      </w:r>
      <w:r>
        <w:rPr>
          <w:rStyle w:val="FootnoteReference"/>
          <w:snapToGrid/>
          <w:kern w:val="0"/>
          <w:szCs w:val="22"/>
        </w:rPr>
        <w:footnoteReference w:id="16"/>
      </w:r>
      <w:r w:rsidR="00934232">
        <w:rPr>
          <w:snapToGrid/>
          <w:kern w:val="0"/>
          <w:szCs w:val="22"/>
        </w:rPr>
        <w:t xml:space="preserve"> </w:t>
      </w:r>
      <w:r w:rsidR="00C052E9">
        <w:rPr>
          <w:snapToGrid/>
          <w:kern w:val="0"/>
          <w:szCs w:val="22"/>
        </w:rPr>
        <w:t>Applicants state that neither NCP Mercury nor Northleaf are affiliated with any domestic telecommunications carriers.</w:t>
      </w:r>
      <w:r>
        <w:rPr>
          <w:rStyle w:val="FootnoteReference"/>
          <w:snapToGrid/>
          <w:kern w:val="0"/>
          <w:szCs w:val="22"/>
        </w:rPr>
        <w:footnoteReference w:id="17"/>
      </w:r>
    </w:p>
    <w:p w:rsidR="005063F2" w:rsidP="00685ACE" w14:paraId="094296EA" w14:textId="175B1F0C">
      <w:pPr>
        <w:widowControl/>
        <w:autoSpaceDE w:val="0"/>
        <w:autoSpaceDN w:val="0"/>
        <w:adjustRightInd w:val="0"/>
        <w:spacing w:after="120"/>
        <w:ind w:firstLine="720"/>
        <w:rPr>
          <w:snapToGrid/>
          <w:kern w:val="0"/>
          <w:szCs w:val="22"/>
        </w:rPr>
      </w:pPr>
      <w:r>
        <w:rPr>
          <w:snapToGrid/>
          <w:kern w:val="0"/>
          <w:szCs w:val="22"/>
        </w:rPr>
        <w:t>Through a two</w:t>
      </w:r>
      <w:r w:rsidR="007753AF">
        <w:rPr>
          <w:snapToGrid/>
          <w:kern w:val="0"/>
          <w:szCs w:val="22"/>
        </w:rPr>
        <w:t>-</w:t>
      </w:r>
      <w:r>
        <w:rPr>
          <w:snapToGrid/>
          <w:kern w:val="0"/>
          <w:szCs w:val="22"/>
        </w:rPr>
        <w:t xml:space="preserve">step transaction, NCP Mercury will acquire indirect control of the Licensees.  </w:t>
      </w:r>
      <w:r w:rsidR="007F0896">
        <w:rPr>
          <w:snapToGrid/>
          <w:kern w:val="0"/>
          <w:szCs w:val="22"/>
        </w:rPr>
        <w:t>According to Applicants, “</w:t>
      </w:r>
      <w:r w:rsidR="007F0896">
        <w:t xml:space="preserve">First, Transferor will contribute its interest in Mercury Broadband, the direct parent of Licensees, to Mercury TopCo in exchange for preferred units in Mercury TopCo.  As a result, Mercury TopCo will become the direct parent of Mercury Broadband and the indirect parent of Licensees, both of which will remain direct, wholly owned subsidiaries of Mercury Broadband.  Second, Transferor, Transferee and Mercury TopCo will enter into an Amended and Restated Limited Liability Operating Company Agreement of Mercury TopCo, Inc. (‘LLCA’), pursuant to which NCP Mercury will acquire </w:t>
      </w:r>
      <w:r w:rsidR="007F0896">
        <w:t>indirect control of Mercury Broadband (and Licensees) by virtue of its control of the board of managers (‘Board</w:t>
      </w:r>
      <w:r w:rsidR="007753AF">
        <w:t>’</w:t>
      </w:r>
      <w:r w:rsidR="007F0896">
        <w:t>) of Mercury TopCo.  Specifically, the LLCA provides that, upon receipt of the required regulatory approvals, NCP Mercury will have the right to designate up to four (but no less than a majority) of the five members of the Board of Mercury TopCo and, as such, will control the Board.  The remaining Board seat will be designated by Transferor.”</w:t>
      </w:r>
      <w:r>
        <w:rPr>
          <w:rStyle w:val="FootnoteReference"/>
        </w:rPr>
        <w:footnoteReference w:id="18"/>
      </w:r>
    </w:p>
    <w:p w:rsidR="00737B9E" w:rsidRPr="0090538D" w:rsidP="00C22C78" w14:paraId="0F894DA7" w14:textId="5780A12B">
      <w:pPr>
        <w:widowControl/>
        <w:autoSpaceDE w:val="0"/>
        <w:autoSpaceDN w:val="0"/>
        <w:adjustRightInd w:val="0"/>
        <w:spacing w:after="120"/>
        <w:ind w:firstLine="720"/>
        <w:rPr>
          <w:szCs w:val="22"/>
        </w:rPr>
      </w:pPr>
      <w:r w:rsidRPr="00F62AF6">
        <w:rPr>
          <w:snapToGrid/>
        </w:rPr>
        <w:t>Applicants assert that a grant of the Application would serve the public interest, convenience, and necessity</w:t>
      </w:r>
      <w:r>
        <w:rPr>
          <w:snapToGrid/>
        </w:rPr>
        <w:t>.</w:t>
      </w:r>
      <w:r>
        <w:rPr>
          <w:rStyle w:val="FootnoteReference"/>
          <w:snapToGrid/>
        </w:rPr>
        <w:footnoteReference w:id="19"/>
      </w:r>
      <w:r w:rsidR="001A2613">
        <w:rPr>
          <w:snapToGrid/>
        </w:rPr>
        <w:t xml:space="preserve">  </w:t>
      </w:r>
      <w:r w:rsidR="00506B5B">
        <w:rPr>
          <w:snapToGrid/>
        </w:rPr>
        <w:t xml:space="preserve">They state that </w:t>
      </w:r>
      <w:r w:rsidR="00506B5B">
        <w:t xml:space="preserve">MWK currently provides wireless broadband </w:t>
      </w:r>
      <w:r w:rsidR="007F6DE6">
        <w:t xml:space="preserve">and voice </w:t>
      </w:r>
      <w:r w:rsidR="00506B5B">
        <w:t>services in Kansas and Missouri, with additional network construction planned for Illinois as part of the RDOF buildout.</w:t>
      </w:r>
      <w:r>
        <w:rPr>
          <w:rStyle w:val="FootnoteReference"/>
        </w:rPr>
        <w:footnoteReference w:id="20"/>
      </w:r>
      <w:r w:rsidR="00506B5B">
        <w:t xml:space="preserve">  MWI provides wireless broadband and voice services in Indiana and Michigan, with additional network construction planned for Ohio as part of the CAF-II buildout for end-of-year 2022 and as part of the RDOF buildout.</w:t>
      </w:r>
      <w:r>
        <w:rPr>
          <w:rStyle w:val="FootnoteReference"/>
        </w:rPr>
        <w:footnoteReference w:id="21"/>
      </w:r>
      <w:r w:rsidR="00506B5B">
        <w:t xml:space="preserve">  </w:t>
      </w:r>
      <w:r w:rsidRPr="00662D4F" w:rsidR="001A2613">
        <w:rPr>
          <w:szCs w:val="22"/>
        </w:rPr>
        <w:t xml:space="preserve">They certify that </w:t>
      </w:r>
      <w:r w:rsidR="00CF7636">
        <w:rPr>
          <w:szCs w:val="22"/>
        </w:rPr>
        <w:t xml:space="preserve">the proposed transaction will not result in any </w:t>
      </w:r>
      <w:r w:rsidR="00961B5B">
        <w:rPr>
          <w:szCs w:val="22"/>
        </w:rPr>
        <w:t>alteration</w:t>
      </w:r>
      <w:r w:rsidR="00CF7636">
        <w:rPr>
          <w:szCs w:val="22"/>
        </w:rPr>
        <w:t xml:space="preserve"> to </w:t>
      </w:r>
      <w:r w:rsidR="00961B5B">
        <w:rPr>
          <w:szCs w:val="22"/>
        </w:rPr>
        <w:t>MWK</w:t>
      </w:r>
      <w:r w:rsidR="005C5493">
        <w:rPr>
          <w:szCs w:val="22"/>
        </w:rPr>
        <w:t>’s</w:t>
      </w:r>
      <w:r w:rsidR="00961B5B">
        <w:rPr>
          <w:szCs w:val="22"/>
        </w:rPr>
        <w:t xml:space="preserve"> and MWI’s</w:t>
      </w:r>
      <w:r w:rsidR="00CF7636">
        <w:rPr>
          <w:szCs w:val="22"/>
        </w:rPr>
        <w:t xml:space="preserve"> RDOF buildout plans</w:t>
      </w:r>
      <w:r w:rsidR="005C5493">
        <w:rPr>
          <w:szCs w:val="22"/>
        </w:rPr>
        <w:t xml:space="preserve"> or an increased debt load of the Licensees</w:t>
      </w:r>
      <w:r w:rsidR="00CF7636">
        <w:rPr>
          <w:szCs w:val="22"/>
        </w:rPr>
        <w:t>,</w:t>
      </w:r>
      <w:r>
        <w:rPr>
          <w:rStyle w:val="FootnoteReference"/>
          <w:szCs w:val="22"/>
        </w:rPr>
        <w:footnoteReference w:id="22"/>
      </w:r>
      <w:r w:rsidR="00CF7636">
        <w:rPr>
          <w:szCs w:val="22"/>
        </w:rPr>
        <w:t xml:space="preserve"> that </w:t>
      </w:r>
      <w:r w:rsidR="00506B5B">
        <w:rPr>
          <w:szCs w:val="22"/>
        </w:rPr>
        <w:t>MW</w:t>
      </w:r>
      <w:r w:rsidR="005C5493">
        <w:rPr>
          <w:szCs w:val="22"/>
        </w:rPr>
        <w:t>K</w:t>
      </w:r>
      <w:r w:rsidR="00506B5B">
        <w:rPr>
          <w:szCs w:val="22"/>
        </w:rPr>
        <w:t xml:space="preserve"> and MW</w:t>
      </w:r>
      <w:r w:rsidR="005C5493">
        <w:rPr>
          <w:szCs w:val="22"/>
        </w:rPr>
        <w:t>I</w:t>
      </w:r>
      <w:r w:rsidR="00506B5B">
        <w:rPr>
          <w:szCs w:val="22"/>
        </w:rPr>
        <w:t xml:space="preserve"> will continue to meet all obligations associated with RDOF and CAF-II funding,</w:t>
      </w:r>
      <w:r>
        <w:rPr>
          <w:rStyle w:val="FootnoteReference"/>
          <w:szCs w:val="22"/>
        </w:rPr>
        <w:footnoteReference w:id="23"/>
      </w:r>
      <w:r w:rsidR="00506B5B">
        <w:rPr>
          <w:szCs w:val="22"/>
        </w:rPr>
        <w:t xml:space="preserve"> </w:t>
      </w:r>
      <w:r w:rsidRPr="00662D4F" w:rsidR="001A2613">
        <w:rPr>
          <w:szCs w:val="22"/>
        </w:rPr>
        <w:t xml:space="preserve">and that </w:t>
      </w:r>
      <w:r w:rsidR="00961B5B">
        <w:rPr>
          <w:szCs w:val="22"/>
        </w:rPr>
        <w:t>the transaction will provide “additional capital and managerial resources that will enable Mercury Broadband to accelerate the buildout of Licensees’ networks in Indiana, Michigan, Missouri, Ohio, Kansas, and Illinois, thereby advancing the Commission’s goal of ‘bridging the rural digital divide</w:t>
      </w:r>
      <w:r w:rsidR="00F009FA">
        <w:rPr>
          <w:szCs w:val="22"/>
        </w:rPr>
        <w:t>.</w:t>
      </w:r>
      <w:r w:rsidR="00961B5B">
        <w:rPr>
          <w:szCs w:val="22"/>
        </w:rPr>
        <w:t>’”</w:t>
      </w:r>
      <w:r>
        <w:rPr>
          <w:rStyle w:val="FootnoteReference"/>
          <w:szCs w:val="22"/>
        </w:rPr>
        <w:footnoteReference w:id="24"/>
      </w:r>
      <w:r w:rsidR="0090538D">
        <w:rPr>
          <w:szCs w:val="22"/>
        </w:rPr>
        <w:t xml:space="preserve">  </w:t>
      </w:r>
    </w:p>
    <w:p w:rsidR="00737B9E" w:rsidP="005B2EDD" w14:paraId="2174A775" w14:textId="77777777">
      <w:pPr>
        <w:widowControl/>
        <w:autoSpaceDE w:val="0"/>
        <w:autoSpaceDN w:val="0"/>
        <w:adjustRightInd w:val="0"/>
        <w:spacing w:after="120"/>
        <w:ind w:firstLine="720"/>
        <w:rPr>
          <w:snapToGrid/>
        </w:rPr>
      </w:pPr>
      <w:r w:rsidRPr="00662D4F">
        <w:rPr>
          <w:color w:val="000000"/>
          <w:szCs w:val="22"/>
        </w:rPr>
        <w:t>Because the proposed transaction would involve the exchange and assumption of Universal Service Fund high-cost mechanis</w:t>
      </w:r>
      <w:r>
        <w:rPr>
          <w:color w:val="000000"/>
          <w:szCs w:val="22"/>
        </w:rPr>
        <w:t>m</w:t>
      </w:r>
      <w:r w:rsidRPr="00662D4F">
        <w:rPr>
          <w:color w:val="000000"/>
          <w:szCs w:val="22"/>
        </w:rPr>
        <w:t xml:space="preserve"> obligations, in order to sufficiently analyze whether the proposed transaction would serve the public interest, we accept the Application for non-streamlined processing</w:t>
      </w:r>
      <w:r w:rsidRPr="00662D4F">
        <w:rPr>
          <w:bCs/>
          <w:szCs w:val="22"/>
        </w:rPr>
        <w:t>.</w:t>
      </w:r>
      <w:r>
        <w:rPr>
          <w:rStyle w:val="FootnoteReference"/>
          <w:bCs/>
          <w:szCs w:val="22"/>
        </w:rPr>
        <w:footnoteReference w:id="25"/>
      </w:r>
    </w:p>
    <w:p w:rsidR="006A1B83" w:rsidP="00B773BA" w14:paraId="1348F84B" w14:textId="77777777">
      <w:pPr>
        <w:widowControl/>
        <w:ind w:left="720"/>
        <w:rPr>
          <w:snapToGrid/>
          <w:kern w:val="0"/>
          <w:szCs w:val="22"/>
        </w:rPr>
      </w:pPr>
      <w:r w:rsidRPr="005C743D">
        <w:rPr>
          <w:snapToGrid/>
          <w:kern w:val="0"/>
          <w:szCs w:val="22"/>
        </w:rPr>
        <w:t xml:space="preserve">Domestic Section 214 Application Filed for the Transfer of Control of </w:t>
      </w:r>
    </w:p>
    <w:p w:rsidR="006A1B83" w:rsidP="00B773BA" w14:paraId="7169FEFA" w14:textId="77777777">
      <w:pPr>
        <w:widowControl/>
        <w:ind w:left="720"/>
        <w:rPr>
          <w:snapToGrid/>
          <w:kern w:val="0"/>
          <w:szCs w:val="22"/>
        </w:rPr>
      </w:pPr>
      <w:r>
        <w:rPr>
          <w:snapToGrid/>
          <w:kern w:val="0"/>
          <w:szCs w:val="22"/>
        </w:rPr>
        <w:t>Mercury Wireless Indiana</w:t>
      </w:r>
      <w:r w:rsidR="00E4725E">
        <w:rPr>
          <w:snapToGrid/>
          <w:kern w:val="0"/>
          <w:szCs w:val="22"/>
        </w:rPr>
        <w:t>, LLC</w:t>
      </w:r>
      <w:r>
        <w:rPr>
          <w:snapToGrid/>
          <w:kern w:val="0"/>
          <w:szCs w:val="22"/>
        </w:rPr>
        <w:t xml:space="preserve"> and Mercury Wireless Kansas, LLC</w:t>
      </w:r>
      <w:r w:rsidRPr="006A1B83" w:rsidR="004C42EE">
        <w:rPr>
          <w:snapToGrid/>
          <w:kern w:val="0"/>
          <w:szCs w:val="22"/>
        </w:rPr>
        <w:t xml:space="preserve"> </w:t>
      </w:r>
      <w:r w:rsidR="00F77244">
        <w:rPr>
          <w:snapToGrid/>
          <w:kern w:val="0"/>
          <w:szCs w:val="22"/>
        </w:rPr>
        <w:t>t</w:t>
      </w:r>
      <w:r w:rsidRPr="006A1B83" w:rsidR="004C42EE">
        <w:rPr>
          <w:snapToGrid/>
          <w:kern w:val="0"/>
          <w:szCs w:val="22"/>
        </w:rPr>
        <w:t xml:space="preserve">o </w:t>
      </w:r>
      <w:r>
        <w:rPr>
          <w:snapToGrid/>
          <w:kern w:val="0"/>
          <w:szCs w:val="22"/>
        </w:rPr>
        <w:t>NCP Mercury AIV LP</w:t>
      </w:r>
      <w:r w:rsidRPr="005C743D" w:rsidR="006777CB">
        <w:rPr>
          <w:snapToGrid/>
          <w:kern w:val="0"/>
          <w:szCs w:val="22"/>
        </w:rPr>
        <w:t xml:space="preserve">, </w:t>
      </w:r>
    </w:p>
    <w:p w:rsidR="003474AA" w:rsidRPr="005C743D" w:rsidP="00B773BA" w14:paraId="0A67C3B2" w14:textId="3F71233D">
      <w:pPr>
        <w:widowControl/>
        <w:ind w:left="720"/>
        <w:rPr>
          <w:snapToGrid/>
          <w:kern w:val="0"/>
          <w:szCs w:val="22"/>
        </w:rPr>
      </w:pPr>
      <w:r w:rsidRPr="005C743D">
        <w:rPr>
          <w:snapToGrid/>
          <w:kern w:val="0"/>
          <w:szCs w:val="22"/>
        </w:rPr>
        <w:t>WC Docket No. 2</w:t>
      </w:r>
      <w:r w:rsidR="005A029F">
        <w:rPr>
          <w:snapToGrid/>
          <w:kern w:val="0"/>
          <w:szCs w:val="22"/>
        </w:rPr>
        <w:t>2</w:t>
      </w:r>
      <w:r w:rsidRPr="005C743D">
        <w:rPr>
          <w:snapToGrid/>
          <w:kern w:val="0"/>
          <w:szCs w:val="22"/>
        </w:rPr>
        <w:t>-</w:t>
      </w:r>
      <w:r w:rsidR="003A4975">
        <w:rPr>
          <w:snapToGrid/>
          <w:kern w:val="0"/>
          <w:szCs w:val="22"/>
        </w:rPr>
        <w:t>279</w:t>
      </w:r>
      <w:r w:rsidRPr="005C743D">
        <w:rPr>
          <w:snapToGrid/>
          <w:kern w:val="0"/>
          <w:szCs w:val="22"/>
        </w:rPr>
        <w:t xml:space="preserve"> (filed </w:t>
      </w:r>
      <w:r w:rsidR="00707663">
        <w:rPr>
          <w:snapToGrid/>
          <w:kern w:val="0"/>
          <w:szCs w:val="22"/>
        </w:rPr>
        <w:t>July</w:t>
      </w:r>
      <w:r w:rsidRPr="005C743D">
        <w:rPr>
          <w:snapToGrid/>
          <w:kern w:val="0"/>
          <w:szCs w:val="22"/>
        </w:rPr>
        <w:t xml:space="preserve"> </w:t>
      </w:r>
      <w:r w:rsidR="00707663">
        <w:rPr>
          <w:snapToGrid/>
          <w:kern w:val="0"/>
          <w:szCs w:val="22"/>
        </w:rPr>
        <w:t>2</w:t>
      </w:r>
      <w:r w:rsidRPr="005C743D">
        <w:rPr>
          <w:snapToGrid/>
          <w:kern w:val="0"/>
          <w:szCs w:val="22"/>
        </w:rPr>
        <w:t>1, 202</w:t>
      </w:r>
      <w:r w:rsidR="005A029F">
        <w:rPr>
          <w:snapToGrid/>
          <w:kern w:val="0"/>
          <w:szCs w:val="22"/>
        </w:rPr>
        <w:t>2</w:t>
      </w:r>
      <w:r w:rsidRPr="005C743D">
        <w:rPr>
          <w:snapToGrid/>
          <w:kern w:val="0"/>
          <w:szCs w:val="22"/>
        </w:rPr>
        <w:t>).</w:t>
      </w:r>
    </w:p>
    <w:p w:rsidR="00590452" w:rsidP="003474AA" w14:paraId="49CB3557" w14:textId="77777777">
      <w:pPr>
        <w:widowControl/>
        <w:autoSpaceDE w:val="0"/>
        <w:autoSpaceDN w:val="0"/>
        <w:adjustRightInd w:val="0"/>
        <w:rPr>
          <w:b/>
          <w:snapToGrid/>
          <w:kern w:val="0"/>
          <w:szCs w:val="22"/>
          <w:u w:val="single"/>
        </w:rPr>
      </w:pPr>
      <w:bookmarkStart w:id="2" w:name="_Hlk91058179"/>
    </w:p>
    <w:p w:rsidR="003474AA" w:rsidRPr="005C743D" w:rsidP="003474AA" w14:paraId="13CA34DB"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4F5A7EC3" w14:textId="77777777">
      <w:pPr>
        <w:widowControl/>
        <w:autoSpaceDE w:val="0"/>
        <w:autoSpaceDN w:val="0"/>
        <w:adjustRightInd w:val="0"/>
        <w:rPr>
          <w:snapToGrid/>
          <w:kern w:val="0"/>
          <w:szCs w:val="22"/>
        </w:rPr>
      </w:pPr>
    </w:p>
    <w:p w:rsidR="008014D0" w:rsidRPr="008014D0" w:rsidP="008014D0" w14:paraId="5DBDEA6F" w14:textId="77777777">
      <w:pPr>
        <w:widowControl/>
        <w:autoSpaceDE w:val="0"/>
        <w:autoSpaceDN w:val="0"/>
        <w:adjustRightInd w:val="0"/>
        <w:spacing w:after="120"/>
        <w:ind w:firstLine="720"/>
        <w:rPr>
          <w:snapToGrid/>
          <w:kern w:val="0"/>
          <w:szCs w:val="22"/>
        </w:rPr>
      </w:pPr>
      <w:r w:rsidRPr="008014D0">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59D79E3B" w14:textId="2D12CFFE">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sidR="00855BA0">
        <w:rPr>
          <w:b/>
          <w:snapToGrid/>
          <w:kern w:val="0"/>
          <w:szCs w:val="22"/>
        </w:rPr>
        <w:t>August</w:t>
      </w:r>
      <w:r w:rsidRPr="008014D0">
        <w:rPr>
          <w:b/>
          <w:snapToGrid/>
          <w:kern w:val="0"/>
          <w:szCs w:val="22"/>
        </w:rPr>
        <w:t xml:space="preserve"> </w:t>
      </w:r>
      <w:r w:rsidR="005C5493">
        <w:rPr>
          <w:b/>
          <w:snapToGrid/>
          <w:kern w:val="0"/>
          <w:szCs w:val="22"/>
        </w:rPr>
        <w:t>17</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sidR="005C5493">
        <w:rPr>
          <w:b/>
          <w:snapToGrid/>
          <w:kern w:val="0"/>
          <w:szCs w:val="22"/>
        </w:rPr>
        <w:t>August 24</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8014D0" w:rsidRPr="008014D0" w:rsidP="008014D0" w14:paraId="3FDE2B94" w14:textId="77777777">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00FB61FA">
          <w:rPr>
            <w:rStyle w:val="Hyperlink"/>
            <w:snapToGrid/>
            <w:kern w:val="0"/>
            <w:szCs w:val="22"/>
          </w:rPr>
          <w:t>https://apps.fcc.gov/ecfs/</w:t>
        </w:r>
      </w:hyperlink>
      <w:r w:rsidRPr="008014D0">
        <w:rPr>
          <w:snapToGrid/>
          <w:kern w:val="0"/>
          <w:szCs w:val="22"/>
        </w:rPr>
        <w:t>.</w:t>
      </w:r>
    </w:p>
    <w:p w:rsidR="008014D0" w:rsidRPr="008014D0" w:rsidP="008014D0" w14:paraId="493AA70E"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xml:space="preserve">: </w:t>
      </w:r>
      <w:r w:rsidR="006A5323">
        <w:rPr>
          <w:snapToGrid/>
          <w:kern w:val="0"/>
          <w:szCs w:val="22"/>
        </w:rPr>
        <w:t xml:space="preserve"> </w:t>
      </w:r>
      <w:r w:rsidRPr="008014D0">
        <w:rPr>
          <w:snapToGrid/>
          <w:kern w:val="0"/>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6A279934"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26"/>
      </w:r>
      <w:r w:rsidRPr="008014D0">
        <w:rPr>
          <w:snapToGrid/>
          <w:kern w:val="0"/>
          <w:szCs w:val="22"/>
        </w:rPr>
        <w:t xml:space="preserve">  All filings must be addressed to the Commission’s Secretary, Office of the Secretary, Federal Communications Commission.</w:t>
      </w:r>
    </w:p>
    <w:p w:rsidR="008014D0" w:rsidRPr="008014D0" w:rsidP="008014D0" w14:paraId="0C2D46EC"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400675D8"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52E3BC74"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8014D0" w:rsidRPr="008014D0" w:rsidP="008014D0" w14:paraId="05C197F1" w14:textId="77777777">
      <w:pPr>
        <w:widowControl/>
        <w:numPr>
          <w:ilvl w:val="0"/>
          <w:numId w:val="7"/>
        </w:numPr>
        <w:autoSpaceDE w:val="0"/>
        <w:autoSpaceDN w:val="0"/>
        <w:adjustRightInd w:val="0"/>
        <w:spacing w:after="120"/>
        <w:rPr>
          <w:snapToGrid/>
          <w:kern w:val="0"/>
          <w:szCs w:val="22"/>
        </w:rPr>
      </w:pPr>
      <w:r>
        <w:rPr>
          <w:snapToGrid/>
          <w:kern w:val="0"/>
          <w:szCs w:val="22"/>
        </w:rPr>
        <w:t>Myrva Charles</w:t>
      </w:r>
      <w:r w:rsidRPr="008014D0" w:rsidR="006777CB">
        <w:rPr>
          <w:snapToGrid/>
          <w:kern w:val="0"/>
          <w:szCs w:val="22"/>
        </w:rPr>
        <w:t xml:space="preserve">, Competition Policy Division, Wireline Competition Bureau, </w:t>
      </w:r>
      <w:hyperlink r:id="rId7" w:history="1">
        <w:r w:rsidRPr="0083439C">
          <w:rPr>
            <w:rStyle w:val="Hyperlink"/>
            <w:snapToGrid/>
            <w:kern w:val="0"/>
            <w:szCs w:val="22"/>
          </w:rPr>
          <w:t>myrva.charles@fcc.gov</w:t>
        </w:r>
      </w:hyperlink>
      <w:r w:rsidRPr="008014D0" w:rsidR="006777CB">
        <w:rPr>
          <w:snapToGrid/>
          <w:kern w:val="0"/>
          <w:szCs w:val="22"/>
        </w:rPr>
        <w:t>;</w:t>
      </w:r>
    </w:p>
    <w:p w:rsidR="008014D0" w:rsidRPr="007D252C" w:rsidP="007D252C" w14:paraId="6EEEBE4E" w14:textId="77777777">
      <w:pPr>
        <w:widowControl/>
        <w:numPr>
          <w:ilvl w:val="0"/>
          <w:numId w:val="7"/>
        </w:numPr>
        <w:autoSpaceDE w:val="0"/>
        <w:autoSpaceDN w:val="0"/>
        <w:adjustRightInd w:val="0"/>
        <w:spacing w:after="120"/>
        <w:rPr>
          <w:snapToGrid/>
          <w:kern w:val="0"/>
          <w:szCs w:val="22"/>
        </w:rPr>
      </w:pPr>
      <w:r>
        <w:rPr>
          <w:snapToGrid/>
          <w:kern w:val="0"/>
          <w:szCs w:val="22"/>
        </w:rPr>
        <w:t>John Visclosky</w:t>
      </w:r>
      <w:r w:rsidRPr="008014D0" w:rsidR="006777CB">
        <w:rPr>
          <w:snapToGrid/>
          <w:kern w:val="0"/>
          <w:szCs w:val="22"/>
        </w:rPr>
        <w:t xml:space="preserve">, Competition Policy Division, Wireline Competition Bureau, </w:t>
      </w:r>
      <w:hyperlink r:id="rId8" w:history="1">
        <w:r w:rsidRPr="00B017B4">
          <w:rPr>
            <w:rStyle w:val="Hyperlink"/>
            <w:snapToGrid/>
            <w:kern w:val="0"/>
            <w:szCs w:val="22"/>
          </w:rPr>
          <w:t>john.visclosky@fcc.gov</w:t>
        </w:r>
      </w:hyperlink>
      <w:r w:rsidRPr="008014D0" w:rsidR="006777CB">
        <w:rPr>
          <w:snapToGrid/>
          <w:kern w:val="0"/>
          <w:szCs w:val="22"/>
        </w:rPr>
        <w:t xml:space="preserve">; </w:t>
      </w:r>
      <w:r w:rsidR="001D5F35">
        <w:rPr>
          <w:snapToGrid/>
          <w:kern w:val="0"/>
          <w:szCs w:val="22"/>
        </w:rPr>
        <w:t>and</w:t>
      </w:r>
    </w:p>
    <w:p w:rsidR="008014D0" w:rsidRPr="008014D0" w:rsidP="008014D0" w14:paraId="5807BAA8"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Jim Bird, Office of General Counsel, </w:t>
      </w:r>
      <w:hyperlink r:id="rId9" w:history="1">
        <w:r w:rsidRPr="008014D0">
          <w:rPr>
            <w:rStyle w:val="Hyperlink"/>
            <w:snapToGrid/>
            <w:kern w:val="0"/>
            <w:szCs w:val="22"/>
          </w:rPr>
          <w:t>jim.bird@fcc.gov</w:t>
        </w:r>
      </w:hyperlink>
      <w:r w:rsidRPr="008014D0" w:rsidR="00EE1485">
        <w:rPr>
          <w:snapToGrid/>
          <w:kern w:val="0"/>
          <w:szCs w:val="22"/>
        </w:rPr>
        <w:t>.</w:t>
      </w:r>
    </w:p>
    <w:p w:rsidR="008014D0" w:rsidRPr="008014D0" w:rsidP="008014D0" w14:paraId="3B90B6D8"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w:t>
      </w:r>
      <w:r w:rsidR="00EE1485">
        <w:rPr>
          <w:snapToGrid/>
          <w:kern w:val="0"/>
          <w:szCs w:val="22"/>
        </w:rPr>
        <w:t xml:space="preserve">Public </w:t>
      </w:r>
      <w:r w:rsidRPr="008014D0">
        <w:rPr>
          <w:snapToGrid/>
          <w:kern w:val="0"/>
          <w:szCs w:val="22"/>
        </w:rPr>
        <w:t xml:space="preserve">Notice shall be treated as a “permit-but-disclose” proceeding in accordance with the Commission’s </w:t>
      </w:r>
      <w:r w:rsidRPr="008014D0">
        <w:rPr>
          <w:i/>
          <w:snapToGrid/>
          <w:kern w:val="0"/>
          <w:szCs w:val="22"/>
        </w:rPr>
        <w:t>ex parte</w:t>
      </w:r>
      <w:r w:rsidRPr="008014D0">
        <w:rPr>
          <w:snapToGrid/>
          <w:kern w:val="0"/>
          <w:szCs w:val="22"/>
        </w:rPr>
        <w:t xml:space="preserve"> rules.  Persons making </w:t>
      </w:r>
      <w:r w:rsidRPr="008014D0">
        <w:rPr>
          <w:i/>
          <w:snapToGrid/>
          <w:kern w:val="0"/>
          <w:szCs w:val="22"/>
        </w:rPr>
        <w:t>ex 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ex 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ex 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sidR="003030A6">
        <w:rPr>
          <w:snapToGrid/>
          <w:kern w:val="0"/>
          <w:szCs w:val="22"/>
        </w:rPr>
        <w:t>,</w:t>
      </w:r>
      <w:r w:rsidRPr="008014D0">
        <w:rPr>
          <w:snapToGrid/>
          <w:kern w:val="0"/>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ex parte</w:t>
      </w:r>
      <w:r w:rsidRPr="008014D0">
        <w:rPr>
          <w:snapToGrid/>
          <w:kern w:val="0"/>
          <w:szCs w:val="22"/>
        </w:rPr>
        <w:t xml:space="preserve"> meetings are deemed to be written </w:t>
      </w:r>
      <w:r w:rsidRPr="008014D0">
        <w:rPr>
          <w:i/>
          <w:snapToGrid/>
          <w:kern w:val="0"/>
          <w:szCs w:val="22"/>
        </w:rPr>
        <w:t>ex parte</w:t>
      </w:r>
      <w:r w:rsidRPr="008014D0">
        <w:rPr>
          <w:snapToGrid/>
          <w:kern w:val="0"/>
          <w:szCs w:val="22"/>
        </w:rPr>
        <w:t xml:space="preserve"> presentations and must be filed consistent with rule 1.1206(b)</w:t>
      </w:r>
      <w:r w:rsidR="00A80D94">
        <w:rPr>
          <w:snapToGrid/>
          <w:kern w:val="0"/>
          <w:szCs w:val="22"/>
        </w:rPr>
        <w:t>.</w:t>
      </w:r>
      <w:r>
        <w:rPr>
          <w:rStyle w:val="FootnoteReference"/>
          <w:snapToGrid/>
          <w:kern w:val="0"/>
          <w:szCs w:val="22"/>
        </w:rPr>
        <w:footnoteReference w:id="27"/>
      </w:r>
      <w:r w:rsidR="00906767">
        <w:rPr>
          <w:snapToGrid/>
          <w:kern w:val="0"/>
          <w:szCs w:val="22"/>
        </w:rPr>
        <w:t xml:space="preserve">  </w:t>
      </w:r>
      <w:r w:rsidRPr="008014D0">
        <w:rPr>
          <w:snapToGrid/>
          <w:kern w:val="0"/>
          <w:szCs w:val="22"/>
        </w:rPr>
        <w:t xml:space="preserve">Participants in this proceeding should familiarize themselves with the Commission’s </w:t>
      </w:r>
      <w:r w:rsidRPr="008014D0">
        <w:rPr>
          <w:i/>
          <w:snapToGrid/>
          <w:kern w:val="0"/>
          <w:szCs w:val="22"/>
        </w:rPr>
        <w:t>ex parte</w:t>
      </w:r>
      <w:r w:rsidRPr="008014D0">
        <w:rPr>
          <w:snapToGrid/>
          <w:kern w:val="0"/>
          <w:szCs w:val="22"/>
        </w:rPr>
        <w:t xml:space="preserve"> rules</w:t>
      </w:r>
      <w:r w:rsidR="00EE1485">
        <w:rPr>
          <w:snapToGrid/>
          <w:kern w:val="0"/>
          <w:szCs w:val="22"/>
        </w:rPr>
        <w:t>.</w:t>
      </w:r>
    </w:p>
    <w:p w:rsidR="008014D0" w:rsidRPr="008014D0" w:rsidP="008014D0" w14:paraId="39C340F4" w14:textId="77777777">
      <w:pPr>
        <w:widowControl/>
        <w:autoSpaceDE w:val="0"/>
        <w:autoSpaceDN w:val="0"/>
        <w:adjustRightInd w:val="0"/>
        <w:spacing w:after="120"/>
        <w:ind w:firstLine="720"/>
        <w:rPr>
          <w:snapToGrid/>
          <w:kern w:val="0"/>
          <w:szCs w:val="22"/>
        </w:rPr>
      </w:pPr>
      <w:r w:rsidRPr="008014D0">
        <w:rPr>
          <w:snapToGrid/>
          <w:kern w:val="0"/>
          <w:szCs w:val="22"/>
        </w:rPr>
        <w:t xml:space="preserve">To allow the Commission to consider fully all substantive issues regarding the application in as timely and efficient a manner as possible, petitioners and commenters should raise all issues in their </w:t>
      </w:r>
      <w:r w:rsidRPr="008014D0">
        <w:rPr>
          <w:snapToGrid/>
          <w:kern w:val="0"/>
          <w:szCs w:val="22"/>
        </w:rPr>
        <w:t>initial filings.  New issues may not be raised in responses or replies.</w:t>
      </w:r>
      <w:r>
        <w:rPr>
          <w:snapToGrid/>
          <w:kern w:val="0"/>
          <w:szCs w:val="22"/>
          <w:vertAlign w:val="superscript"/>
        </w:rPr>
        <w:footnoteReference w:id="28"/>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14D0" w:rsidRPr="008014D0" w:rsidP="008014D0" w14:paraId="129FAB3B" w14:textId="77777777">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sidR="006A1B83">
        <w:rPr>
          <w:snapToGrid/>
          <w:kern w:val="0"/>
          <w:szCs w:val="22"/>
        </w:rPr>
        <w:t>Myrva Charles</w:t>
      </w:r>
      <w:r w:rsidRPr="006A1B83" w:rsidR="006A1B83">
        <w:rPr>
          <w:snapToGrid/>
          <w:kern w:val="0"/>
          <w:szCs w:val="22"/>
        </w:rPr>
        <w:t xml:space="preserve"> at (202) 418-1</w:t>
      </w:r>
      <w:r w:rsidR="006A1B83">
        <w:rPr>
          <w:snapToGrid/>
          <w:kern w:val="0"/>
          <w:szCs w:val="22"/>
        </w:rPr>
        <w:t>506</w:t>
      </w:r>
      <w:r w:rsidRPr="006A1B83" w:rsidR="006A1B83">
        <w:rPr>
          <w:snapToGrid/>
          <w:kern w:val="0"/>
          <w:szCs w:val="22"/>
        </w:rPr>
        <w:t xml:space="preserve"> or </w:t>
      </w:r>
      <w:r w:rsidR="00855BA0">
        <w:rPr>
          <w:snapToGrid/>
          <w:kern w:val="0"/>
          <w:szCs w:val="22"/>
        </w:rPr>
        <w:t>John Visclosky</w:t>
      </w:r>
      <w:r w:rsidRPr="006A1B83" w:rsidR="006A1B83">
        <w:rPr>
          <w:snapToGrid/>
          <w:kern w:val="0"/>
          <w:szCs w:val="22"/>
        </w:rPr>
        <w:t xml:space="preserve"> </w:t>
      </w:r>
      <w:r w:rsidRPr="008014D0">
        <w:rPr>
          <w:snapToGrid/>
          <w:kern w:val="0"/>
          <w:szCs w:val="22"/>
        </w:rPr>
        <w:t>at (202)</w:t>
      </w:r>
      <w:r>
        <w:rPr>
          <w:snapToGrid/>
          <w:kern w:val="0"/>
          <w:szCs w:val="22"/>
        </w:rPr>
        <w:t xml:space="preserve"> </w:t>
      </w:r>
      <w:r w:rsidRPr="008014D0">
        <w:rPr>
          <w:snapToGrid/>
          <w:kern w:val="0"/>
          <w:szCs w:val="22"/>
        </w:rPr>
        <w:t>418-</w:t>
      </w:r>
      <w:r w:rsidR="006A1B83">
        <w:rPr>
          <w:snapToGrid/>
          <w:kern w:val="0"/>
          <w:szCs w:val="22"/>
        </w:rPr>
        <w:t>0</w:t>
      </w:r>
      <w:r w:rsidR="00855BA0">
        <w:rPr>
          <w:snapToGrid/>
          <w:kern w:val="0"/>
          <w:szCs w:val="22"/>
        </w:rPr>
        <w:t>825</w:t>
      </w:r>
      <w:r w:rsidRPr="006A1B83" w:rsidR="006A1B83">
        <w:rPr>
          <w:snapToGrid/>
          <w:kern w:val="0"/>
          <w:szCs w:val="22"/>
        </w:rPr>
        <w:t>, Wireline Competition Bureau</w:t>
      </w:r>
      <w:r w:rsidR="006A1B83">
        <w:rPr>
          <w:snapToGrid/>
          <w:kern w:val="0"/>
          <w:szCs w:val="22"/>
        </w:rPr>
        <w:t>.</w:t>
      </w:r>
    </w:p>
    <w:p w:rsidR="008014D0" w:rsidP="003A06D0" w14:paraId="1278C111" w14:textId="77777777">
      <w:pPr>
        <w:widowControl/>
        <w:autoSpaceDE w:val="0"/>
        <w:autoSpaceDN w:val="0"/>
        <w:adjustRightInd w:val="0"/>
        <w:spacing w:after="120"/>
        <w:ind w:firstLine="720"/>
        <w:jc w:val="center"/>
        <w:rPr>
          <w:snapToGrid/>
          <w:kern w:val="0"/>
          <w:szCs w:val="22"/>
        </w:rPr>
      </w:pPr>
      <w:r w:rsidRPr="008014D0">
        <w:rPr>
          <w:b/>
          <w:snapToGrid/>
          <w:kern w:val="0"/>
          <w:szCs w:val="22"/>
        </w:rPr>
        <w:t>-FCC-</w:t>
      </w:r>
    </w:p>
    <w:bookmarkEnd w:id="2"/>
    <w:p w:rsidR="003474AA" w:rsidP="003474AA" w14:paraId="3D93595B" w14:textId="77777777">
      <w:pPr>
        <w:spacing w:before="120" w:after="240"/>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C2E31A3" w14:textId="77777777">
    <w:pPr>
      <w:pStyle w:val="Footer"/>
      <w:framePr w:wrap="around" w:vAnchor="text" w:hAnchor="margin" w:xAlign="center" w:y="1"/>
    </w:pPr>
    <w:r>
      <w:fldChar w:fldCharType="begin"/>
    </w:r>
    <w:r>
      <w:instrText xml:space="preserve">PAGE  </w:instrText>
    </w:r>
    <w:r w:rsidR="00A255DB">
      <w:fldChar w:fldCharType="separate"/>
    </w:r>
    <w:r>
      <w:fldChar w:fldCharType="end"/>
    </w:r>
  </w:p>
  <w:p w:rsidR="00D43260" w14:paraId="033302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7EC7F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F40E8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29E0" w14:paraId="58D7CA07" w14:textId="77777777">
      <w:r>
        <w:separator/>
      </w:r>
    </w:p>
  </w:footnote>
  <w:footnote w:type="continuationSeparator" w:id="1">
    <w:p w:rsidR="00ED29E0" w14:paraId="4AF7B9F1" w14:textId="77777777">
      <w:pPr>
        <w:rPr>
          <w:sz w:val="20"/>
        </w:rPr>
      </w:pPr>
      <w:r>
        <w:rPr>
          <w:sz w:val="20"/>
        </w:rPr>
        <w:t xml:space="preserve">(Continued from previous page)  </w:t>
      </w:r>
      <w:r>
        <w:rPr>
          <w:sz w:val="20"/>
        </w:rPr>
        <w:separator/>
      </w:r>
    </w:p>
  </w:footnote>
  <w:footnote w:type="continuationNotice" w:id="2">
    <w:p w:rsidR="00ED29E0" w14:paraId="05C1DFBB" w14:textId="77777777">
      <w:pPr>
        <w:jc w:val="right"/>
        <w:rPr>
          <w:sz w:val="20"/>
        </w:rPr>
      </w:pPr>
      <w:r>
        <w:rPr>
          <w:sz w:val="20"/>
        </w:rPr>
        <w:t>(continued….)</w:t>
      </w:r>
    </w:p>
  </w:footnote>
  <w:footnote w:id="3">
    <w:p w:rsidR="00BD7048" w:rsidRPr="00D354C2" w:rsidP="00BD7048" w14:paraId="6078389D" w14:textId="497D9DF3">
      <w:pPr>
        <w:pStyle w:val="FootnoteText"/>
        <w:rPr>
          <w:bCs/>
        </w:rPr>
      </w:pPr>
      <w:r w:rsidRPr="00D354C2">
        <w:rPr>
          <w:rStyle w:val="FootnoteReference"/>
          <w:sz w:val="20"/>
        </w:rPr>
        <w:footnoteRef/>
      </w:r>
      <w:r w:rsidRPr="00D354C2">
        <w:t xml:space="preserve"> </w:t>
      </w:r>
      <w:r w:rsidRPr="00D354C2">
        <w:rPr>
          <w:i/>
        </w:rPr>
        <w:t>See</w:t>
      </w:r>
      <w:r w:rsidRPr="00D354C2">
        <w:t xml:space="preserve"> 47 U.S.C. § 214; 47 CFR §§ 63.03-04</w:t>
      </w:r>
      <w:r>
        <w:t xml:space="preserve">; </w:t>
      </w:r>
      <w:r w:rsidRPr="000344DA">
        <w:t>Application</w:t>
      </w:r>
      <w:r>
        <w:t xml:space="preserve"> </w:t>
      </w:r>
      <w:r w:rsidR="00D12A17">
        <w:t xml:space="preserve">of Mercury Holdings, Inc. </w:t>
      </w:r>
      <w:r w:rsidR="00A9412D">
        <w:t xml:space="preserve">and NCP Mercury AIV, L.P. for </w:t>
      </w:r>
      <w:r w:rsidR="00685ACE">
        <w:t xml:space="preserve"> Domestic </w:t>
      </w:r>
      <w:r w:rsidR="00A9412D">
        <w:t>Section</w:t>
      </w:r>
      <w:r w:rsidR="00685ACE">
        <w:t xml:space="preserve"> 214 Transfer of Control</w:t>
      </w:r>
      <w:r>
        <w:t xml:space="preserve">, </w:t>
      </w:r>
      <w:r w:rsidRPr="000344DA">
        <w:t>WC Docket No. 22-</w:t>
      </w:r>
      <w:r w:rsidR="003A4975">
        <w:t>279</w:t>
      </w:r>
      <w:r w:rsidRPr="000344DA">
        <w:t xml:space="preserve"> (filed </w:t>
      </w:r>
      <w:r w:rsidR="00685ACE">
        <w:t>July</w:t>
      </w:r>
      <w:r w:rsidRPr="000344DA">
        <w:t xml:space="preserve"> </w:t>
      </w:r>
      <w:r w:rsidR="00685ACE">
        <w:t>21</w:t>
      </w:r>
      <w:r w:rsidRPr="000344DA">
        <w:t xml:space="preserve">, 2022) (Application).  </w:t>
      </w:r>
      <w:r w:rsidRPr="00C56777" w:rsidR="003A4975">
        <w:t xml:space="preserve">Applicants </w:t>
      </w:r>
      <w:r w:rsidR="009B10AB">
        <w:t xml:space="preserve">are </w:t>
      </w:r>
      <w:r w:rsidRPr="00C56777" w:rsidR="003A4975">
        <w:t>also fil</w:t>
      </w:r>
      <w:r w:rsidR="003A4975">
        <w:t>ing</w:t>
      </w:r>
      <w:r w:rsidRPr="00C56777" w:rsidR="003A4975">
        <w:t xml:space="preserve"> applications for the transfer of authorizations associated with</w:t>
      </w:r>
      <w:r w:rsidR="003A4975">
        <w:t xml:space="preserve"> wireless</w:t>
      </w:r>
      <w:r w:rsidRPr="00C56777" w:rsidR="003A4975">
        <w:t xml:space="preserve"> services.  </w:t>
      </w:r>
      <w:r w:rsidRPr="000344DA">
        <w:t>Any action on this domestic section 214 application is without prejudice to Commission action on other pending applications.</w:t>
      </w:r>
      <w:r w:rsidRPr="00884C47">
        <w:t xml:space="preserve">  </w:t>
      </w:r>
      <w:r>
        <w:t xml:space="preserve">  </w:t>
      </w:r>
      <w:r w:rsidRPr="00D354C2">
        <w:t xml:space="preserve">  </w:t>
      </w:r>
    </w:p>
  </w:footnote>
  <w:footnote w:id="4">
    <w:p w:rsidR="00685ACE" w14:paraId="7F20BAE5" w14:textId="77777777">
      <w:pPr>
        <w:pStyle w:val="FootnoteText"/>
      </w:pPr>
      <w:r>
        <w:rPr>
          <w:rStyle w:val="FootnoteReference"/>
        </w:rPr>
        <w:footnoteRef/>
      </w:r>
      <w:r>
        <w:t xml:space="preserve"> Application at 2.</w:t>
      </w:r>
    </w:p>
  </w:footnote>
  <w:footnote w:id="5">
    <w:p w:rsidR="005B4C89" w:rsidRPr="005B4C89" w14:paraId="337A9AA5" w14:textId="2F8D06AC">
      <w:pPr>
        <w:pStyle w:val="FootnoteText"/>
      </w:pPr>
      <w:r>
        <w:rPr>
          <w:rStyle w:val="FootnoteReference"/>
        </w:rPr>
        <w:footnoteRef/>
      </w:r>
      <w:r>
        <w:t xml:space="preserve"> </w:t>
      </w:r>
      <w:r>
        <w:rPr>
          <w:i/>
          <w:iCs/>
        </w:rPr>
        <w:t>Id</w:t>
      </w:r>
      <w:r>
        <w:t>. at 2, 10-1</w:t>
      </w:r>
      <w:r w:rsidR="00727A69">
        <w:t>1, 24.</w:t>
      </w:r>
    </w:p>
  </w:footnote>
  <w:footnote w:id="6">
    <w:p w:rsidR="00685ACE" w:rsidRPr="006C5121" w14:paraId="25AED78F" w14:textId="43843287">
      <w:pPr>
        <w:pStyle w:val="FootnoteText"/>
      </w:pPr>
      <w:r>
        <w:rPr>
          <w:rStyle w:val="FootnoteReference"/>
        </w:rPr>
        <w:footnoteRef/>
      </w:r>
      <w:r>
        <w:t xml:space="preserve"> </w:t>
      </w:r>
      <w:r w:rsidRPr="00EA4A8A" w:rsidR="00EA4A8A">
        <w:rPr>
          <w:i/>
          <w:iCs/>
        </w:rPr>
        <w:t>Id</w:t>
      </w:r>
      <w:r w:rsidR="00EA4A8A">
        <w:t>.</w:t>
      </w:r>
      <w:r>
        <w:t xml:space="preserve">  </w:t>
      </w:r>
      <w:r w:rsidR="00795AC8">
        <w:t xml:space="preserve">Applicants state that </w:t>
      </w:r>
      <w:r>
        <w:t>MWK</w:t>
      </w:r>
      <w:r w:rsidR="005007A5">
        <w:t xml:space="preserve"> </w:t>
      </w:r>
      <w:r>
        <w:t>has satisfied the 40% milestone requirement in Kansas and Missouri and has submitted the requisite information to the High-Cost Universal Broadband (HUBB) to demonstrate such compliance.  Application at 2 n.1.</w:t>
      </w:r>
      <w:r w:rsidR="006C5121">
        <w:t xml:space="preserve">  </w:t>
      </w:r>
      <w:r w:rsidR="006C5121">
        <w:rPr>
          <w:i/>
          <w:iCs/>
        </w:rPr>
        <w:t>See Connect America Fund Phase II Auction Support Authorized for 2,413 Winning Bids</w:t>
      </w:r>
      <w:r w:rsidR="006C5121">
        <w:t xml:space="preserve">, WC Docket No. 10-90, AU Docket No. 17-182, Public Notice, 34 FCC Rcd 5966, </w:t>
      </w:r>
      <w:r w:rsidR="00795AC8">
        <w:t>Attach. A (Authorized Long-Form Applicants and Winning Bids) (WCB</w:t>
      </w:r>
      <w:r w:rsidR="006C5121">
        <w:t xml:space="preserve"> </w:t>
      </w:r>
      <w:r w:rsidR="00795AC8">
        <w:t>2019)</w:t>
      </w:r>
      <w:r w:rsidRPr="00A845E7" w:rsidR="00A845E7">
        <w:t xml:space="preserve"> </w:t>
      </w:r>
      <w:r w:rsidR="00A845E7">
        <w:t>(</w:t>
      </w:r>
      <w:r w:rsidRPr="00A845E7" w:rsidR="00A845E7">
        <w:rPr>
          <w:i/>
          <w:iCs/>
        </w:rPr>
        <w:t>CAF Phase II Public Notice</w:t>
      </w:r>
      <w:r w:rsidR="00A845E7">
        <w:t>)</w:t>
      </w:r>
      <w:r w:rsidR="00795AC8">
        <w:t>.</w:t>
      </w:r>
    </w:p>
  </w:footnote>
  <w:footnote w:id="7">
    <w:p w:rsidR="00685ACE" w:rsidRPr="00685ACE" w14:paraId="3F903FDF" w14:textId="6BF5683D">
      <w:pPr>
        <w:pStyle w:val="FootnoteText"/>
      </w:pPr>
      <w:r>
        <w:rPr>
          <w:rStyle w:val="FootnoteReference"/>
        </w:rPr>
        <w:footnoteRef/>
      </w:r>
      <w:r>
        <w:t xml:space="preserve"> Application at 2-3; </w:t>
      </w:r>
      <w:r>
        <w:rPr>
          <w:i/>
          <w:iCs/>
        </w:rPr>
        <w:t>Rural Digital Opportunity Fund Support Authorized For 1,605 Winning Bids</w:t>
      </w:r>
      <w:r>
        <w:t xml:space="preserve">, AU Docket No. 20-34, WC Docket Nos. 19-126, 10-90, </w:t>
      </w:r>
      <w:r w:rsidR="006C5121">
        <w:t xml:space="preserve">Public Notice, </w:t>
      </w:r>
      <w:r>
        <w:t>DA 22-759</w:t>
      </w:r>
      <w:r w:rsidR="00A9412D">
        <w:t>,</w:t>
      </w:r>
      <w:r>
        <w:t xml:space="preserve"> at </w:t>
      </w:r>
      <w:r w:rsidR="003C3C87">
        <w:t xml:space="preserve">8 and </w:t>
      </w:r>
      <w:r>
        <w:t>Attach. A (</w:t>
      </w:r>
      <w:r w:rsidR="00795AC8">
        <w:t xml:space="preserve">WCB, </w:t>
      </w:r>
      <w:r>
        <w:t>July 14, 2022)</w:t>
      </w:r>
      <w:r w:rsidR="00A845E7">
        <w:t xml:space="preserve"> (</w:t>
      </w:r>
      <w:r w:rsidRPr="00A845E7" w:rsidR="00A845E7">
        <w:rPr>
          <w:i/>
          <w:iCs/>
        </w:rPr>
        <w:t>RDOF Public Notice</w:t>
      </w:r>
      <w:r w:rsidR="00A845E7">
        <w:t>)</w:t>
      </w:r>
      <w:r w:rsidR="003C3C87">
        <w:t xml:space="preserve"> (stating that </w:t>
      </w:r>
      <w:r w:rsidRPr="2244EC6C" w:rsidR="003C3C87">
        <w:t xml:space="preserve">ETCs seeking to transfer control of their domestic authorizations to operate pursuant to section 214 of the Act, or to engage in the sale of assets under section 214 </w:t>
      </w:r>
      <w:r w:rsidR="003C3C87">
        <w:t>“</w:t>
      </w:r>
      <w:r w:rsidRPr="2244EC6C" w:rsidR="003C3C87">
        <w:t>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w:t>
      </w:r>
      <w:r w:rsidRPr="00077C10" w:rsidR="003C3C87">
        <w:rPr>
          <w:szCs w:val="22"/>
        </w:rPr>
        <w:t xml:space="preserve">  </w:t>
      </w:r>
      <w:r w:rsidR="003C3C87">
        <w:t>Except where the Commission has forborne from the application of section 214, this requirement applies to all transfers of control or asset acquisitions involving ETCs.”).</w:t>
      </w:r>
    </w:p>
  </w:footnote>
  <w:footnote w:id="8">
    <w:p w:rsidR="005B4C89" w14:paraId="338520AD" w14:textId="7F6A8DE6">
      <w:pPr>
        <w:pStyle w:val="FootnoteText"/>
      </w:pPr>
      <w:r>
        <w:rPr>
          <w:rStyle w:val="FootnoteReference"/>
        </w:rPr>
        <w:footnoteRef/>
      </w:r>
      <w:r>
        <w:t xml:space="preserve"> Application at 2, 10-11</w:t>
      </w:r>
      <w:r w:rsidR="00727A69">
        <w:t>, 24</w:t>
      </w:r>
      <w:r>
        <w:t>.</w:t>
      </w:r>
    </w:p>
  </w:footnote>
  <w:footnote w:id="9">
    <w:p w:rsidR="00685ACE" w:rsidRPr="00A845E7" w14:paraId="1BEF2D53" w14:textId="0B66DD3A">
      <w:pPr>
        <w:pStyle w:val="FootnoteText"/>
      </w:pPr>
      <w:r>
        <w:rPr>
          <w:rStyle w:val="FootnoteReference"/>
        </w:rPr>
        <w:footnoteRef/>
      </w:r>
      <w:r>
        <w:t xml:space="preserve"> </w:t>
      </w:r>
      <w:r w:rsidRPr="00A9412D" w:rsidR="00A9412D">
        <w:rPr>
          <w:i/>
          <w:iCs/>
        </w:rPr>
        <w:t>Id</w:t>
      </w:r>
      <w:r w:rsidR="00A9412D">
        <w:t xml:space="preserve">. </w:t>
      </w:r>
      <w:r>
        <w:t xml:space="preserve">at 3.  </w:t>
      </w:r>
      <w:r w:rsidR="00EA4A8A">
        <w:rPr>
          <w:i/>
          <w:iCs/>
        </w:rPr>
        <w:t>See CAF Phase II Public Notice</w:t>
      </w:r>
      <w:r w:rsidR="00EA4A8A">
        <w:t xml:space="preserve"> at Attach 1.  </w:t>
      </w:r>
      <w:r w:rsidR="00795AC8">
        <w:t xml:space="preserve">Applicants state that </w:t>
      </w:r>
      <w:r>
        <w:t xml:space="preserve">MWI has satisfied the 40% milestone requirement in Indiana and has submitted the requisite information to the HUBB to demonstrate such compliance.  In addition, </w:t>
      </w:r>
      <w:r w:rsidR="003A4975">
        <w:t xml:space="preserve">they state that </w:t>
      </w:r>
      <w:r>
        <w:t>MWI is on track to timely satisfy this obligation in Michigan and Ohio.  Application at 3 n.3.</w:t>
      </w:r>
      <w:r w:rsidR="00A845E7">
        <w:t xml:space="preserve">  </w:t>
      </w:r>
    </w:p>
  </w:footnote>
  <w:footnote w:id="10">
    <w:p w:rsidR="00685ACE" w:rsidRPr="00EA4A8A" w14:paraId="41AA7E6D" w14:textId="76E69B5B">
      <w:pPr>
        <w:pStyle w:val="FootnoteText"/>
      </w:pPr>
      <w:r>
        <w:rPr>
          <w:rStyle w:val="FootnoteReference"/>
        </w:rPr>
        <w:footnoteRef/>
      </w:r>
      <w:r>
        <w:t xml:space="preserve"> </w:t>
      </w:r>
      <w:r w:rsidRPr="00EA4A8A">
        <w:t xml:space="preserve">Application at 3; </w:t>
      </w:r>
      <w:r w:rsidRPr="00EA4A8A" w:rsidR="00A845E7">
        <w:rPr>
          <w:i/>
          <w:iCs/>
        </w:rPr>
        <w:t>RDOF Public Notice</w:t>
      </w:r>
      <w:r w:rsidRPr="00EA4A8A" w:rsidR="00A845E7">
        <w:t xml:space="preserve"> </w:t>
      </w:r>
      <w:r w:rsidRPr="00EA4A8A">
        <w:t>at Attach. A.</w:t>
      </w:r>
    </w:p>
  </w:footnote>
  <w:footnote w:id="11">
    <w:p w:rsidR="00685ACE" w:rsidRPr="00EA4A8A" w:rsidP="00C6667E" w14:paraId="44C0FB0E" w14:textId="08C2F32A">
      <w:pPr>
        <w:widowControl/>
        <w:autoSpaceDE w:val="0"/>
        <w:autoSpaceDN w:val="0"/>
        <w:adjustRightInd w:val="0"/>
        <w:spacing w:after="120"/>
        <w:rPr>
          <w:sz w:val="20"/>
        </w:rPr>
      </w:pPr>
      <w:r w:rsidRPr="00EA4A8A">
        <w:rPr>
          <w:rStyle w:val="FootnoteReference"/>
          <w:sz w:val="20"/>
        </w:rPr>
        <w:footnoteRef/>
      </w:r>
      <w:r w:rsidRPr="00EA4A8A">
        <w:rPr>
          <w:sz w:val="20"/>
        </w:rPr>
        <w:t xml:space="preserve"> Application at 3.  Although </w:t>
      </w:r>
      <w:r w:rsidRPr="00EA4A8A" w:rsidR="00C6667E">
        <w:rPr>
          <w:sz w:val="20"/>
        </w:rPr>
        <w:t xml:space="preserve">Mercury TopCo </w:t>
      </w:r>
      <w:r w:rsidRPr="00EA4A8A">
        <w:rPr>
          <w:sz w:val="20"/>
        </w:rPr>
        <w:t>it is currently wholly</w:t>
      </w:r>
      <w:r w:rsidR="004F1A55">
        <w:rPr>
          <w:sz w:val="20"/>
        </w:rPr>
        <w:t>-</w:t>
      </w:r>
      <w:r w:rsidRPr="00EA4A8A">
        <w:rPr>
          <w:sz w:val="20"/>
        </w:rPr>
        <w:t>owned by NCP Mercury, MHI will hold a minority interest in Mercury TopCo following consummation of the transaction.</w:t>
      </w:r>
      <w:r w:rsidRPr="00EA4A8A" w:rsidR="00C6667E">
        <w:rPr>
          <w:sz w:val="20"/>
        </w:rPr>
        <w:t xml:space="preserve">  </w:t>
      </w:r>
      <w:r w:rsidRPr="007064FA" w:rsidR="007064FA">
        <w:rPr>
          <w:i/>
          <w:iCs/>
          <w:sz w:val="20"/>
        </w:rPr>
        <w:t>Id</w:t>
      </w:r>
      <w:r w:rsidR="007064FA">
        <w:rPr>
          <w:sz w:val="20"/>
        </w:rPr>
        <w:t xml:space="preserve">. at 15-16.  </w:t>
      </w:r>
      <w:r w:rsidRPr="007064FA" w:rsidR="00C6667E">
        <w:rPr>
          <w:sz w:val="20"/>
        </w:rPr>
        <w:t>Applicants</w:t>
      </w:r>
      <w:r w:rsidRPr="00EA4A8A" w:rsidR="00C6667E">
        <w:rPr>
          <w:sz w:val="20"/>
        </w:rPr>
        <w:t xml:space="preserve"> state that NCP Mercury will temporarily hold nearly all of its financial interest in Mercury TopCo in the form of convertible debt</w:t>
      </w:r>
      <w:r w:rsidR="007064FA">
        <w:rPr>
          <w:sz w:val="20"/>
        </w:rPr>
        <w:t xml:space="preserve">, and that the </w:t>
      </w:r>
      <w:r w:rsidRPr="00EA4A8A" w:rsidR="00C6667E">
        <w:rPr>
          <w:sz w:val="20"/>
        </w:rPr>
        <w:t xml:space="preserve">parties intend for NCP Mercury’s financial interest to convert to equity following the occurrence of certain conditions.  </w:t>
      </w:r>
      <w:r w:rsidRPr="00EA4A8A" w:rsidR="00C6667E">
        <w:rPr>
          <w:i/>
          <w:iCs/>
          <w:sz w:val="20"/>
        </w:rPr>
        <w:t>Id</w:t>
      </w:r>
      <w:r w:rsidRPr="00EA4A8A" w:rsidR="00C6667E">
        <w:rPr>
          <w:sz w:val="20"/>
        </w:rPr>
        <w:t xml:space="preserve">. at </w:t>
      </w:r>
      <w:r w:rsidR="007064FA">
        <w:rPr>
          <w:sz w:val="20"/>
        </w:rPr>
        <w:t xml:space="preserve">12 and </w:t>
      </w:r>
      <w:r w:rsidRPr="00EA4A8A" w:rsidR="00C6667E">
        <w:rPr>
          <w:sz w:val="20"/>
        </w:rPr>
        <w:t>n.15.</w:t>
      </w:r>
    </w:p>
  </w:footnote>
  <w:footnote w:id="12">
    <w:p w:rsidR="00685ACE" w14:paraId="63B9F79C" w14:textId="5A29D0A9">
      <w:pPr>
        <w:pStyle w:val="FootnoteText"/>
      </w:pPr>
      <w:r>
        <w:rPr>
          <w:rStyle w:val="FootnoteReference"/>
        </w:rPr>
        <w:footnoteRef/>
      </w:r>
      <w:r>
        <w:t xml:space="preserve"> </w:t>
      </w:r>
      <w:r w:rsidRPr="007064FA" w:rsidR="007064FA">
        <w:rPr>
          <w:i/>
          <w:iCs/>
        </w:rPr>
        <w:t>Id</w:t>
      </w:r>
      <w:r w:rsidR="007064FA">
        <w:t>.</w:t>
      </w:r>
      <w:r>
        <w:t xml:space="preserve"> at 3.</w:t>
      </w:r>
    </w:p>
  </w:footnote>
  <w:footnote w:id="13">
    <w:p w:rsidR="00685ACE" w14:paraId="705D05FE" w14:textId="79895329">
      <w:pPr>
        <w:pStyle w:val="FootnoteText"/>
      </w:pPr>
      <w:r>
        <w:rPr>
          <w:rStyle w:val="FootnoteReference"/>
        </w:rPr>
        <w:footnoteRef/>
      </w:r>
      <w:r>
        <w:t xml:space="preserve"> </w:t>
      </w:r>
      <w:r w:rsidR="007064FA">
        <w:rPr>
          <w:i/>
          <w:iCs/>
        </w:rPr>
        <w:t>Id</w:t>
      </w:r>
      <w:r w:rsidR="007064FA">
        <w:t>.</w:t>
      </w:r>
      <w:r w:rsidR="007064FA">
        <w:rPr>
          <w:i/>
          <w:iCs/>
        </w:rPr>
        <w:t xml:space="preserve"> </w:t>
      </w:r>
    </w:p>
  </w:footnote>
  <w:footnote w:id="14">
    <w:p w:rsidR="00D4418F" w:rsidRPr="00B62C4D" w:rsidP="00D4418F" w14:paraId="3B576A29" w14:textId="1A17108D">
      <w:pPr>
        <w:pStyle w:val="FootnoteText"/>
      </w:pPr>
      <w:r>
        <w:rPr>
          <w:rStyle w:val="FootnoteReference"/>
        </w:rPr>
        <w:footnoteRef/>
      </w:r>
      <w:r>
        <w:t xml:space="preserve"> </w:t>
      </w:r>
      <w:r>
        <w:rPr>
          <w:i/>
          <w:iCs/>
        </w:rPr>
        <w:t>Id</w:t>
      </w:r>
      <w:r>
        <w:t xml:space="preserve">. at </w:t>
      </w:r>
      <w:r w:rsidR="003C3C87">
        <w:t xml:space="preserve">3-4, </w:t>
      </w:r>
      <w:r>
        <w:t>15-24 and Exh. A (Structure Charts)</w:t>
      </w:r>
      <w:r w:rsidR="00C052E9">
        <w:t xml:space="preserve">.  </w:t>
      </w:r>
      <w:r w:rsidRPr="003C3C87" w:rsidR="003C3C87">
        <w:t>Applicants</w:t>
      </w:r>
      <w:r w:rsidR="003C3C87">
        <w:t xml:space="preserve"> have provided detailed post-consummation ownership structures in the Application at Exh. A.</w:t>
      </w:r>
    </w:p>
  </w:footnote>
  <w:footnote w:id="15">
    <w:p w:rsidR="00547361" w14:paraId="4A9193F7" w14:textId="70522309">
      <w:pPr>
        <w:pStyle w:val="FootnoteText"/>
      </w:pPr>
      <w:r>
        <w:rPr>
          <w:rStyle w:val="FootnoteReference"/>
        </w:rPr>
        <w:footnoteRef/>
      </w:r>
      <w:r>
        <w:t xml:space="preserve"> </w:t>
      </w:r>
      <w:r w:rsidRPr="003C3C87" w:rsidR="003C3C87">
        <w:t>Id</w:t>
      </w:r>
      <w:r w:rsidR="003C3C87">
        <w:t xml:space="preserve">. at 15-24 and Exh. A.  </w:t>
      </w:r>
    </w:p>
  </w:footnote>
  <w:footnote w:id="16">
    <w:p w:rsidR="00D4418F" w:rsidRPr="00D4418F" w14:paraId="5EE44BEB" w14:textId="00BB7B9E">
      <w:pPr>
        <w:pStyle w:val="FootnoteText"/>
      </w:pPr>
      <w:r>
        <w:rPr>
          <w:rStyle w:val="FootnoteReference"/>
        </w:rPr>
        <w:footnoteRef/>
      </w:r>
      <w:r>
        <w:t xml:space="preserve"> </w:t>
      </w:r>
      <w:r>
        <w:rPr>
          <w:i/>
          <w:iCs/>
        </w:rPr>
        <w:t>Id</w:t>
      </w:r>
      <w:r>
        <w:t xml:space="preserve">. at Exh. A (Post-Consummation Ownership Structure:  Voting Control of NCP </w:t>
      </w:r>
      <w:r w:rsidR="007F0896">
        <w:t>M</w:t>
      </w:r>
      <w:r>
        <w:t>ercury AIV LP).</w:t>
      </w:r>
    </w:p>
  </w:footnote>
  <w:footnote w:id="17">
    <w:p w:rsidR="003C3C87" w:rsidRPr="003C3C87" w14:paraId="6EA73AC4" w14:textId="701D0AA6">
      <w:pPr>
        <w:pStyle w:val="FootnoteText"/>
      </w:pPr>
      <w:r>
        <w:rPr>
          <w:rStyle w:val="FootnoteReference"/>
        </w:rPr>
        <w:footnoteRef/>
      </w:r>
      <w:r>
        <w:t xml:space="preserve"> </w:t>
      </w:r>
      <w:r>
        <w:rPr>
          <w:i/>
          <w:iCs/>
        </w:rPr>
        <w:t>Id</w:t>
      </w:r>
      <w:r>
        <w:t>. at 24.</w:t>
      </w:r>
    </w:p>
  </w:footnote>
  <w:footnote w:id="18">
    <w:p w:rsidR="007F0896" w:rsidRPr="007F0896" w14:paraId="603B02B1" w14:textId="0AB8EF1F">
      <w:pPr>
        <w:pStyle w:val="FootnoteText"/>
      </w:pPr>
      <w:r>
        <w:rPr>
          <w:rStyle w:val="FootnoteReference"/>
        </w:rPr>
        <w:footnoteRef/>
      </w:r>
      <w:r>
        <w:t xml:space="preserve"> </w:t>
      </w:r>
      <w:r>
        <w:rPr>
          <w:i/>
          <w:iCs/>
        </w:rPr>
        <w:t>Id</w:t>
      </w:r>
      <w:r>
        <w:t>. at 4-5.</w:t>
      </w:r>
    </w:p>
  </w:footnote>
  <w:footnote w:id="19">
    <w:p w:rsidR="00F62AF6" w:rsidRPr="00961B5B" w14:paraId="7C600B81" w14:textId="15BA10D8">
      <w:pPr>
        <w:pStyle w:val="FootnoteText"/>
      </w:pPr>
      <w:r>
        <w:rPr>
          <w:rStyle w:val="FootnoteReference"/>
        </w:rPr>
        <w:footnoteRef/>
      </w:r>
      <w:r w:rsidR="00ED2EA8">
        <w:t xml:space="preserve"> </w:t>
      </w:r>
      <w:r w:rsidRPr="007753AF" w:rsidR="007753AF">
        <w:rPr>
          <w:i/>
          <w:iCs/>
        </w:rPr>
        <w:t>Id</w:t>
      </w:r>
      <w:r w:rsidR="007753AF">
        <w:t>.</w:t>
      </w:r>
      <w:r w:rsidR="00961B5B">
        <w:t xml:space="preserve"> at 6.</w:t>
      </w:r>
    </w:p>
  </w:footnote>
  <w:footnote w:id="20">
    <w:p w:rsidR="007753AF" w:rsidRPr="007753AF" w14:paraId="5482945C" w14:textId="5CF5C1DD">
      <w:pPr>
        <w:pStyle w:val="FootnoteText"/>
      </w:pPr>
      <w:r>
        <w:rPr>
          <w:rStyle w:val="FootnoteReference"/>
        </w:rPr>
        <w:footnoteRef/>
      </w:r>
      <w:r>
        <w:t xml:space="preserve"> </w:t>
      </w:r>
      <w:r>
        <w:rPr>
          <w:i/>
          <w:iCs/>
        </w:rPr>
        <w:t>Id</w:t>
      </w:r>
      <w:r>
        <w:t>. at 24.</w:t>
      </w:r>
    </w:p>
  </w:footnote>
  <w:footnote w:id="21">
    <w:p w:rsidR="007753AF" w:rsidRPr="007753AF" w14:paraId="3A427012" w14:textId="6F2CA95C">
      <w:pPr>
        <w:pStyle w:val="FootnoteText"/>
      </w:pPr>
      <w:r>
        <w:rPr>
          <w:rStyle w:val="FootnoteReference"/>
        </w:rPr>
        <w:footnoteRef/>
      </w:r>
      <w:r>
        <w:t xml:space="preserve"> </w:t>
      </w:r>
      <w:r>
        <w:rPr>
          <w:i/>
          <w:iCs/>
        </w:rPr>
        <w:t>Id</w:t>
      </w:r>
      <w:r>
        <w:t>.</w:t>
      </w:r>
    </w:p>
  </w:footnote>
  <w:footnote w:id="22">
    <w:p w:rsidR="00CF7636" w14:paraId="0BA65C9C" w14:textId="26D59A53">
      <w:pPr>
        <w:pStyle w:val="FootnoteText"/>
      </w:pPr>
      <w:r>
        <w:rPr>
          <w:rStyle w:val="FootnoteReference"/>
        </w:rPr>
        <w:footnoteRef/>
      </w:r>
      <w:r>
        <w:t xml:space="preserve"> </w:t>
      </w:r>
      <w:r w:rsidRPr="007753AF" w:rsidR="007753AF">
        <w:rPr>
          <w:i/>
          <w:iCs/>
        </w:rPr>
        <w:t>Id</w:t>
      </w:r>
      <w:r w:rsidR="007753AF">
        <w:t>.</w:t>
      </w:r>
      <w:r w:rsidR="00961B5B">
        <w:t xml:space="preserve"> at 2</w:t>
      </w:r>
      <w:r>
        <w:t>.</w:t>
      </w:r>
    </w:p>
  </w:footnote>
  <w:footnote w:id="23">
    <w:p w:rsidR="00506B5B" w:rsidRPr="00506B5B" w14:paraId="06BB8204" w14:textId="57460554">
      <w:pPr>
        <w:pStyle w:val="FootnoteText"/>
      </w:pPr>
      <w:r>
        <w:rPr>
          <w:rStyle w:val="FootnoteReference"/>
        </w:rPr>
        <w:footnoteRef/>
      </w:r>
      <w:r>
        <w:t xml:space="preserve"> </w:t>
      </w:r>
      <w:r>
        <w:rPr>
          <w:i/>
          <w:iCs/>
        </w:rPr>
        <w:t>Id</w:t>
      </w:r>
      <w:r>
        <w:t>. at 7-8.</w:t>
      </w:r>
    </w:p>
  </w:footnote>
  <w:footnote w:id="24">
    <w:p w:rsidR="008D3487" w14:paraId="708A22A0" w14:textId="088D3B22">
      <w:pPr>
        <w:pStyle w:val="FootnoteText"/>
      </w:pPr>
      <w:r>
        <w:rPr>
          <w:rStyle w:val="FootnoteReference"/>
        </w:rPr>
        <w:footnoteRef/>
      </w:r>
      <w:r>
        <w:t xml:space="preserve"> </w:t>
      </w:r>
      <w:r w:rsidRPr="007753AF" w:rsidR="007753AF">
        <w:rPr>
          <w:i/>
          <w:iCs/>
        </w:rPr>
        <w:t>Id</w:t>
      </w:r>
      <w:r w:rsidR="007753AF">
        <w:t xml:space="preserve">. </w:t>
      </w:r>
      <w:r w:rsidR="00EA68B4">
        <w:t>a</w:t>
      </w:r>
      <w:r w:rsidR="00A36F7C">
        <w:t xml:space="preserve">t </w:t>
      </w:r>
      <w:r w:rsidR="00961B5B">
        <w:t>6</w:t>
      </w:r>
      <w:r w:rsidR="00A36F7C">
        <w:t>.</w:t>
      </w:r>
    </w:p>
  </w:footnote>
  <w:footnote w:id="25">
    <w:p w:rsidR="003A4975" w:rsidRPr="003A4975" w:rsidP="003A4975" w14:paraId="05D3C38D" w14:textId="09F28558">
      <w:pPr>
        <w:pStyle w:val="FootnoteText"/>
      </w:pPr>
      <w:r w:rsidRPr="00E86AB5">
        <w:rPr>
          <w:rStyle w:val="FootnoteReference"/>
        </w:rPr>
        <w:footnoteRef/>
      </w:r>
      <w:r w:rsidRPr="00E86AB5">
        <w:t xml:space="preserve"> </w:t>
      </w:r>
      <w:r w:rsidRPr="00E86AB5">
        <w:rPr>
          <w:i/>
          <w:iCs/>
        </w:rPr>
        <w:t xml:space="preserve">See </w:t>
      </w:r>
      <w:r w:rsidRPr="00E86AB5">
        <w:t>47 CFR § 63.03(c)(1)(v)</w:t>
      </w:r>
      <w:r w:rsidR="00BC1AAF">
        <w:t>.</w:t>
      </w:r>
      <w:r>
        <w:t xml:space="preserve"> </w:t>
      </w:r>
      <w:bookmarkStart w:id="1" w:name="_Hlk98844830"/>
      <w:r w:rsidRPr="003A4975">
        <w:t xml:space="preserve">In the </w:t>
      </w:r>
      <w:r w:rsidRPr="003A4975">
        <w:rPr>
          <w:i/>
          <w:iCs/>
        </w:rPr>
        <w:t>Executive Branch Review Process Order</w:t>
      </w:r>
      <w:r w:rsidRPr="003A4975">
        <w:t xml:space="preserve">, the Commission set out categories of applications with reportable foreign ownership that may be excluded from referral to the Executive Branch for review for national security, law enforcement, foreign policy, and trade policy issues.  </w:t>
      </w:r>
      <w:r w:rsidRPr="003A4975">
        <w:rPr>
          <w:i/>
          <w:iCs/>
        </w:rPr>
        <w:t>See Process Reform for Executive Branch Review of Certain FCC Applications and Petitions Involving Foreign Ownership</w:t>
      </w:r>
      <w:r w:rsidRPr="003A4975">
        <w:t>, IB Docket 16-155, Report and Order, 35 FCC Rcd 10927, 10938-42, paras. 29-39 (2020) (</w:t>
      </w:r>
      <w:r w:rsidRPr="003A4975">
        <w:rPr>
          <w:i/>
          <w:iCs/>
        </w:rPr>
        <w:t>Executive Brach Review Process Order</w:t>
      </w:r>
      <w:r w:rsidRPr="003A4975">
        <w:t xml:space="preserve">).  Applicants have made a showing that the Application falls into a category of exclusion from referral to the Executive Branch because it involves the transfer of control of carriers that hold only domestic section 214 authority.  Application at </w:t>
      </w:r>
      <w:r>
        <w:t>n.9.</w:t>
      </w:r>
      <w:r w:rsidRPr="003A4975">
        <w:t xml:space="preserve">  We are exercising our discretion and are not referring this application to the Executive Branch agencies.  </w:t>
      </w:r>
      <w:r w:rsidRPr="003A4975">
        <w:rPr>
          <w:i/>
          <w:iCs/>
        </w:rPr>
        <w:t>See Executive Brach Review Process Order</w:t>
      </w:r>
      <w:r w:rsidRPr="003A4975">
        <w:t xml:space="preserve">., 35 FCC Rcd at 10941, para. 36, n.99; </w:t>
      </w:r>
      <w:r w:rsidRPr="003A4975">
        <w:rPr>
          <w:i/>
          <w:iCs/>
        </w:rPr>
        <w:t>see also id.</w:t>
      </w:r>
      <w:r w:rsidRPr="003A4975">
        <w:t xml:space="preserve"> at 10957, para. 81, n.205.</w:t>
      </w:r>
    </w:p>
    <w:bookmarkEnd w:id="1"/>
    <w:p w:rsidR="005B2EDD" w:rsidRPr="00E86AB5" w:rsidP="005B2EDD" w14:paraId="32212C2F" w14:textId="2801990B">
      <w:pPr>
        <w:pStyle w:val="FootnoteText"/>
      </w:pPr>
      <w:r>
        <w:t xml:space="preserve"> </w:t>
      </w:r>
    </w:p>
  </w:footnote>
  <w:footnote w:id="26">
    <w:p w:rsidR="008014D0" w:rsidRPr="00796872" w:rsidP="008014D0" w14:paraId="3DA8CD48" w14:textId="77777777">
      <w:pPr>
        <w:pStyle w:val="FootnoteText"/>
        <w:rPr>
          <w:u w:val="single"/>
        </w:rPr>
      </w:pPr>
      <w:r w:rsidRPr="00796872">
        <w:rPr>
          <w:rStyle w:val="FootnoteReference"/>
        </w:rPr>
        <w:footnoteRef/>
      </w:r>
      <w:r w:rsidRPr="00796872">
        <w:t xml:space="preserve"> Effective March 19, 2020, and until further notice, the Commission no longer accepts any hand or messenger delivered filings.  This is a temporary measure taken to help protect the health and safety of individuals, and to mitigate the transmission of COVID-19.</w:t>
      </w:r>
      <w:r w:rsidR="00264753">
        <w:t xml:space="preserve"> </w:t>
      </w:r>
      <w:r w:rsidRPr="00796872">
        <w:t xml:space="preserve"> </w:t>
      </w:r>
      <w:r w:rsidRPr="00796872">
        <w:rPr>
          <w:rFonts w:eastAsia="Calibri"/>
          <w:i/>
          <w:iCs/>
        </w:rPr>
        <w:t>See FCC Announces Closure of FCC Headquarters Open Window and Change in Hand-Delivery Policy</w:t>
      </w:r>
      <w:r w:rsidRPr="00796872">
        <w:rPr>
          <w:rFonts w:eastAsia="Calibri"/>
        </w:rPr>
        <w:t>, Public Notice, 35 FCC Rcd 2788 (OS 2020).</w:t>
      </w:r>
    </w:p>
  </w:footnote>
  <w:footnote w:id="27">
    <w:p w:rsidR="00906767" w14:paraId="0FD82491" w14:textId="77777777">
      <w:pPr>
        <w:pStyle w:val="FootnoteText"/>
      </w:pPr>
      <w:r>
        <w:rPr>
          <w:rStyle w:val="FootnoteReference"/>
        </w:rPr>
        <w:footnoteRef/>
      </w:r>
      <w:r>
        <w:t xml:space="preserve"> </w:t>
      </w:r>
      <w:r w:rsidRPr="008014D0">
        <w:rPr>
          <w:szCs w:val="22"/>
        </w:rPr>
        <w:t>47 CFR § 1.1206(b).</w:t>
      </w:r>
    </w:p>
  </w:footnote>
  <w:footnote w:id="28">
    <w:p w:rsidR="008014D0" w:rsidRPr="00796872" w:rsidP="008014D0" w14:paraId="71FF873E" w14:textId="77777777">
      <w:pPr>
        <w:pStyle w:val="FootnoteText"/>
      </w:pPr>
      <w:r w:rsidRPr="00796872">
        <w:rPr>
          <w:rStyle w:val="FootnoteReference"/>
        </w:rPr>
        <w:footnoteRef/>
      </w:r>
      <w:r w:rsidRPr="00796872">
        <w:t xml:space="preserve"> </w:t>
      </w:r>
      <w:r w:rsidRPr="00796872">
        <w:rPr>
          <w:i/>
        </w:rPr>
        <w:t>See</w:t>
      </w:r>
      <w:r w:rsidR="00FE216C">
        <w:t xml:space="preserve"> </w:t>
      </w:r>
      <w:r w:rsidRPr="00FE216C" w:rsidR="00FE216C">
        <w:rPr>
          <w:i/>
          <w:iCs/>
        </w:rPr>
        <w:t>id.</w:t>
      </w:r>
      <w:r w:rsidRPr="00796872">
        <w:t xml:space="preserve">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FE632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1CA498F" w14:textId="77777777">
    <w:pPr>
      <w:pStyle w:val="Header"/>
    </w:pPr>
    <w:r>
      <w:rPr>
        <w:noProof/>
        <w:snapToGrid/>
      </w:rPr>
      <w:drawing>
        <wp:inline distT="0" distB="0" distL="0" distR="0">
          <wp:extent cx="5943600" cy="1460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AA"/>
    <w:rsid w:val="0000137E"/>
    <w:rsid w:val="00007129"/>
    <w:rsid w:val="00007B13"/>
    <w:rsid w:val="00023C8D"/>
    <w:rsid w:val="000344DA"/>
    <w:rsid w:val="000411CC"/>
    <w:rsid w:val="000423CA"/>
    <w:rsid w:val="00046166"/>
    <w:rsid w:val="0004656C"/>
    <w:rsid w:val="00053C70"/>
    <w:rsid w:val="00065A2D"/>
    <w:rsid w:val="00073304"/>
    <w:rsid w:val="00077C10"/>
    <w:rsid w:val="00082DD9"/>
    <w:rsid w:val="000907BB"/>
    <w:rsid w:val="00093743"/>
    <w:rsid w:val="000954A4"/>
    <w:rsid w:val="000B170B"/>
    <w:rsid w:val="000C2269"/>
    <w:rsid w:val="000C32E8"/>
    <w:rsid w:val="000C56BA"/>
    <w:rsid w:val="000D0E6D"/>
    <w:rsid w:val="000E20F6"/>
    <w:rsid w:val="000F15DC"/>
    <w:rsid w:val="000F1CF0"/>
    <w:rsid w:val="000F565F"/>
    <w:rsid w:val="00100BFE"/>
    <w:rsid w:val="001104B4"/>
    <w:rsid w:val="0011284D"/>
    <w:rsid w:val="00113860"/>
    <w:rsid w:val="00122727"/>
    <w:rsid w:val="00123178"/>
    <w:rsid w:val="001254C5"/>
    <w:rsid w:val="0013532E"/>
    <w:rsid w:val="0013793F"/>
    <w:rsid w:val="00140FCF"/>
    <w:rsid w:val="001421A0"/>
    <w:rsid w:val="001429CA"/>
    <w:rsid w:val="001568DB"/>
    <w:rsid w:val="001620E0"/>
    <w:rsid w:val="00162B46"/>
    <w:rsid w:val="00164114"/>
    <w:rsid w:val="00165384"/>
    <w:rsid w:val="00167E93"/>
    <w:rsid w:val="001805F0"/>
    <w:rsid w:val="00183FA5"/>
    <w:rsid w:val="001849DB"/>
    <w:rsid w:val="001908BE"/>
    <w:rsid w:val="0019607C"/>
    <w:rsid w:val="001963AC"/>
    <w:rsid w:val="00196830"/>
    <w:rsid w:val="00197341"/>
    <w:rsid w:val="001A2613"/>
    <w:rsid w:val="001A3419"/>
    <w:rsid w:val="001B1CC8"/>
    <w:rsid w:val="001B32ED"/>
    <w:rsid w:val="001B5045"/>
    <w:rsid w:val="001B5666"/>
    <w:rsid w:val="001B57AE"/>
    <w:rsid w:val="001C1595"/>
    <w:rsid w:val="001C4439"/>
    <w:rsid w:val="001C5E50"/>
    <w:rsid w:val="001D13D1"/>
    <w:rsid w:val="001D26F6"/>
    <w:rsid w:val="001D4B15"/>
    <w:rsid w:val="001D5F35"/>
    <w:rsid w:val="001E2A85"/>
    <w:rsid w:val="001F0DB1"/>
    <w:rsid w:val="001F2DA6"/>
    <w:rsid w:val="001F557A"/>
    <w:rsid w:val="00200AB9"/>
    <w:rsid w:val="00202B59"/>
    <w:rsid w:val="0021422C"/>
    <w:rsid w:val="00214986"/>
    <w:rsid w:val="002206FA"/>
    <w:rsid w:val="0023194E"/>
    <w:rsid w:val="002351E7"/>
    <w:rsid w:val="0024459C"/>
    <w:rsid w:val="00256CD5"/>
    <w:rsid w:val="00257B34"/>
    <w:rsid w:val="002621E9"/>
    <w:rsid w:val="00262328"/>
    <w:rsid w:val="002644A8"/>
    <w:rsid w:val="00264753"/>
    <w:rsid w:val="00273EBC"/>
    <w:rsid w:val="00284385"/>
    <w:rsid w:val="002A1CC0"/>
    <w:rsid w:val="002C41BE"/>
    <w:rsid w:val="002C4866"/>
    <w:rsid w:val="002D64E4"/>
    <w:rsid w:val="002D64FE"/>
    <w:rsid w:val="002E2276"/>
    <w:rsid w:val="002F0961"/>
    <w:rsid w:val="002F5A1F"/>
    <w:rsid w:val="002F6CD3"/>
    <w:rsid w:val="0030141E"/>
    <w:rsid w:val="003030A6"/>
    <w:rsid w:val="003064A7"/>
    <w:rsid w:val="00317B11"/>
    <w:rsid w:val="0032055D"/>
    <w:rsid w:val="00324F3A"/>
    <w:rsid w:val="00334EA0"/>
    <w:rsid w:val="00341E03"/>
    <w:rsid w:val="003474AA"/>
    <w:rsid w:val="00351578"/>
    <w:rsid w:val="00351689"/>
    <w:rsid w:val="003661B8"/>
    <w:rsid w:val="00372536"/>
    <w:rsid w:val="00375D5E"/>
    <w:rsid w:val="00380BFC"/>
    <w:rsid w:val="00381D63"/>
    <w:rsid w:val="003942D2"/>
    <w:rsid w:val="003A06D0"/>
    <w:rsid w:val="003A4975"/>
    <w:rsid w:val="003B1036"/>
    <w:rsid w:val="003B1D00"/>
    <w:rsid w:val="003C0419"/>
    <w:rsid w:val="003C3C87"/>
    <w:rsid w:val="003D18FA"/>
    <w:rsid w:val="003D1FCF"/>
    <w:rsid w:val="003D250F"/>
    <w:rsid w:val="003F0638"/>
    <w:rsid w:val="003F08A1"/>
    <w:rsid w:val="003F27DB"/>
    <w:rsid w:val="004041D6"/>
    <w:rsid w:val="00404267"/>
    <w:rsid w:val="00407839"/>
    <w:rsid w:val="00412A27"/>
    <w:rsid w:val="00413EE8"/>
    <w:rsid w:val="0042070A"/>
    <w:rsid w:val="004301FA"/>
    <w:rsid w:val="00434F60"/>
    <w:rsid w:val="00436B9E"/>
    <w:rsid w:val="00437C3D"/>
    <w:rsid w:val="004439C0"/>
    <w:rsid w:val="00444C08"/>
    <w:rsid w:val="00446101"/>
    <w:rsid w:val="004472BA"/>
    <w:rsid w:val="00452453"/>
    <w:rsid w:val="0046185F"/>
    <w:rsid w:val="00467F43"/>
    <w:rsid w:val="00477A04"/>
    <w:rsid w:val="00477B03"/>
    <w:rsid w:val="00481950"/>
    <w:rsid w:val="00483BE8"/>
    <w:rsid w:val="00485DD1"/>
    <w:rsid w:val="004941B9"/>
    <w:rsid w:val="00494318"/>
    <w:rsid w:val="004958B1"/>
    <w:rsid w:val="004A0B4B"/>
    <w:rsid w:val="004A5402"/>
    <w:rsid w:val="004A5F0F"/>
    <w:rsid w:val="004A75F3"/>
    <w:rsid w:val="004B0FDB"/>
    <w:rsid w:val="004B7669"/>
    <w:rsid w:val="004C367A"/>
    <w:rsid w:val="004C42EE"/>
    <w:rsid w:val="004C610E"/>
    <w:rsid w:val="004D2C30"/>
    <w:rsid w:val="004F1A55"/>
    <w:rsid w:val="004F4BF7"/>
    <w:rsid w:val="004F61F6"/>
    <w:rsid w:val="005007A5"/>
    <w:rsid w:val="005063F2"/>
    <w:rsid w:val="005064D1"/>
    <w:rsid w:val="00506B5B"/>
    <w:rsid w:val="005078A9"/>
    <w:rsid w:val="00527C7F"/>
    <w:rsid w:val="0053231C"/>
    <w:rsid w:val="0053740B"/>
    <w:rsid w:val="00537DAA"/>
    <w:rsid w:val="005418FB"/>
    <w:rsid w:val="00547361"/>
    <w:rsid w:val="0054766A"/>
    <w:rsid w:val="00563D98"/>
    <w:rsid w:val="0057767E"/>
    <w:rsid w:val="005804E1"/>
    <w:rsid w:val="00590452"/>
    <w:rsid w:val="005A029F"/>
    <w:rsid w:val="005A1D16"/>
    <w:rsid w:val="005A4F99"/>
    <w:rsid w:val="005B13A2"/>
    <w:rsid w:val="005B2105"/>
    <w:rsid w:val="005B2EDD"/>
    <w:rsid w:val="005B4C89"/>
    <w:rsid w:val="005C08CD"/>
    <w:rsid w:val="005C5493"/>
    <w:rsid w:val="005C743D"/>
    <w:rsid w:val="005D1423"/>
    <w:rsid w:val="005D1BA2"/>
    <w:rsid w:val="005D4EA8"/>
    <w:rsid w:val="005D6887"/>
    <w:rsid w:val="005D6CCA"/>
    <w:rsid w:val="005E13CF"/>
    <w:rsid w:val="005E18B7"/>
    <w:rsid w:val="005F569D"/>
    <w:rsid w:val="006010D9"/>
    <w:rsid w:val="00603D3C"/>
    <w:rsid w:val="00607DD7"/>
    <w:rsid w:val="00610F36"/>
    <w:rsid w:val="00616391"/>
    <w:rsid w:val="00616489"/>
    <w:rsid w:val="00632532"/>
    <w:rsid w:val="0063636A"/>
    <w:rsid w:val="00637C9C"/>
    <w:rsid w:val="006431E7"/>
    <w:rsid w:val="00643811"/>
    <w:rsid w:val="00644592"/>
    <w:rsid w:val="00646A70"/>
    <w:rsid w:val="00662D4F"/>
    <w:rsid w:val="00663E67"/>
    <w:rsid w:val="006640DD"/>
    <w:rsid w:val="00667805"/>
    <w:rsid w:val="006769DC"/>
    <w:rsid w:val="006777CB"/>
    <w:rsid w:val="00685ACE"/>
    <w:rsid w:val="006865B0"/>
    <w:rsid w:val="006924C8"/>
    <w:rsid w:val="00696223"/>
    <w:rsid w:val="00696FB1"/>
    <w:rsid w:val="006A1B83"/>
    <w:rsid w:val="006A5323"/>
    <w:rsid w:val="006C37FD"/>
    <w:rsid w:val="006C5121"/>
    <w:rsid w:val="006D349F"/>
    <w:rsid w:val="006E139F"/>
    <w:rsid w:val="006E4D24"/>
    <w:rsid w:val="006F2CB7"/>
    <w:rsid w:val="006F2D65"/>
    <w:rsid w:val="007046E7"/>
    <w:rsid w:val="007064FA"/>
    <w:rsid w:val="00707663"/>
    <w:rsid w:val="0071128C"/>
    <w:rsid w:val="00717D76"/>
    <w:rsid w:val="007211CF"/>
    <w:rsid w:val="00727A69"/>
    <w:rsid w:val="007342FA"/>
    <w:rsid w:val="00736402"/>
    <w:rsid w:val="00737B9E"/>
    <w:rsid w:val="0074174A"/>
    <w:rsid w:val="00742BE4"/>
    <w:rsid w:val="00751D3D"/>
    <w:rsid w:val="00756AA9"/>
    <w:rsid w:val="007573C8"/>
    <w:rsid w:val="00757599"/>
    <w:rsid w:val="007601E2"/>
    <w:rsid w:val="00763A02"/>
    <w:rsid w:val="00770F07"/>
    <w:rsid w:val="00772962"/>
    <w:rsid w:val="007753AF"/>
    <w:rsid w:val="0077794D"/>
    <w:rsid w:val="00780071"/>
    <w:rsid w:val="00792355"/>
    <w:rsid w:val="00792747"/>
    <w:rsid w:val="00795AC8"/>
    <w:rsid w:val="00796872"/>
    <w:rsid w:val="007A5499"/>
    <w:rsid w:val="007B2A4B"/>
    <w:rsid w:val="007B4744"/>
    <w:rsid w:val="007C59D1"/>
    <w:rsid w:val="007D252C"/>
    <w:rsid w:val="007D7102"/>
    <w:rsid w:val="007E1452"/>
    <w:rsid w:val="007E76AD"/>
    <w:rsid w:val="007F0652"/>
    <w:rsid w:val="007F0896"/>
    <w:rsid w:val="007F6DE6"/>
    <w:rsid w:val="008014D0"/>
    <w:rsid w:val="00802356"/>
    <w:rsid w:val="00804C77"/>
    <w:rsid w:val="00805A48"/>
    <w:rsid w:val="0082172A"/>
    <w:rsid w:val="00821F38"/>
    <w:rsid w:val="00833C34"/>
    <w:rsid w:val="0083439C"/>
    <w:rsid w:val="008367CD"/>
    <w:rsid w:val="00840051"/>
    <w:rsid w:val="00841223"/>
    <w:rsid w:val="00842A10"/>
    <w:rsid w:val="008435CF"/>
    <w:rsid w:val="0084527B"/>
    <w:rsid w:val="00852B29"/>
    <w:rsid w:val="00855BA0"/>
    <w:rsid w:val="008633AD"/>
    <w:rsid w:val="0088295E"/>
    <w:rsid w:val="00884C47"/>
    <w:rsid w:val="00885A98"/>
    <w:rsid w:val="008934CA"/>
    <w:rsid w:val="008947A6"/>
    <w:rsid w:val="00896F90"/>
    <w:rsid w:val="008A014A"/>
    <w:rsid w:val="008A0389"/>
    <w:rsid w:val="008A0CE7"/>
    <w:rsid w:val="008B7247"/>
    <w:rsid w:val="008C2C7E"/>
    <w:rsid w:val="008C3D25"/>
    <w:rsid w:val="008C46DA"/>
    <w:rsid w:val="008C56C5"/>
    <w:rsid w:val="008D3487"/>
    <w:rsid w:val="008D40AE"/>
    <w:rsid w:val="008D4566"/>
    <w:rsid w:val="008E1499"/>
    <w:rsid w:val="00900EC9"/>
    <w:rsid w:val="0090538D"/>
    <w:rsid w:val="00905F78"/>
    <w:rsid w:val="00906767"/>
    <w:rsid w:val="0091104D"/>
    <w:rsid w:val="00914BB8"/>
    <w:rsid w:val="00925372"/>
    <w:rsid w:val="00926BAC"/>
    <w:rsid w:val="009308B7"/>
    <w:rsid w:val="00934232"/>
    <w:rsid w:val="00935727"/>
    <w:rsid w:val="00937672"/>
    <w:rsid w:val="009430DC"/>
    <w:rsid w:val="00943B24"/>
    <w:rsid w:val="009516F4"/>
    <w:rsid w:val="00954BBE"/>
    <w:rsid w:val="00961B5B"/>
    <w:rsid w:val="00972327"/>
    <w:rsid w:val="009732C5"/>
    <w:rsid w:val="00981CCE"/>
    <w:rsid w:val="009854AD"/>
    <w:rsid w:val="00997881"/>
    <w:rsid w:val="009A3B8A"/>
    <w:rsid w:val="009A5C27"/>
    <w:rsid w:val="009A79E5"/>
    <w:rsid w:val="009B10AB"/>
    <w:rsid w:val="009C0AD7"/>
    <w:rsid w:val="009C23D3"/>
    <w:rsid w:val="009C570A"/>
    <w:rsid w:val="009D6CD2"/>
    <w:rsid w:val="009E29CC"/>
    <w:rsid w:val="009E317D"/>
    <w:rsid w:val="009E3753"/>
    <w:rsid w:val="009F089C"/>
    <w:rsid w:val="009F2C4F"/>
    <w:rsid w:val="009F2FFC"/>
    <w:rsid w:val="00A05E95"/>
    <w:rsid w:val="00A10E47"/>
    <w:rsid w:val="00A152A6"/>
    <w:rsid w:val="00A224D7"/>
    <w:rsid w:val="00A255DB"/>
    <w:rsid w:val="00A3458C"/>
    <w:rsid w:val="00A36F7C"/>
    <w:rsid w:val="00A45FAC"/>
    <w:rsid w:val="00A46790"/>
    <w:rsid w:val="00A54DDA"/>
    <w:rsid w:val="00A56151"/>
    <w:rsid w:val="00A65CFD"/>
    <w:rsid w:val="00A74809"/>
    <w:rsid w:val="00A808A5"/>
    <w:rsid w:val="00A80D94"/>
    <w:rsid w:val="00A845E7"/>
    <w:rsid w:val="00A87085"/>
    <w:rsid w:val="00A90D3E"/>
    <w:rsid w:val="00A91781"/>
    <w:rsid w:val="00A9412D"/>
    <w:rsid w:val="00AA0192"/>
    <w:rsid w:val="00AA0796"/>
    <w:rsid w:val="00AA5EF7"/>
    <w:rsid w:val="00AB4E74"/>
    <w:rsid w:val="00AB6363"/>
    <w:rsid w:val="00AC4BE9"/>
    <w:rsid w:val="00AD1C04"/>
    <w:rsid w:val="00AE5105"/>
    <w:rsid w:val="00AE6352"/>
    <w:rsid w:val="00AF1153"/>
    <w:rsid w:val="00B017B4"/>
    <w:rsid w:val="00B02A93"/>
    <w:rsid w:val="00B04B64"/>
    <w:rsid w:val="00B10C5C"/>
    <w:rsid w:val="00B14CC9"/>
    <w:rsid w:val="00B20599"/>
    <w:rsid w:val="00B2695F"/>
    <w:rsid w:val="00B30C59"/>
    <w:rsid w:val="00B45BDE"/>
    <w:rsid w:val="00B47F14"/>
    <w:rsid w:val="00B62C4D"/>
    <w:rsid w:val="00B675BE"/>
    <w:rsid w:val="00B755CB"/>
    <w:rsid w:val="00B773BA"/>
    <w:rsid w:val="00B83962"/>
    <w:rsid w:val="00B83F44"/>
    <w:rsid w:val="00B85367"/>
    <w:rsid w:val="00B85BF3"/>
    <w:rsid w:val="00B9122A"/>
    <w:rsid w:val="00BA1183"/>
    <w:rsid w:val="00BB21CB"/>
    <w:rsid w:val="00BB4EBF"/>
    <w:rsid w:val="00BC1AAF"/>
    <w:rsid w:val="00BC2CDC"/>
    <w:rsid w:val="00BD362A"/>
    <w:rsid w:val="00BD7048"/>
    <w:rsid w:val="00BD7C0C"/>
    <w:rsid w:val="00BE5253"/>
    <w:rsid w:val="00BE7E4C"/>
    <w:rsid w:val="00BF1A0F"/>
    <w:rsid w:val="00BF2975"/>
    <w:rsid w:val="00BF3405"/>
    <w:rsid w:val="00BF4652"/>
    <w:rsid w:val="00BF7649"/>
    <w:rsid w:val="00C02DB5"/>
    <w:rsid w:val="00C032A8"/>
    <w:rsid w:val="00C040A9"/>
    <w:rsid w:val="00C052E9"/>
    <w:rsid w:val="00C110DA"/>
    <w:rsid w:val="00C11660"/>
    <w:rsid w:val="00C12AA6"/>
    <w:rsid w:val="00C16B80"/>
    <w:rsid w:val="00C20F24"/>
    <w:rsid w:val="00C220C0"/>
    <w:rsid w:val="00C22C78"/>
    <w:rsid w:val="00C25666"/>
    <w:rsid w:val="00C2770D"/>
    <w:rsid w:val="00C314DD"/>
    <w:rsid w:val="00C42323"/>
    <w:rsid w:val="00C457F5"/>
    <w:rsid w:val="00C56777"/>
    <w:rsid w:val="00C56D9E"/>
    <w:rsid w:val="00C63AB1"/>
    <w:rsid w:val="00C6667E"/>
    <w:rsid w:val="00C75306"/>
    <w:rsid w:val="00C850C7"/>
    <w:rsid w:val="00C87AF0"/>
    <w:rsid w:val="00C93342"/>
    <w:rsid w:val="00C95F9E"/>
    <w:rsid w:val="00CA04D1"/>
    <w:rsid w:val="00CA1ECB"/>
    <w:rsid w:val="00CA6F5B"/>
    <w:rsid w:val="00CB376F"/>
    <w:rsid w:val="00CB39C5"/>
    <w:rsid w:val="00CD048F"/>
    <w:rsid w:val="00CD0F58"/>
    <w:rsid w:val="00CD467D"/>
    <w:rsid w:val="00CD4E0E"/>
    <w:rsid w:val="00CE6D26"/>
    <w:rsid w:val="00CF030C"/>
    <w:rsid w:val="00CF27DD"/>
    <w:rsid w:val="00CF6AF5"/>
    <w:rsid w:val="00CF7636"/>
    <w:rsid w:val="00D00796"/>
    <w:rsid w:val="00D02BB8"/>
    <w:rsid w:val="00D04648"/>
    <w:rsid w:val="00D04866"/>
    <w:rsid w:val="00D12A17"/>
    <w:rsid w:val="00D1683E"/>
    <w:rsid w:val="00D23BE0"/>
    <w:rsid w:val="00D311C9"/>
    <w:rsid w:val="00D332E5"/>
    <w:rsid w:val="00D354C2"/>
    <w:rsid w:val="00D43260"/>
    <w:rsid w:val="00D4418F"/>
    <w:rsid w:val="00D4489A"/>
    <w:rsid w:val="00D5095D"/>
    <w:rsid w:val="00D62993"/>
    <w:rsid w:val="00D63CCA"/>
    <w:rsid w:val="00D67933"/>
    <w:rsid w:val="00D833C3"/>
    <w:rsid w:val="00D85C1B"/>
    <w:rsid w:val="00D87749"/>
    <w:rsid w:val="00D93A80"/>
    <w:rsid w:val="00D93F34"/>
    <w:rsid w:val="00DA5E56"/>
    <w:rsid w:val="00DB0790"/>
    <w:rsid w:val="00DB41A7"/>
    <w:rsid w:val="00DB65D2"/>
    <w:rsid w:val="00DC455F"/>
    <w:rsid w:val="00DC66C1"/>
    <w:rsid w:val="00DD5D24"/>
    <w:rsid w:val="00DE6DED"/>
    <w:rsid w:val="00E06C4C"/>
    <w:rsid w:val="00E12B50"/>
    <w:rsid w:val="00E13AC4"/>
    <w:rsid w:val="00E261BE"/>
    <w:rsid w:val="00E30C7F"/>
    <w:rsid w:val="00E3339B"/>
    <w:rsid w:val="00E35CEB"/>
    <w:rsid w:val="00E371B0"/>
    <w:rsid w:val="00E44EA8"/>
    <w:rsid w:val="00E4652F"/>
    <w:rsid w:val="00E46BFF"/>
    <w:rsid w:val="00E4725E"/>
    <w:rsid w:val="00E47744"/>
    <w:rsid w:val="00E51465"/>
    <w:rsid w:val="00E525A8"/>
    <w:rsid w:val="00E554BA"/>
    <w:rsid w:val="00E55FEA"/>
    <w:rsid w:val="00E56BD0"/>
    <w:rsid w:val="00E57208"/>
    <w:rsid w:val="00E57DFB"/>
    <w:rsid w:val="00E65EB3"/>
    <w:rsid w:val="00E710D1"/>
    <w:rsid w:val="00E73F37"/>
    <w:rsid w:val="00E82844"/>
    <w:rsid w:val="00E84325"/>
    <w:rsid w:val="00E86AB5"/>
    <w:rsid w:val="00E93436"/>
    <w:rsid w:val="00E9389E"/>
    <w:rsid w:val="00E9543D"/>
    <w:rsid w:val="00E96300"/>
    <w:rsid w:val="00EA4A8A"/>
    <w:rsid w:val="00EA68B4"/>
    <w:rsid w:val="00EC09A2"/>
    <w:rsid w:val="00EC2682"/>
    <w:rsid w:val="00EC42D5"/>
    <w:rsid w:val="00ED29E0"/>
    <w:rsid w:val="00ED2EA8"/>
    <w:rsid w:val="00ED493A"/>
    <w:rsid w:val="00EE04BD"/>
    <w:rsid w:val="00EE09ED"/>
    <w:rsid w:val="00EE1485"/>
    <w:rsid w:val="00EE55A6"/>
    <w:rsid w:val="00EE58FE"/>
    <w:rsid w:val="00EE736C"/>
    <w:rsid w:val="00EF2886"/>
    <w:rsid w:val="00EF4B52"/>
    <w:rsid w:val="00EF7FB4"/>
    <w:rsid w:val="00F009FA"/>
    <w:rsid w:val="00F02F3D"/>
    <w:rsid w:val="00F034E1"/>
    <w:rsid w:val="00F043DD"/>
    <w:rsid w:val="00F14A7B"/>
    <w:rsid w:val="00F1658C"/>
    <w:rsid w:val="00F26697"/>
    <w:rsid w:val="00F30E4A"/>
    <w:rsid w:val="00F37D83"/>
    <w:rsid w:val="00F44137"/>
    <w:rsid w:val="00F47A99"/>
    <w:rsid w:val="00F51D39"/>
    <w:rsid w:val="00F57524"/>
    <w:rsid w:val="00F57C05"/>
    <w:rsid w:val="00F62AF6"/>
    <w:rsid w:val="00F71244"/>
    <w:rsid w:val="00F731FA"/>
    <w:rsid w:val="00F76669"/>
    <w:rsid w:val="00F77244"/>
    <w:rsid w:val="00F9687E"/>
    <w:rsid w:val="00FA4293"/>
    <w:rsid w:val="00FB0A1D"/>
    <w:rsid w:val="00FB61FA"/>
    <w:rsid w:val="00FC11C8"/>
    <w:rsid w:val="00FC3E62"/>
    <w:rsid w:val="00FD54F2"/>
    <w:rsid w:val="00FD5AD9"/>
    <w:rsid w:val="00FE216C"/>
    <w:rsid w:val="00FE677F"/>
    <w:rsid w:val="00FF135C"/>
    <w:rsid w:val="00FF5AB4"/>
    <w:rsid w:val="00FF6BD0"/>
    <w:rsid w:val="2244EC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494BF8"/>
  <w15:chartTrackingRefBased/>
  <w15:docId w15:val="{B28EA279-AEB2-41E2-9272-A27DA97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UnresolvedMention3">
    <w:name w:val="Unresolved Mention3"/>
    <w:uiPriority w:val="99"/>
    <w:rsid w:val="006A1B83"/>
    <w:rPr>
      <w:color w:val="605E5C"/>
      <w:shd w:val="clear" w:color="auto" w:fill="E1DFDD"/>
    </w:rPr>
  </w:style>
  <w:style w:type="paragraph" w:styleId="Revision">
    <w:name w:val="Revision"/>
    <w:hidden/>
    <w:uiPriority w:val="99"/>
    <w:semiHidden/>
    <w:rsid w:val="00BD7048"/>
    <w:rPr>
      <w:snapToGrid w:val="0"/>
      <w:kern w:val="28"/>
      <w:sz w:val="22"/>
    </w:rPr>
  </w:style>
  <w:style w:type="character" w:styleId="FollowedHyperlink">
    <w:name w:val="FollowedHyperlink"/>
    <w:uiPriority w:val="99"/>
    <w:semiHidden/>
    <w:unhideWhenUsed/>
    <w:rsid w:val="00C314DD"/>
    <w:rPr>
      <w:color w:val="954F72"/>
      <w:u w:val="single"/>
    </w:rPr>
  </w:style>
  <w:style w:type="character" w:customStyle="1" w:styleId="UnresolvedMention">
    <w:name w:val="Unresolved Mention"/>
    <w:basedOn w:val="DefaultParagraphFont"/>
    <w:uiPriority w:val="99"/>
    <w:rsid w:val="0085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mailto:fcc504@fcc.gov" TargetMode="External" /><Relationship Id="rId7" Type="http://schemas.openxmlformats.org/officeDocument/2006/relationships/hyperlink" Target="mailto:myrva.charles@fcc.gov" TargetMode="External" /><Relationship Id="rId8" Type="http://schemas.openxmlformats.org/officeDocument/2006/relationships/hyperlink" Target="mailto:john.visclosky@fcc.gov" TargetMode="External" /><Relationship Id="rId9" Type="http://schemas.openxmlformats.org/officeDocument/2006/relationships/hyperlink" Target="mailto:jim.bir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