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D944B0" w14:paraId="4998F393" w14:textId="77777777">
      <w:pPr>
        <w:pStyle w:val="Title"/>
        <w:rPr>
          <w:szCs w:val="22"/>
        </w:rPr>
      </w:pPr>
      <w:r w:rsidRPr="006D5400">
        <w:rPr>
          <w:szCs w:val="22"/>
        </w:rPr>
        <w:t>Before the</w:t>
      </w:r>
    </w:p>
    <w:p w:rsidR="00313EF3" w:rsidRPr="006D5400" w14:paraId="0BC51896" w14:textId="77777777">
      <w:pPr>
        <w:pStyle w:val="Subtitle"/>
        <w:ind w:firstLine="0"/>
        <w:rPr>
          <w:szCs w:val="22"/>
        </w:rPr>
      </w:pPr>
      <w:r w:rsidRPr="006D5400">
        <w:rPr>
          <w:szCs w:val="22"/>
        </w:rPr>
        <w:t>Federal Communications Commission</w:t>
      </w:r>
    </w:p>
    <w:p w:rsidR="00313EF3" w:rsidRPr="006D5400" w14:paraId="234CDF3A" w14:textId="77777777">
      <w:pPr>
        <w:jc w:val="center"/>
        <w:rPr>
          <w:b/>
          <w:szCs w:val="22"/>
        </w:rPr>
      </w:pPr>
      <w:r w:rsidRPr="006D5400">
        <w:rPr>
          <w:b/>
          <w:szCs w:val="22"/>
        </w:rPr>
        <w:t>Washington, D.C. 20554</w:t>
      </w:r>
    </w:p>
    <w:p w:rsidR="00313EF3" w:rsidRPr="006D5400" w14:paraId="571C7867" w14:textId="77777777">
      <w:pPr>
        <w:tabs>
          <w:tab w:val="left" w:pos="-720"/>
        </w:tabs>
        <w:suppressAutoHyphens/>
        <w:spacing w:line="227" w:lineRule="auto"/>
        <w:rPr>
          <w:spacing w:val="-2"/>
          <w:szCs w:val="22"/>
        </w:rPr>
      </w:pPr>
    </w:p>
    <w:p w:rsidR="00313EF3" w:rsidRPr="006D5400" w14:paraId="7A43FA6E"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78721B05" w14:textId="77777777" w:rsidTr="00DE1F08">
        <w:tblPrEx>
          <w:tblW w:w="0" w:type="auto"/>
          <w:tblLayout w:type="fixed"/>
          <w:tblLook w:val="0000"/>
        </w:tblPrEx>
        <w:tc>
          <w:tcPr>
            <w:tcW w:w="4698" w:type="dxa"/>
          </w:tcPr>
          <w:p w:rsidR="00313EF3" w:rsidRPr="006D5400" w14:paraId="1CEB4733"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09171F1C" w14:textId="77777777">
            <w:pPr>
              <w:tabs>
                <w:tab w:val="center" w:pos="4680"/>
              </w:tabs>
              <w:suppressAutoHyphens/>
              <w:rPr>
                <w:spacing w:val="-2"/>
                <w:szCs w:val="22"/>
              </w:rPr>
            </w:pPr>
          </w:p>
          <w:p w:rsidR="00422B9B" w:rsidRPr="006D5400" w:rsidP="00422B9B" w14:paraId="571135C2" w14:textId="3389C8BD">
            <w:pPr>
              <w:tabs>
                <w:tab w:val="center" w:pos="4680"/>
              </w:tabs>
              <w:suppressAutoHyphens/>
              <w:rPr>
                <w:szCs w:val="22"/>
              </w:rPr>
            </w:pPr>
            <w:r>
              <w:rPr>
                <w:szCs w:val="22"/>
              </w:rPr>
              <w:t>Verizon</w:t>
            </w:r>
          </w:p>
          <w:p w:rsidR="001C67AE" w:rsidRPr="006D5400" w:rsidP="00422B9B" w14:paraId="4A484358" w14:textId="77777777">
            <w:pPr>
              <w:tabs>
                <w:tab w:val="center" w:pos="4680"/>
              </w:tabs>
              <w:suppressAutoHyphens/>
              <w:rPr>
                <w:szCs w:val="22"/>
              </w:rPr>
            </w:pPr>
          </w:p>
          <w:p w:rsidR="00313EF3" w:rsidRPr="006D5400" w14:paraId="514C6813" w14:textId="77777777">
            <w:pPr>
              <w:pStyle w:val="TOAHeading"/>
              <w:tabs>
                <w:tab w:val="center" w:pos="4680"/>
                <w:tab w:val="clear" w:pos="9360"/>
              </w:tabs>
              <w:rPr>
                <w:szCs w:val="22"/>
              </w:rPr>
            </w:pPr>
            <w:r w:rsidRPr="006D5400">
              <w:rPr>
                <w:szCs w:val="22"/>
              </w:rPr>
              <w:t xml:space="preserve">Complaint Regarding </w:t>
            </w:r>
          </w:p>
          <w:p w:rsidR="00313EF3" w:rsidRPr="006D5400" w14:paraId="7B418A53" w14:textId="77777777">
            <w:pPr>
              <w:pStyle w:val="TOAHeading"/>
              <w:tabs>
                <w:tab w:val="center" w:pos="4680"/>
                <w:tab w:val="clear" w:pos="9360"/>
              </w:tabs>
              <w:rPr>
                <w:szCs w:val="22"/>
              </w:rPr>
            </w:pPr>
            <w:r w:rsidRPr="006D5400">
              <w:rPr>
                <w:szCs w:val="22"/>
              </w:rPr>
              <w:t>Unauthorized Change of</w:t>
            </w:r>
          </w:p>
          <w:p w:rsidR="00313EF3" w:rsidRPr="006D5400" w14:paraId="1C6481C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56D43B76" w14:textId="77777777">
            <w:pPr>
              <w:tabs>
                <w:tab w:val="center" w:pos="4680"/>
              </w:tabs>
              <w:suppressAutoHyphens/>
              <w:rPr>
                <w:b/>
                <w:spacing w:val="-2"/>
                <w:szCs w:val="22"/>
              </w:rPr>
            </w:pPr>
            <w:r w:rsidRPr="006D5400">
              <w:rPr>
                <w:b/>
                <w:spacing w:val="-2"/>
                <w:szCs w:val="22"/>
              </w:rPr>
              <w:t>)</w:t>
            </w:r>
          </w:p>
          <w:p w:rsidR="00313EF3" w:rsidRPr="006D5400" w14:paraId="26F9FB3B" w14:textId="77777777">
            <w:pPr>
              <w:tabs>
                <w:tab w:val="center" w:pos="4680"/>
              </w:tabs>
              <w:suppressAutoHyphens/>
              <w:rPr>
                <w:b/>
                <w:spacing w:val="-2"/>
                <w:szCs w:val="22"/>
              </w:rPr>
            </w:pPr>
            <w:r w:rsidRPr="006D5400">
              <w:rPr>
                <w:b/>
                <w:spacing w:val="-2"/>
                <w:szCs w:val="22"/>
              </w:rPr>
              <w:t>)</w:t>
            </w:r>
          </w:p>
          <w:p w:rsidR="00313EF3" w:rsidRPr="006D5400" w14:paraId="5F27C659" w14:textId="77777777">
            <w:pPr>
              <w:tabs>
                <w:tab w:val="center" w:pos="4680"/>
              </w:tabs>
              <w:suppressAutoHyphens/>
              <w:rPr>
                <w:b/>
                <w:spacing w:val="-2"/>
                <w:szCs w:val="22"/>
              </w:rPr>
            </w:pPr>
            <w:r w:rsidRPr="006D5400">
              <w:rPr>
                <w:b/>
                <w:spacing w:val="-2"/>
                <w:szCs w:val="22"/>
              </w:rPr>
              <w:t>)</w:t>
            </w:r>
          </w:p>
          <w:p w:rsidR="00313EF3" w:rsidRPr="006D5400" w14:paraId="13F11BDA" w14:textId="77777777">
            <w:pPr>
              <w:tabs>
                <w:tab w:val="center" w:pos="4680"/>
              </w:tabs>
              <w:suppressAutoHyphens/>
              <w:rPr>
                <w:b/>
                <w:spacing w:val="-2"/>
                <w:szCs w:val="22"/>
              </w:rPr>
            </w:pPr>
            <w:r w:rsidRPr="006D5400">
              <w:rPr>
                <w:b/>
                <w:spacing w:val="-2"/>
                <w:szCs w:val="22"/>
              </w:rPr>
              <w:t>)</w:t>
            </w:r>
          </w:p>
          <w:p w:rsidR="00313EF3" w:rsidRPr="006D5400" w14:paraId="23C633AB" w14:textId="77777777">
            <w:pPr>
              <w:tabs>
                <w:tab w:val="center" w:pos="4680"/>
              </w:tabs>
              <w:suppressAutoHyphens/>
              <w:rPr>
                <w:b/>
                <w:spacing w:val="-2"/>
                <w:szCs w:val="22"/>
              </w:rPr>
            </w:pPr>
            <w:r w:rsidRPr="006D5400">
              <w:rPr>
                <w:b/>
                <w:spacing w:val="-2"/>
                <w:szCs w:val="22"/>
              </w:rPr>
              <w:t>)</w:t>
            </w:r>
          </w:p>
          <w:p w:rsidR="00313EF3" w:rsidRPr="006D5400" w14:paraId="05B8E6D0" w14:textId="77777777">
            <w:pPr>
              <w:tabs>
                <w:tab w:val="center" w:pos="4680"/>
              </w:tabs>
              <w:suppressAutoHyphens/>
              <w:rPr>
                <w:b/>
                <w:spacing w:val="-2"/>
                <w:szCs w:val="22"/>
              </w:rPr>
            </w:pPr>
            <w:r w:rsidRPr="006D5400">
              <w:rPr>
                <w:b/>
                <w:spacing w:val="-2"/>
                <w:szCs w:val="22"/>
              </w:rPr>
              <w:t>)</w:t>
            </w:r>
          </w:p>
          <w:p w:rsidR="00313EF3" w:rsidRPr="006D5400" w14:paraId="217B7C2D" w14:textId="77777777">
            <w:pPr>
              <w:tabs>
                <w:tab w:val="center" w:pos="4680"/>
              </w:tabs>
              <w:suppressAutoHyphens/>
              <w:rPr>
                <w:b/>
                <w:spacing w:val="-2"/>
                <w:szCs w:val="22"/>
              </w:rPr>
            </w:pPr>
            <w:r w:rsidRPr="006D5400">
              <w:rPr>
                <w:b/>
                <w:spacing w:val="-2"/>
                <w:szCs w:val="22"/>
              </w:rPr>
              <w:t>)</w:t>
            </w:r>
          </w:p>
          <w:p w:rsidR="00DE1F08" w:rsidRPr="006D5400" w14:paraId="1957902F" w14:textId="77777777">
            <w:pPr>
              <w:tabs>
                <w:tab w:val="center" w:pos="4680"/>
              </w:tabs>
              <w:suppressAutoHyphens/>
              <w:rPr>
                <w:b/>
                <w:spacing w:val="-2"/>
                <w:szCs w:val="22"/>
              </w:rPr>
            </w:pPr>
          </w:p>
          <w:p w:rsidR="00E84E6A" w:rsidRPr="006D5400" w14:paraId="4F4319A4" w14:textId="77777777">
            <w:pPr>
              <w:tabs>
                <w:tab w:val="center" w:pos="4680"/>
              </w:tabs>
              <w:suppressAutoHyphens/>
              <w:rPr>
                <w:b/>
                <w:spacing w:val="-2"/>
                <w:szCs w:val="22"/>
              </w:rPr>
            </w:pPr>
          </w:p>
        </w:tc>
        <w:tc>
          <w:tcPr>
            <w:tcW w:w="4248" w:type="dxa"/>
          </w:tcPr>
          <w:p w:rsidR="00313EF3" w:rsidRPr="006D5400" w14:paraId="5C3B75C1" w14:textId="77777777">
            <w:pPr>
              <w:tabs>
                <w:tab w:val="center" w:pos="4680"/>
              </w:tabs>
              <w:suppressAutoHyphens/>
              <w:rPr>
                <w:spacing w:val="-2"/>
                <w:szCs w:val="22"/>
              </w:rPr>
            </w:pPr>
          </w:p>
          <w:p w:rsidR="00313EF3" w:rsidRPr="006D5400" w14:paraId="70214A65" w14:textId="77777777">
            <w:pPr>
              <w:tabs>
                <w:tab w:val="center" w:pos="4680"/>
              </w:tabs>
              <w:suppressAutoHyphens/>
              <w:rPr>
                <w:spacing w:val="-2"/>
                <w:szCs w:val="22"/>
              </w:rPr>
            </w:pPr>
          </w:p>
          <w:p w:rsidR="00697A80" w:rsidRPr="006D5400" w:rsidP="00C81A17" w14:paraId="48300A5D" w14:textId="52CB209D">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877A73">
              <w:rPr>
                <w:szCs w:val="22"/>
              </w:rPr>
              <w:t>55</w:t>
            </w:r>
            <w:r w:rsidR="00492AD4">
              <w:rPr>
                <w:szCs w:val="22"/>
              </w:rPr>
              <w:t>85822</w:t>
            </w:r>
          </w:p>
          <w:p w:rsidR="00DE1F08" w:rsidRPr="006D5400" w:rsidP="00DE1F08" w14:paraId="760A6D6B" w14:textId="77777777">
            <w:pPr>
              <w:rPr>
                <w:szCs w:val="22"/>
              </w:rPr>
            </w:pPr>
            <w:r w:rsidRPr="006D5400">
              <w:rPr>
                <w:szCs w:val="22"/>
              </w:rPr>
              <w:t xml:space="preserve">              </w:t>
            </w:r>
            <w:r w:rsidRPr="006D5400" w:rsidR="000715F6">
              <w:rPr>
                <w:szCs w:val="22"/>
              </w:rPr>
              <w:t xml:space="preserve">             </w:t>
            </w:r>
          </w:p>
          <w:p w:rsidR="00E84E6A" w:rsidRPr="006D5400" w:rsidP="00E84E6A" w14:paraId="0914A7B2" w14:textId="77777777">
            <w:pPr>
              <w:rPr>
                <w:szCs w:val="22"/>
              </w:rPr>
            </w:pPr>
          </w:p>
        </w:tc>
      </w:tr>
    </w:tbl>
    <w:p w:rsidR="00313EF3" w:rsidRPr="006D5400" w:rsidP="00CD6BB8" w14:paraId="4C839A55" w14:textId="77777777">
      <w:pPr>
        <w:jc w:val="center"/>
        <w:rPr>
          <w:b/>
          <w:szCs w:val="22"/>
        </w:rPr>
      </w:pPr>
      <w:r w:rsidRPr="006D5400">
        <w:rPr>
          <w:b/>
          <w:szCs w:val="22"/>
        </w:rPr>
        <w:t>O</w:t>
      </w:r>
      <w:r w:rsidRPr="006D5400">
        <w:rPr>
          <w:b/>
          <w:szCs w:val="22"/>
        </w:rPr>
        <w:t>RDER</w:t>
      </w:r>
    </w:p>
    <w:p w:rsidR="00313EF3" w:rsidRPr="006D5400" w14:paraId="6FC4911B" w14:textId="77777777">
      <w:pPr>
        <w:tabs>
          <w:tab w:val="left" w:pos="-720"/>
        </w:tabs>
        <w:suppressAutoHyphens/>
        <w:spacing w:line="227" w:lineRule="auto"/>
        <w:ind w:left="720"/>
        <w:rPr>
          <w:spacing w:val="-2"/>
          <w:szCs w:val="22"/>
        </w:rPr>
      </w:pPr>
    </w:p>
    <w:p w:rsidR="00313EF3" w:rsidRPr="009C3ADD" w14:paraId="62FFBE08" w14:textId="12A68D56">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0211AC">
        <w:rPr>
          <w:b/>
          <w:spacing w:val="-2"/>
          <w:szCs w:val="22"/>
        </w:rPr>
        <w:t>August</w:t>
      </w:r>
      <w:r w:rsidR="001E68F1">
        <w:rPr>
          <w:b/>
          <w:spacing w:val="-2"/>
          <w:szCs w:val="22"/>
        </w:rPr>
        <w:t xml:space="preserve"> </w:t>
      </w:r>
      <w:r w:rsidR="00CB3832">
        <w:rPr>
          <w:b/>
          <w:spacing w:val="-2"/>
          <w:szCs w:val="22"/>
        </w:rPr>
        <w:t>9</w:t>
      </w:r>
      <w:r w:rsidR="001E68F1">
        <w:rPr>
          <w:b/>
          <w:spacing w:val="-2"/>
          <w:szCs w:val="22"/>
        </w:rPr>
        <w:t>,</w:t>
      </w:r>
      <w:r w:rsidRPr="006D5400" w:rsidR="00236AA1">
        <w:rPr>
          <w:b/>
          <w:spacing w:val="-2"/>
          <w:szCs w:val="22"/>
        </w:rPr>
        <w:t xml:space="preserve"> </w:t>
      </w:r>
      <w:r w:rsidRPr="006D5400" w:rsidR="00454DF3">
        <w:rPr>
          <w:b/>
          <w:spacing w:val="-2"/>
          <w:szCs w:val="22"/>
        </w:rPr>
        <w:t>20</w:t>
      </w:r>
      <w:r w:rsidR="001B3749">
        <w:rPr>
          <w:b/>
          <w:spacing w:val="-2"/>
          <w:szCs w:val="22"/>
        </w:rPr>
        <w:t>2</w:t>
      </w:r>
      <w:r w:rsidR="003E271E">
        <w:rPr>
          <w:b/>
          <w:spacing w:val="-2"/>
          <w:szCs w:val="22"/>
        </w:rPr>
        <w:t>2</w:t>
      </w:r>
      <w:r w:rsidRPr="006D5400">
        <w:rPr>
          <w:b/>
          <w:spacing w:val="-2"/>
          <w:szCs w:val="22"/>
        </w:rPr>
        <w:tab/>
      </w:r>
      <w:r w:rsidR="000211AC">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0211AC">
        <w:rPr>
          <w:b/>
          <w:spacing w:val="-2"/>
          <w:szCs w:val="22"/>
        </w:rPr>
        <w:t>August</w:t>
      </w:r>
      <w:r w:rsidR="00B47339">
        <w:rPr>
          <w:b/>
          <w:spacing w:val="-2"/>
          <w:szCs w:val="22"/>
        </w:rPr>
        <w:t xml:space="preserve"> </w:t>
      </w:r>
      <w:r w:rsidR="00CB3832">
        <w:rPr>
          <w:b/>
          <w:spacing w:val="-2"/>
          <w:szCs w:val="22"/>
        </w:rPr>
        <w:t>10</w:t>
      </w:r>
      <w:r w:rsidRPr="006D5400" w:rsidR="00236AA1">
        <w:rPr>
          <w:b/>
          <w:spacing w:val="-2"/>
          <w:szCs w:val="22"/>
        </w:rPr>
        <w:t xml:space="preserve">, </w:t>
      </w:r>
      <w:r w:rsidRPr="006D5400">
        <w:rPr>
          <w:b/>
          <w:spacing w:val="-2"/>
          <w:szCs w:val="22"/>
        </w:rPr>
        <w:t>20</w:t>
      </w:r>
      <w:r w:rsidR="001B3749">
        <w:rPr>
          <w:b/>
          <w:spacing w:val="-2"/>
          <w:szCs w:val="22"/>
        </w:rPr>
        <w:t>2</w:t>
      </w:r>
      <w:r w:rsidR="003E271E">
        <w:rPr>
          <w:b/>
          <w:spacing w:val="-2"/>
          <w:szCs w:val="22"/>
        </w:rPr>
        <w:t>2</w:t>
      </w:r>
    </w:p>
    <w:p w:rsidR="00313EF3" w:rsidRPr="006D5400" w14:paraId="082A1140" w14:textId="77777777">
      <w:pPr>
        <w:rPr>
          <w:szCs w:val="22"/>
        </w:rPr>
      </w:pPr>
    </w:p>
    <w:p w:rsidR="00313EF3" w:rsidRPr="006D5400" w:rsidP="0062716E" w14:paraId="50E47DA5" w14:textId="153C2D4C">
      <w:pPr>
        <w:spacing w:after="120"/>
        <w:rPr>
          <w:szCs w:val="22"/>
        </w:rPr>
      </w:pPr>
      <w:r w:rsidRPr="006D5400">
        <w:rPr>
          <w:szCs w:val="22"/>
        </w:rPr>
        <w:t xml:space="preserve">By the </w:t>
      </w:r>
      <w:r w:rsidR="005436AF">
        <w:rPr>
          <w:szCs w:val="22"/>
        </w:rPr>
        <w:t>Acting</w:t>
      </w:r>
      <w:r w:rsidRPr="006D5400" w:rsidR="00F84D1D">
        <w:rPr>
          <w:szCs w:val="22"/>
        </w:rPr>
        <w:t xml:space="preserv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68B50206" w14:textId="6F6FE36C">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0211AC">
        <w:rPr>
          <w:szCs w:val="22"/>
        </w:rPr>
        <w:t>a</w:t>
      </w:r>
      <w:r w:rsidRPr="006D5400">
        <w:rPr>
          <w:szCs w:val="22"/>
        </w:rPr>
        <w:t xml:space="preserve"> complaint alleging that</w:t>
      </w:r>
      <w:r w:rsidR="00B70C06">
        <w:rPr>
          <w:szCs w:val="22"/>
        </w:rPr>
        <w:t xml:space="preserve"> </w:t>
      </w:r>
      <w:r w:rsidR="00492AD4">
        <w:rPr>
          <w:szCs w:val="22"/>
        </w:rPr>
        <w:t>Verizon</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492AD4">
        <w:rPr>
          <w:szCs w:val="22"/>
        </w:rPr>
        <w:t>Verizon</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031B8D48" w14:textId="782E81F4">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292043">
        <w:rPr>
          <w:szCs w:val="22"/>
        </w:rPr>
        <w:t xml:space="preserve">also </w:t>
      </w:r>
      <w:r w:rsidRPr="006D5400" w:rsidR="00775878">
        <w:rPr>
          <w:szCs w:val="22"/>
        </w:rPr>
        <w:t>adopted rules to limit the liability of subscribers when a</w:t>
      </w:r>
      <w:r w:rsidR="00292043">
        <w:rPr>
          <w:szCs w:val="22"/>
        </w:rPr>
        <w:t xml:space="preserve">n unauthorized </w:t>
      </w:r>
      <w:r w:rsidRPr="006D5400" w:rsidR="00775878">
        <w:rPr>
          <w:szCs w:val="22"/>
        </w:rPr>
        <w:t>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E42CA8" w:rsidRPr="00E42CA8" w:rsidP="00E42CA8" w14:paraId="67150E1E" w14:textId="51157A84">
      <w:pPr>
        <w:numPr>
          <w:ilvl w:val="0"/>
          <w:numId w:val="4"/>
        </w:numPr>
        <w:spacing w:after="120"/>
        <w:ind w:left="0" w:firstLine="720"/>
        <w:jc w:val="left"/>
        <w:rPr>
          <w:snapToGrid/>
          <w:kern w:val="0"/>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492AD4">
        <w:t>Verizon</w:t>
      </w:r>
      <w:r w:rsidR="00C335BA">
        <w:t xml:space="preserve"> of the complaint</w:t>
      </w:r>
      <w:r w:rsidRPr="00142D97" w:rsidR="00C335BA">
        <w:t>.</w:t>
      </w:r>
      <w:r>
        <w:rPr>
          <w:rStyle w:val="FootnoteReference"/>
        </w:rPr>
        <w:footnoteReference w:id="9"/>
      </w:r>
      <w:r w:rsidRPr="00142D97" w:rsidR="00C335BA">
        <w:t xml:space="preserve">  </w:t>
      </w:r>
      <w:r>
        <w:t xml:space="preserve">In its response, Verizon states </w:t>
      </w:r>
      <w:r w:rsidRPr="00E42CA8">
        <w:rPr>
          <w:szCs w:val="22"/>
        </w:rPr>
        <w:t xml:space="preserve">that </w:t>
      </w:r>
      <w:r w:rsidR="00CB73C0">
        <w:rPr>
          <w:szCs w:val="22"/>
        </w:rPr>
        <w:t>it</w:t>
      </w:r>
      <w:r w:rsidR="00A32CB2">
        <w:rPr>
          <w:szCs w:val="22"/>
        </w:rPr>
        <w:t xml:space="preserve"> provided the underlying local network service for Complainant’s </w:t>
      </w:r>
      <w:r w:rsidR="00A96296">
        <w:rPr>
          <w:szCs w:val="22"/>
        </w:rPr>
        <w:t xml:space="preserve">telephone </w:t>
      </w:r>
      <w:r w:rsidR="00A32CB2">
        <w:rPr>
          <w:szCs w:val="22"/>
        </w:rPr>
        <w:t>line to AT&amp;T on a wholesale basis.</w:t>
      </w:r>
      <w:r>
        <w:rPr>
          <w:rStyle w:val="FootnoteReference"/>
        </w:rPr>
        <w:footnoteReference w:id="10"/>
      </w:r>
      <w:r w:rsidR="0049729A">
        <w:t xml:space="preserve"> </w:t>
      </w:r>
      <w:r w:rsidR="00A32CB2">
        <w:rPr>
          <w:szCs w:val="22"/>
        </w:rPr>
        <w:t xml:space="preserve"> </w:t>
      </w:r>
      <w:r w:rsidR="0049729A">
        <w:rPr>
          <w:szCs w:val="22"/>
        </w:rPr>
        <w:t xml:space="preserve">According to Verizon, </w:t>
      </w:r>
      <w:r w:rsidR="00A32CB2">
        <w:rPr>
          <w:szCs w:val="22"/>
        </w:rPr>
        <w:t>AT&amp;T submitted a cancellation order to Verizon</w:t>
      </w:r>
      <w:r w:rsidR="00A96296">
        <w:rPr>
          <w:szCs w:val="22"/>
        </w:rPr>
        <w:t xml:space="preserve"> in May</w:t>
      </w:r>
      <w:r w:rsidR="00A32CB2">
        <w:rPr>
          <w:szCs w:val="22"/>
        </w:rPr>
        <w:t xml:space="preserve">, which Verizon executed, thereby resulting in </w:t>
      </w:r>
      <w:r w:rsidR="00CB73C0">
        <w:rPr>
          <w:szCs w:val="22"/>
        </w:rPr>
        <w:t xml:space="preserve">Complainant </w:t>
      </w:r>
      <w:r w:rsidR="008E09A8">
        <w:rPr>
          <w:szCs w:val="22"/>
        </w:rPr>
        <w:t>losing</w:t>
      </w:r>
      <w:r w:rsidR="00A32CB2">
        <w:rPr>
          <w:szCs w:val="22"/>
        </w:rPr>
        <w:t xml:space="preserve"> local telephone service </w:t>
      </w:r>
      <w:r w:rsidR="00CB73C0">
        <w:rPr>
          <w:szCs w:val="22"/>
        </w:rPr>
        <w:t>on her</w:t>
      </w:r>
      <w:r w:rsidR="00A32CB2">
        <w:rPr>
          <w:szCs w:val="22"/>
        </w:rPr>
        <w:t xml:space="preserve"> number.</w:t>
      </w:r>
      <w:r>
        <w:rPr>
          <w:rStyle w:val="FootnoteReference"/>
          <w:szCs w:val="22"/>
        </w:rPr>
        <w:footnoteReference w:id="11"/>
      </w:r>
      <w:r w:rsidR="00A32CB2">
        <w:rPr>
          <w:szCs w:val="22"/>
        </w:rPr>
        <w:t xml:space="preserve">  Ve</w:t>
      </w:r>
      <w:r w:rsidR="0049729A">
        <w:rPr>
          <w:szCs w:val="22"/>
        </w:rPr>
        <w:t xml:space="preserve">rizon states that </w:t>
      </w:r>
      <w:r w:rsidR="00A32CB2">
        <w:rPr>
          <w:szCs w:val="22"/>
        </w:rPr>
        <w:t xml:space="preserve">Complainant </w:t>
      </w:r>
      <w:r w:rsidR="00A96296">
        <w:rPr>
          <w:szCs w:val="22"/>
        </w:rPr>
        <w:t xml:space="preserve">subsequently </w:t>
      </w:r>
      <w:r w:rsidR="00A32CB2">
        <w:rPr>
          <w:szCs w:val="22"/>
        </w:rPr>
        <w:t>contacted Verizon to establish a new voice line on the number she previously used.</w:t>
      </w:r>
      <w:r>
        <w:rPr>
          <w:rStyle w:val="FootnoteReference"/>
          <w:szCs w:val="22"/>
        </w:rPr>
        <w:footnoteReference w:id="12"/>
      </w:r>
      <w:r w:rsidR="00A32CB2">
        <w:rPr>
          <w:szCs w:val="22"/>
        </w:rPr>
        <w:t xml:space="preserve">  </w:t>
      </w:r>
      <w:r w:rsidR="00A96296">
        <w:rPr>
          <w:szCs w:val="22"/>
        </w:rPr>
        <w:t xml:space="preserve">Verizon </w:t>
      </w:r>
      <w:r w:rsidR="008E09A8">
        <w:rPr>
          <w:szCs w:val="22"/>
        </w:rPr>
        <w:t>further</w:t>
      </w:r>
      <w:r w:rsidR="00A96296">
        <w:rPr>
          <w:szCs w:val="22"/>
        </w:rPr>
        <w:t xml:space="preserve"> states that Complainant’s “new voice connection is a </w:t>
      </w:r>
      <w:r w:rsidR="008E09A8">
        <w:rPr>
          <w:szCs w:val="22"/>
        </w:rPr>
        <w:t>[V]</w:t>
      </w:r>
      <w:r w:rsidR="00A96296">
        <w:rPr>
          <w:szCs w:val="22"/>
        </w:rPr>
        <w:t>oice</w:t>
      </w:r>
      <w:r w:rsidR="00A96296">
        <w:rPr>
          <w:szCs w:val="22"/>
        </w:rPr>
        <w:t xml:space="preserve"> over Internet </w:t>
      </w:r>
      <w:r w:rsidR="008E09A8">
        <w:rPr>
          <w:szCs w:val="22"/>
        </w:rPr>
        <w:t>[P]</w:t>
      </w:r>
      <w:r w:rsidR="00A96296">
        <w:rPr>
          <w:szCs w:val="22"/>
        </w:rPr>
        <w:t>rotocol</w:t>
      </w:r>
      <w:r w:rsidR="00A96296">
        <w:rPr>
          <w:szCs w:val="22"/>
        </w:rPr>
        <w:t xml:space="preserve"> (VoIP) service” and thus, “not subject to the Commission’s third-party verification rules.”</w:t>
      </w:r>
      <w:r>
        <w:rPr>
          <w:rStyle w:val="FootnoteReference"/>
          <w:szCs w:val="22"/>
        </w:rPr>
        <w:footnoteReference w:id="13"/>
      </w:r>
    </w:p>
    <w:p w:rsidR="002C332E" w:rsidRPr="006D5400" w:rsidP="00FC5243" w14:paraId="5307A240" w14:textId="65A1F69D">
      <w:pPr>
        <w:numPr>
          <w:ilvl w:val="0"/>
          <w:numId w:val="4"/>
        </w:numPr>
        <w:spacing w:after="120"/>
        <w:ind w:left="0" w:firstLine="720"/>
        <w:jc w:val="left"/>
        <w:rPr>
          <w:szCs w:val="22"/>
        </w:rPr>
      </w:pPr>
      <w:r>
        <w:t>The evidence shows that aft</w:t>
      </w:r>
      <w:r w:rsidR="003D29D2">
        <w:t xml:space="preserve">er </w:t>
      </w:r>
      <w:r>
        <w:t>Complainant</w:t>
      </w:r>
      <w:r w:rsidR="003D29D2">
        <w:t xml:space="preserve"> contacted Verizon</w:t>
      </w:r>
      <w:r>
        <w:t>, Verizon initiated</w:t>
      </w:r>
      <w:r w:rsidR="007D589F">
        <w:t xml:space="preserve"> </w:t>
      </w:r>
      <w:r>
        <w:t>service</w:t>
      </w:r>
      <w:r w:rsidR="007D589F">
        <w:t xml:space="preserve"> for Complainant at her request and that the service was a </w:t>
      </w:r>
      <w:r>
        <w:t xml:space="preserve">VoIP service.  </w:t>
      </w:r>
      <w:r w:rsidRPr="00CB0D3D" w:rsidR="00CB0D3D">
        <w:rPr>
          <w:szCs w:val="22"/>
        </w:rPr>
        <w:t>The Commission’s carrier change rules have not been extended to VoIP service.</w:t>
      </w:r>
      <w:r>
        <w:rPr>
          <w:rStyle w:val="FootnoteReference"/>
        </w:rPr>
        <w:footnoteReference w:id="14"/>
      </w:r>
      <w:r w:rsidR="00CB0D3D">
        <w:rPr>
          <w:sz w:val="24"/>
        </w:rPr>
        <w:t xml:space="preserve"> </w:t>
      </w:r>
      <w:r w:rsidR="00BA241C">
        <w:rPr>
          <w:sz w:val="24"/>
        </w:rPr>
        <w:t xml:space="preserve"> </w:t>
      </w:r>
      <w:r w:rsidR="00C12167">
        <w:t xml:space="preserve">Thus, based on the evidence in the record, we conclude that </w:t>
      </w:r>
      <w:r w:rsidR="00492AD4">
        <w:t>Verizon</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5"/>
      </w:r>
      <w:r w:rsidRPr="006D5400" w:rsidR="00454DF3">
        <w:rPr>
          <w:szCs w:val="22"/>
        </w:rPr>
        <w:t xml:space="preserve">  </w:t>
      </w:r>
    </w:p>
    <w:p w:rsidR="00454DF3" w:rsidRPr="006D5400" w:rsidP="00FC5243" w14:paraId="66E859B3" w14:textId="16D8F5C1">
      <w:pPr>
        <w:numPr>
          <w:ilvl w:val="0"/>
          <w:numId w:val="4"/>
        </w:numPr>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492AD4">
        <w:rPr>
          <w:szCs w:val="22"/>
        </w:rPr>
        <w:t>Veriz</w:t>
      </w:r>
      <w:r w:rsidR="003B7C87">
        <w:rPr>
          <w:szCs w:val="22"/>
        </w:rPr>
        <w:t>on</w:t>
      </w:r>
      <w:r w:rsidRPr="006D5400" w:rsidR="00E84E6A">
        <w:rPr>
          <w:szCs w:val="22"/>
        </w:rPr>
        <w:t xml:space="preserve"> </w:t>
      </w:r>
      <w:r w:rsidRPr="006D5400" w:rsidR="002137D1">
        <w:rPr>
          <w:szCs w:val="22"/>
        </w:rPr>
        <w:t>IS</w:t>
      </w:r>
      <w:r w:rsidRPr="006D5400">
        <w:rPr>
          <w:szCs w:val="22"/>
        </w:rPr>
        <w:t xml:space="preserve"> DENIED.</w:t>
      </w:r>
    </w:p>
    <w:p w:rsidR="00313EF3" w:rsidRPr="0062716E" w:rsidP="00FC5243" w14:paraId="7AC620CF" w14:textId="77777777">
      <w:pPr>
        <w:numPr>
          <w:ilvl w:val="0"/>
          <w:numId w:val="4"/>
        </w:numPr>
        <w:spacing w:after="120"/>
        <w:ind w:left="0" w:firstLine="7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804999" w14:paraId="1DE59DE9" w14:textId="77777777">
      <w:pPr>
        <w:spacing w:after="120"/>
        <w:ind w:left="4320" w:right="270"/>
        <w:rPr>
          <w:szCs w:val="22"/>
        </w:rPr>
      </w:pPr>
      <w:r w:rsidRPr="006D5400">
        <w:rPr>
          <w:szCs w:val="22"/>
        </w:rPr>
        <w:t>FEDERAL COMMUNICATIONS COMMISSION</w:t>
      </w:r>
    </w:p>
    <w:p w:rsidR="00313EF3" w:rsidRPr="006D5400" w14:paraId="0CE7BF1A" w14:textId="77777777">
      <w:pPr>
        <w:ind w:right="270"/>
        <w:rPr>
          <w:szCs w:val="22"/>
        </w:rPr>
      </w:pPr>
    </w:p>
    <w:p w:rsidR="00313EF3" w:rsidRPr="006D5400" w14:paraId="319AF88D" w14:textId="77777777">
      <w:pPr>
        <w:ind w:right="270"/>
        <w:rPr>
          <w:szCs w:val="22"/>
        </w:rPr>
      </w:pPr>
    </w:p>
    <w:p w:rsidR="00C5129C" w:rsidRPr="006D5400" w14:paraId="213E043A" w14:textId="77777777">
      <w:pPr>
        <w:ind w:left="2880" w:right="270" w:firstLine="720"/>
        <w:rPr>
          <w:szCs w:val="22"/>
        </w:rPr>
      </w:pPr>
    </w:p>
    <w:p w:rsidR="00C5129C" w:rsidRPr="006D5400" w14:paraId="6334F817" w14:textId="77777777">
      <w:pPr>
        <w:ind w:left="2880" w:right="270" w:firstLine="720"/>
        <w:rPr>
          <w:szCs w:val="22"/>
        </w:rPr>
      </w:pPr>
    </w:p>
    <w:p w:rsidR="00510F6C" w:rsidP="00804999" w14:paraId="021E6E17" w14:textId="5169FE9B">
      <w:pPr>
        <w:ind w:left="4320" w:right="270"/>
        <w:rPr>
          <w:szCs w:val="22"/>
        </w:rPr>
      </w:pPr>
      <w:r>
        <w:rPr>
          <w:szCs w:val="22"/>
        </w:rPr>
        <w:t>K</w:t>
      </w:r>
      <w:r w:rsidR="000D3A14">
        <w:rPr>
          <w:szCs w:val="22"/>
        </w:rPr>
        <w:t>risti Thornton</w:t>
      </w:r>
    </w:p>
    <w:p w:rsidR="00313EF3" w:rsidRPr="006D5400" w:rsidP="00804999" w14:paraId="647212C3" w14:textId="62FB40F9">
      <w:pPr>
        <w:ind w:left="4320" w:right="270"/>
        <w:rPr>
          <w:szCs w:val="22"/>
        </w:rPr>
      </w:pPr>
      <w:r>
        <w:rPr>
          <w:szCs w:val="22"/>
        </w:rPr>
        <w:t xml:space="preserve">Acting </w:t>
      </w:r>
      <w:r w:rsidRPr="006D5400">
        <w:rPr>
          <w:szCs w:val="22"/>
        </w:rPr>
        <w:t>Chief</w:t>
      </w:r>
    </w:p>
    <w:p w:rsidR="004914A3" w:rsidRPr="006D5400" w:rsidP="00804999" w14:paraId="0746BBB5" w14:textId="77777777">
      <w:pPr>
        <w:ind w:left="4320" w:right="270"/>
        <w:rPr>
          <w:szCs w:val="22"/>
        </w:rPr>
      </w:pPr>
      <w:r w:rsidRPr="006D5400">
        <w:rPr>
          <w:szCs w:val="22"/>
        </w:rPr>
        <w:t>Consumer</w:t>
      </w:r>
      <w:r w:rsidRPr="006D5400">
        <w:rPr>
          <w:szCs w:val="22"/>
        </w:rPr>
        <w:t xml:space="preserve"> Policy Division</w:t>
      </w:r>
    </w:p>
    <w:p w:rsidR="0063192B" w:rsidRPr="006D5400" w:rsidP="00804999" w14:paraId="3F9BB258" w14:textId="77777777">
      <w:pPr>
        <w:ind w:left="4320" w:right="27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315BE8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3ACF6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5D8B5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82608A8"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6626FCCE" w14:textId="77777777">
    <w:pPr>
      <w:spacing w:before="140" w:line="100" w:lineRule="exact"/>
      <w:rPr>
        <w:sz w:val="10"/>
      </w:rPr>
    </w:pPr>
  </w:p>
  <w:p w:rsidR="00EC4494" w14:paraId="00BD5AB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043AEB62" w14:textId="77777777">
      <w:r>
        <w:separator/>
      </w:r>
    </w:p>
  </w:footnote>
  <w:footnote w:type="continuationSeparator" w:id="1">
    <w:p w:rsidR="00E430A7" w14:paraId="295143A4" w14:textId="77777777">
      <w:pPr>
        <w:rPr>
          <w:sz w:val="20"/>
        </w:rPr>
      </w:pPr>
      <w:r>
        <w:rPr>
          <w:sz w:val="20"/>
        </w:rPr>
        <w:t xml:space="preserve">(Continued from previous page)  </w:t>
      </w:r>
      <w:r>
        <w:rPr>
          <w:sz w:val="20"/>
        </w:rPr>
        <w:separator/>
      </w:r>
    </w:p>
  </w:footnote>
  <w:footnote w:type="continuationNotice" w:id="2">
    <w:p w:rsidR="00E430A7" w:rsidP="006D5400" w14:paraId="6F50CF43" w14:textId="77777777">
      <w:pPr>
        <w:jc w:val="right"/>
        <w:rPr>
          <w:sz w:val="20"/>
        </w:rPr>
      </w:pPr>
      <w:r>
        <w:rPr>
          <w:sz w:val="20"/>
        </w:rPr>
        <w:t>(continued…)</w:t>
      </w:r>
    </w:p>
  </w:footnote>
  <w:footnote w:id="3">
    <w:p w:rsidR="00EC4494" w:rsidP="005D03A5" w14:paraId="148B3030" w14:textId="12498F4C">
      <w:pPr>
        <w:pStyle w:val="FootnoteText"/>
        <w:spacing w:after="120"/>
      </w:pPr>
      <w:r>
        <w:rPr>
          <w:rStyle w:val="FootnoteReference"/>
        </w:rPr>
        <w:footnoteRef/>
      </w:r>
      <w:r>
        <w:t xml:space="preserve"> </w:t>
      </w:r>
      <w:r w:rsidRPr="00140317" w:rsidR="000211AC">
        <w:rPr>
          <w:i/>
        </w:rPr>
        <w:t xml:space="preserve">See </w:t>
      </w:r>
      <w:r w:rsidR="000211AC">
        <w:t xml:space="preserve">Informal Complaint No. 5585822 (filed July 6, 2022); </w:t>
      </w:r>
      <w:r w:rsidR="000211AC">
        <w:rPr>
          <w:i/>
        </w:rPr>
        <w:t>s</w:t>
      </w:r>
      <w:r>
        <w:rPr>
          <w:i/>
        </w:rPr>
        <w:t>ee</w:t>
      </w:r>
      <w:r w:rsidR="000211AC">
        <w:rPr>
          <w:i/>
        </w:rPr>
        <w:t xml:space="preserve"> also</w:t>
      </w:r>
      <w:r>
        <w:t xml:space="preserve"> 47 CFR §§ 64.1100 – 64.1190.</w:t>
      </w:r>
    </w:p>
  </w:footnote>
  <w:footnote w:id="4">
    <w:p w:rsidR="00EC4494" w:rsidP="005D03A5" w14:paraId="3AC45849" w14:textId="77777777">
      <w:pPr>
        <w:pStyle w:val="FootnoteText"/>
        <w:spacing w:after="120"/>
      </w:pPr>
      <w:r>
        <w:rPr>
          <w:rStyle w:val="FootnoteReference"/>
        </w:rPr>
        <w:footnoteRef/>
      </w:r>
      <w:r>
        <w:t xml:space="preserve"> 47 U.S.C. § 258(a).</w:t>
      </w:r>
    </w:p>
  </w:footnote>
  <w:footnote w:id="5">
    <w:p w:rsidR="00EC4494" w:rsidP="005D03A5" w14:paraId="197BC0DD"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BA297AE"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5D03A5" w14:paraId="67A1CD4B" w14:textId="7E708F68">
      <w:pPr>
        <w:pStyle w:val="FootnoteText"/>
        <w:spacing w:after="120"/>
      </w:pPr>
      <w:r>
        <w:rPr>
          <w:rStyle w:val="FootnoteReference"/>
        </w:rPr>
        <w:footnoteRef/>
      </w:r>
      <w:r>
        <w:t xml:space="preserve"> </w:t>
      </w:r>
      <w:r w:rsidRPr="00142D97">
        <w:t xml:space="preserve">These rules require the </w:t>
      </w:r>
      <w:r w:rsidR="00292043">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C24535" w:rsidP="00C24535" w14:paraId="30CE9B8A" w14:textId="29C722F4">
      <w:pPr>
        <w:pStyle w:val="FootnoteText"/>
        <w:spacing w:after="120"/>
      </w:pPr>
      <w:r>
        <w:rPr>
          <w:rStyle w:val="FootnoteReference"/>
        </w:rPr>
        <w:footnoteRef/>
      </w:r>
      <w:r>
        <w:t xml:space="preserve"> </w:t>
      </w:r>
      <w:r w:rsidRPr="00140317">
        <w:rPr>
          <w:i/>
        </w:rPr>
        <w:t xml:space="preserve">See </w:t>
      </w:r>
      <w:r>
        <w:t>Informal Complaint No. 5585822 (filed July 6, 2022).</w:t>
      </w:r>
    </w:p>
  </w:footnote>
  <w:footnote w:id="9">
    <w:p w:rsidR="00C335BA" w:rsidP="00C24535" w14:paraId="454DA357" w14:textId="4F8FF54E">
      <w:pPr>
        <w:pStyle w:val="FootnoteText"/>
        <w:spacing w:after="120"/>
      </w:pPr>
      <w:r>
        <w:rPr>
          <w:rStyle w:val="FootnoteReference"/>
        </w:rPr>
        <w:footnoteRef/>
      </w:r>
      <w:r>
        <w:t xml:space="preserve"> </w:t>
      </w:r>
      <w:r w:rsidR="00C24535">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49729A" w:rsidP="0049729A" w14:paraId="45CCE725" w14:textId="3958D211">
      <w:pPr>
        <w:pStyle w:val="FootnoteText"/>
        <w:spacing w:after="120"/>
      </w:pPr>
      <w:r>
        <w:rPr>
          <w:rStyle w:val="FootnoteReference"/>
        </w:rPr>
        <w:footnoteRef/>
      </w:r>
      <w:r>
        <w:t xml:space="preserve"> </w:t>
      </w:r>
      <w:r w:rsidRPr="005D03A5">
        <w:rPr>
          <w:i/>
        </w:rPr>
        <w:t>See</w:t>
      </w:r>
      <w:r>
        <w:t xml:space="preserve"> Verizon Response to Informal Complaint No. 5585822</w:t>
      </w:r>
      <w:r>
        <w:rPr>
          <w:szCs w:val="22"/>
        </w:rPr>
        <w:t xml:space="preserve"> (filed Ju</w:t>
      </w:r>
      <w:r w:rsidR="00323B68">
        <w:rPr>
          <w:szCs w:val="22"/>
        </w:rPr>
        <w:t>ly</w:t>
      </w:r>
      <w:r>
        <w:rPr>
          <w:szCs w:val="22"/>
        </w:rPr>
        <w:t xml:space="preserve"> </w:t>
      </w:r>
      <w:r w:rsidR="00323B68">
        <w:rPr>
          <w:szCs w:val="22"/>
        </w:rPr>
        <w:t>27</w:t>
      </w:r>
      <w:r>
        <w:t>, 2022)</w:t>
      </w:r>
      <w:r w:rsidR="00323B68">
        <w:t xml:space="preserve"> (Verizon Response)</w:t>
      </w:r>
      <w:r>
        <w:t>.</w:t>
      </w:r>
    </w:p>
  </w:footnote>
  <w:footnote w:id="11">
    <w:p w:rsidR="00323B68" w:rsidP="007D589F" w14:paraId="0422D5B2" w14:textId="32D1BA65">
      <w:pPr>
        <w:pStyle w:val="FootnoteText"/>
        <w:spacing w:after="120"/>
      </w:pPr>
      <w:r>
        <w:rPr>
          <w:rStyle w:val="FootnoteReference"/>
        </w:rPr>
        <w:footnoteRef/>
      </w:r>
      <w:r>
        <w:t xml:space="preserve"> </w:t>
      </w:r>
      <w:r w:rsidRPr="00323B68">
        <w:rPr>
          <w:i/>
          <w:iCs/>
        </w:rPr>
        <w:t>Id.</w:t>
      </w:r>
    </w:p>
  </w:footnote>
  <w:footnote w:id="12">
    <w:p w:rsidR="00A96296" w:rsidP="007D589F" w14:paraId="79B75C0A" w14:textId="59D533F8">
      <w:pPr>
        <w:pStyle w:val="FootnoteText"/>
        <w:spacing w:after="120"/>
      </w:pPr>
      <w:r>
        <w:rPr>
          <w:rStyle w:val="FootnoteReference"/>
        </w:rPr>
        <w:footnoteRef/>
      </w:r>
      <w:r>
        <w:t xml:space="preserve"> Verizon provided an audio recording of the call with Complainant</w:t>
      </w:r>
      <w:r w:rsidR="0049729A">
        <w:t xml:space="preserve"> “establishing this new voice service and confirming her intent.”  </w:t>
      </w:r>
      <w:r w:rsidRPr="00323B68" w:rsidR="0049729A">
        <w:rPr>
          <w:i/>
          <w:iCs/>
        </w:rPr>
        <w:t xml:space="preserve">See </w:t>
      </w:r>
      <w:r w:rsidR="0049729A">
        <w:t>Verizon</w:t>
      </w:r>
      <w:r>
        <w:t xml:space="preserve"> </w:t>
      </w:r>
      <w:r w:rsidR="00323B68">
        <w:t>Response at 1.</w:t>
      </w:r>
      <w:r>
        <w:t xml:space="preserve"> </w:t>
      </w:r>
    </w:p>
  </w:footnote>
  <w:footnote w:id="13">
    <w:p w:rsidR="00FC5243" w:rsidP="007D589F" w14:paraId="3656A85F" w14:textId="4B3DA8F8">
      <w:pPr>
        <w:pStyle w:val="FootnoteText"/>
        <w:spacing w:after="120"/>
      </w:pPr>
      <w:r>
        <w:rPr>
          <w:rStyle w:val="FootnoteReference"/>
        </w:rPr>
        <w:footnoteRef/>
      </w:r>
      <w:r>
        <w:t xml:space="preserve"> </w:t>
      </w:r>
      <w:r w:rsidRPr="00FC5243">
        <w:rPr>
          <w:i/>
          <w:iCs/>
        </w:rPr>
        <w:t>Id.</w:t>
      </w:r>
    </w:p>
  </w:footnote>
  <w:footnote w:id="14">
    <w:p w:rsidR="00CB0D3D" w:rsidP="007D589F" w14:paraId="26353A0D" w14:textId="5AF57D04">
      <w:pPr>
        <w:pStyle w:val="FootnoteText"/>
        <w:spacing w:after="120"/>
      </w:pPr>
      <w:r>
        <w:rPr>
          <w:rStyle w:val="FootnoteReference"/>
        </w:rPr>
        <w:footnoteRef/>
      </w:r>
      <w:r w:rsidR="006173F3">
        <w:t xml:space="preserve"> </w:t>
      </w:r>
      <w:r w:rsidRPr="005B27B1" w:rsidR="003D29D2">
        <w:rPr>
          <w:i/>
          <w:snapToGrid w:val="0"/>
        </w:rPr>
        <w:t>See</w:t>
      </w:r>
      <w:r w:rsidR="003D29D2">
        <w:rPr>
          <w:snapToGrid w:val="0"/>
        </w:rPr>
        <w:t xml:space="preserve"> 47 CFR § 64.1120.  </w:t>
      </w:r>
      <w:r>
        <w:t xml:space="preserve">We note that the Commission has sought comment on whether it is necessary to extend slamming regulations to VoIP or other IP-enabled service providers.  </w:t>
      </w:r>
      <w:r>
        <w:rPr>
          <w:i/>
        </w:rPr>
        <w:t xml:space="preserve">See Enabled Services, </w:t>
      </w:r>
      <w:r>
        <w:t xml:space="preserve">WC Docket No. 04-36, Notice of Proposed Rulemaking, 19 FCC </w:t>
      </w:r>
      <w:r>
        <w:t>Rcd</w:t>
      </w:r>
      <w:r>
        <w:t xml:space="preserve"> 4863, 4910-11 paras. 71-72 (2004).   </w:t>
      </w:r>
    </w:p>
  </w:footnote>
  <w:footnote w:id="15">
    <w:p w:rsidR="00EC4494" w:rsidP="007D589F" w14:paraId="6300C024" w14:textId="0F4B077A">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4E05CD">
        <w:rPr>
          <w:iCs/>
        </w:rPr>
        <w:t>47 CFR</w:t>
      </w:r>
      <w:r w:rsidR="007368C0">
        <w:t xml:space="preserve"> § 64.11</w:t>
      </w:r>
      <w:r w:rsidR="00C3654F">
        <w:t>0</w:t>
      </w:r>
      <w:r w:rsidR="007368C0">
        <w:t xml:space="preserve">0(e).  </w:t>
      </w:r>
      <w:r>
        <w:t xml:space="preserve">If Complainant is unsatisfied with the resolution of </w:t>
      </w:r>
      <w:r w:rsidR="00BD6ADF">
        <w:t>her</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1.721.  Such filing will be deemed to relate back to the filing date of Complainant’s informal complaint so long as the formal complaint is filed within 45 days from the date this order is mailed or delivered electronically to</w:t>
      </w:r>
      <w:r w:rsidR="00BD6ADF">
        <w:t xml:space="preserve"> </w:t>
      </w:r>
      <w:r>
        <w:t xml:space="preserve">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BE9B0A5" w14:textId="13C26228">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B3749">
      <w:rPr>
        <w:b/>
        <w:spacing w:val="-2"/>
      </w:rPr>
      <w:t>2</w:t>
    </w:r>
    <w:r w:rsidR="007749BB">
      <w:rPr>
        <w:b/>
        <w:spacing w:val="-2"/>
      </w:rPr>
      <w:t>2</w:t>
    </w:r>
    <w:r>
      <w:rPr>
        <w:b/>
        <w:spacing w:val="-2"/>
      </w:rPr>
      <w:t>-</w:t>
    </w:r>
    <w:r w:rsidR="00CB3832">
      <w:rPr>
        <w:b/>
        <w:spacing w:val="-2"/>
      </w:rPr>
      <w:t>843</w:t>
    </w:r>
  </w:p>
  <w:p w:rsidR="00EC4494" w14:paraId="3F2A752B" w14:textId="6DB551D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5ADDDA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6913CD8F" w14:textId="3697FB0F">
    <w:pPr>
      <w:pStyle w:val="Header"/>
      <w:pBdr>
        <w:bottom w:val="single" w:sz="12" w:space="1" w:color="auto"/>
      </w:pBdr>
      <w:rPr>
        <w:b w:val="0"/>
      </w:rPr>
    </w:pPr>
    <w:r>
      <w:tab/>
      <w:t>Federal</w:t>
    </w:r>
    <w:r w:rsidR="00385691">
      <w:t xml:space="preserve"> Communications Commission</w:t>
    </w:r>
    <w:r w:rsidR="00385691">
      <w:tab/>
      <w:t xml:space="preserve">DA </w:t>
    </w:r>
    <w:r w:rsidR="001B3749">
      <w:t>2</w:t>
    </w:r>
    <w:r w:rsidR="007749BB">
      <w:t>2</w:t>
    </w:r>
    <w:r>
      <w:t>-</w:t>
    </w:r>
    <w:r w:rsidR="00CB3832">
      <w:t>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4">
    <w:nsid w:val="6E4E7469"/>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11AC"/>
    <w:rsid w:val="000228F2"/>
    <w:rsid w:val="00023C8E"/>
    <w:rsid w:val="0002797A"/>
    <w:rsid w:val="00034B5F"/>
    <w:rsid w:val="000436C2"/>
    <w:rsid w:val="0005108E"/>
    <w:rsid w:val="000609D0"/>
    <w:rsid w:val="000715F6"/>
    <w:rsid w:val="000B7A45"/>
    <w:rsid w:val="000D3A14"/>
    <w:rsid w:val="000D6FF3"/>
    <w:rsid w:val="000E6D51"/>
    <w:rsid w:val="00113639"/>
    <w:rsid w:val="001204B1"/>
    <w:rsid w:val="00120529"/>
    <w:rsid w:val="00140317"/>
    <w:rsid w:val="001414E3"/>
    <w:rsid w:val="00142D97"/>
    <w:rsid w:val="00162727"/>
    <w:rsid w:val="001717CE"/>
    <w:rsid w:val="00173821"/>
    <w:rsid w:val="00190163"/>
    <w:rsid w:val="00195161"/>
    <w:rsid w:val="001A0861"/>
    <w:rsid w:val="001A7A2C"/>
    <w:rsid w:val="001B3749"/>
    <w:rsid w:val="001C36B6"/>
    <w:rsid w:val="001C67AE"/>
    <w:rsid w:val="001E4CAB"/>
    <w:rsid w:val="001E68F1"/>
    <w:rsid w:val="001F2E5C"/>
    <w:rsid w:val="001F4128"/>
    <w:rsid w:val="00206248"/>
    <w:rsid w:val="002137D1"/>
    <w:rsid w:val="0021434E"/>
    <w:rsid w:val="002354D5"/>
    <w:rsid w:val="002357D3"/>
    <w:rsid w:val="00236AA1"/>
    <w:rsid w:val="00236EDD"/>
    <w:rsid w:val="00237BAA"/>
    <w:rsid w:val="002431FD"/>
    <w:rsid w:val="002439C1"/>
    <w:rsid w:val="002479AB"/>
    <w:rsid w:val="00265A91"/>
    <w:rsid w:val="00283DF4"/>
    <w:rsid w:val="00292043"/>
    <w:rsid w:val="002A3B0B"/>
    <w:rsid w:val="002C332E"/>
    <w:rsid w:val="002F4B88"/>
    <w:rsid w:val="002F5C17"/>
    <w:rsid w:val="00310BAA"/>
    <w:rsid w:val="00313EF3"/>
    <w:rsid w:val="00323B68"/>
    <w:rsid w:val="003427C1"/>
    <w:rsid w:val="00353700"/>
    <w:rsid w:val="00360D54"/>
    <w:rsid w:val="00385691"/>
    <w:rsid w:val="003A1EBA"/>
    <w:rsid w:val="003B7C87"/>
    <w:rsid w:val="003C5092"/>
    <w:rsid w:val="003D29D2"/>
    <w:rsid w:val="003D32F8"/>
    <w:rsid w:val="003E271E"/>
    <w:rsid w:val="003E5B69"/>
    <w:rsid w:val="003F7602"/>
    <w:rsid w:val="003F7D44"/>
    <w:rsid w:val="00422B9B"/>
    <w:rsid w:val="00454DF3"/>
    <w:rsid w:val="0047594E"/>
    <w:rsid w:val="004914A3"/>
    <w:rsid w:val="00492AD4"/>
    <w:rsid w:val="0049729A"/>
    <w:rsid w:val="004A1686"/>
    <w:rsid w:val="004C3D84"/>
    <w:rsid w:val="004C7040"/>
    <w:rsid w:val="004E05CD"/>
    <w:rsid w:val="00510F6C"/>
    <w:rsid w:val="005265B9"/>
    <w:rsid w:val="005436AF"/>
    <w:rsid w:val="005561FD"/>
    <w:rsid w:val="00563A90"/>
    <w:rsid w:val="00566D7F"/>
    <w:rsid w:val="005772B2"/>
    <w:rsid w:val="00586E06"/>
    <w:rsid w:val="005A6A46"/>
    <w:rsid w:val="005B27B1"/>
    <w:rsid w:val="005B2F11"/>
    <w:rsid w:val="005B796C"/>
    <w:rsid w:val="005C203E"/>
    <w:rsid w:val="005C4098"/>
    <w:rsid w:val="005D03A5"/>
    <w:rsid w:val="005D78D7"/>
    <w:rsid w:val="005E78CA"/>
    <w:rsid w:val="006173F3"/>
    <w:rsid w:val="00622CD2"/>
    <w:rsid w:val="00623693"/>
    <w:rsid w:val="00623E7A"/>
    <w:rsid w:val="0062716E"/>
    <w:rsid w:val="0063192B"/>
    <w:rsid w:val="0064472D"/>
    <w:rsid w:val="00676CB9"/>
    <w:rsid w:val="00685FD6"/>
    <w:rsid w:val="00697A80"/>
    <w:rsid w:val="006B0F44"/>
    <w:rsid w:val="006D5400"/>
    <w:rsid w:val="006E4C47"/>
    <w:rsid w:val="00727230"/>
    <w:rsid w:val="007368C0"/>
    <w:rsid w:val="0074254C"/>
    <w:rsid w:val="00750DAE"/>
    <w:rsid w:val="007546EE"/>
    <w:rsid w:val="00774600"/>
    <w:rsid w:val="007749BB"/>
    <w:rsid w:val="0077536C"/>
    <w:rsid w:val="00775878"/>
    <w:rsid w:val="00780927"/>
    <w:rsid w:val="007831C1"/>
    <w:rsid w:val="00795CE2"/>
    <w:rsid w:val="007B65C8"/>
    <w:rsid w:val="007B67D3"/>
    <w:rsid w:val="007D2B0E"/>
    <w:rsid w:val="007D589F"/>
    <w:rsid w:val="007D7FBB"/>
    <w:rsid w:val="007E0B90"/>
    <w:rsid w:val="007E5AF2"/>
    <w:rsid w:val="00804999"/>
    <w:rsid w:val="008101C7"/>
    <w:rsid w:val="00816066"/>
    <w:rsid w:val="0082745B"/>
    <w:rsid w:val="0083033B"/>
    <w:rsid w:val="00831E67"/>
    <w:rsid w:val="00835894"/>
    <w:rsid w:val="00870845"/>
    <w:rsid w:val="00876880"/>
    <w:rsid w:val="00877A73"/>
    <w:rsid w:val="008E09A8"/>
    <w:rsid w:val="008E6C8C"/>
    <w:rsid w:val="008F1B97"/>
    <w:rsid w:val="008F47DB"/>
    <w:rsid w:val="008F4E04"/>
    <w:rsid w:val="00901A56"/>
    <w:rsid w:val="00903371"/>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5D6E"/>
    <w:rsid w:val="00A17B73"/>
    <w:rsid w:val="00A25B67"/>
    <w:rsid w:val="00A32CB2"/>
    <w:rsid w:val="00A36B33"/>
    <w:rsid w:val="00A42E60"/>
    <w:rsid w:val="00A52236"/>
    <w:rsid w:val="00A574EA"/>
    <w:rsid w:val="00A6088E"/>
    <w:rsid w:val="00A728EC"/>
    <w:rsid w:val="00A75410"/>
    <w:rsid w:val="00A75458"/>
    <w:rsid w:val="00A841B1"/>
    <w:rsid w:val="00A96296"/>
    <w:rsid w:val="00AA548C"/>
    <w:rsid w:val="00AD583F"/>
    <w:rsid w:val="00AE2D7C"/>
    <w:rsid w:val="00AF7685"/>
    <w:rsid w:val="00B0254C"/>
    <w:rsid w:val="00B030B5"/>
    <w:rsid w:val="00B25D8D"/>
    <w:rsid w:val="00B329ED"/>
    <w:rsid w:val="00B46EF1"/>
    <w:rsid w:val="00B46FCC"/>
    <w:rsid w:val="00B47339"/>
    <w:rsid w:val="00B70C06"/>
    <w:rsid w:val="00BA0244"/>
    <w:rsid w:val="00BA241C"/>
    <w:rsid w:val="00BC643E"/>
    <w:rsid w:val="00BD2451"/>
    <w:rsid w:val="00BD6ADF"/>
    <w:rsid w:val="00C04D95"/>
    <w:rsid w:val="00C12167"/>
    <w:rsid w:val="00C24535"/>
    <w:rsid w:val="00C26A42"/>
    <w:rsid w:val="00C335BA"/>
    <w:rsid w:val="00C3654F"/>
    <w:rsid w:val="00C403BC"/>
    <w:rsid w:val="00C447BD"/>
    <w:rsid w:val="00C47746"/>
    <w:rsid w:val="00C5129C"/>
    <w:rsid w:val="00C53380"/>
    <w:rsid w:val="00C81A17"/>
    <w:rsid w:val="00CA575D"/>
    <w:rsid w:val="00CB0D3D"/>
    <w:rsid w:val="00CB11F0"/>
    <w:rsid w:val="00CB1F6D"/>
    <w:rsid w:val="00CB3832"/>
    <w:rsid w:val="00CB73C0"/>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944B0"/>
    <w:rsid w:val="00DB373D"/>
    <w:rsid w:val="00DB40D9"/>
    <w:rsid w:val="00DB4EAF"/>
    <w:rsid w:val="00DC450D"/>
    <w:rsid w:val="00DD26EF"/>
    <w:rsid w:val="00DD5275"/>
    <w:rsid w:val="00DE04F2"/>
    <w:rsid w:val="00DE1F08"/>
    <w:rsid w:val="00DE60CD"/>
    <w:rsid w:val="00E0746D"/>
    <w:rsid w:val="00E12641"/>
    <w:rsid w:val="00E12DF2"/>
    <w:rsid w:val="00E35C29"/>
    <w:rsid w:val="00E42CA8"/>
    <w:rsid w:val="00E430A7"/>
    <w:rsid w:val="00E53AD1"/>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 w:val="00FC5243"/>
    <w:rsid w:val="00FE1B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AE216"/>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