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0FD6" w:rsidRPr="005933FC" w:rsidP="005A3FC4" w14:paraId="26ED00F4" w14:textId="77777777">
      <w:pPr>
        <w:ind w:left="5760" w:firstLine="720"/>
        <w:contextualSpacing/>
        <w:rPr>
          <w:sz w:val="22"/>
          <w:szCs w:val="22"/>
        </w:rPr>
      </w:pPr>
    </w:p>
    <w:p w:rsidR="008C27DC" w:rsidRPr="005933FC" w:rsidP="005A3FC4" w14:paraId="4A950375" w14:textId="0F9851E6">
      <w:pPr>
        <w:ind w:left="5760" w:firstLine="720"/>
        <w:contextualSpacing/>
        <w:rPr>
          <w:sz w:val="22"/>
          <w:szCs w:val="22"/>
        </w:rPr>
      </w:pPr>
      <w:r w:rsidRPr="005933FC">
        <w:rPr>
          <w:sz w:val="22"/>
          <w:szCs w:val="22"/>
        </w:rPr>
        <w:t>DA 22-</w:t>
      </w:r>
      <w:r w:rsidR="00652224">
        <w:rPr>
          <w:sz w:val="22"/>
          <w:szCs w:val="22"/>
        </w:rPr>
        <w:t>874</w:t>
      </w:r>
    </w:p>
    <w:p w:rsidR="008C27DC" w:rsidRPr="005933FC" w:rsidP="005A3FC4" w14:paraId="51B27705" w14:textId="77777777">
      <w:pPr>
        <w:contextualSpacing/>
        <w:rPr>
          <w:i/>
          <w:sz w:val="22"/>
          <w:szCs w:val="22"/>
        </w:rPr>
      </w:pP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t>In Reply Refer to:</w:t>
      </w:r>
    </w:p>
    <w:p w:rsidR="008C27DC" w:rsidRPr="005933FC" w:rsidP="005A3FC4" w14:paraId="468CDAA6" w14:textId="7103334B">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1800B3-</w:t>
      </w:r>
      <w:r w:rsidR="003A4704">
        <w:rPr>
          <w:sz w:val="22"/>
          <w:szCs w:val="22"/>
        </w:rPr>
        <w:t>A</w:t>
      </w:r>
      <w:r w:rsidR="001C51AF">
        <w:rPr>
          <w:sz w:val="22"/>
          <w:szCs w:val="22"/>
        </w:rPr>
        <w:t>R</w:t>
      </w:r>
      <w:r w:rsidR="003A4704">
        <w:rPr>
          <w:sz w:val="22"/>
          <w:szCs w:val="22"/>
        </w:rPr>
        <w:t>R</w:t>
      </w:r>
    </w:p>
    <w:p w:rsidR="008C27DC" w:rsidRPr="005933FC" w:rsidP="005A3FC4" w14:paraId="24ACF85C" w14:textId="76B790AD">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 xml:space="preserve">Released </w:t>
      </w:r>
      <w:r w:rsidR="00652224">
        <w:rPr>
          <w:sz w:val="22"/>
          <w:szCs w:val="22"/>
        </w:rPr>
        <w:t>August 22, 2022</w:t>
      </w:r>
    </w:p>
    <w:p w:rsidR="00340FD6" w:rsidRPr="005933FC" w:rsidP="005A3FC4" w14:paraId="3F8B0D31" w14:textId="1AC0A409">
      <w:pPr>
        <w:contextualSpacing/>
        <w:rPr>
          <w:sz w:val="22"/>
          <w:szCs w:val="22"/>
        </w:rPr>
      </w:pPr>
      <w:r w:rsidRPr="005933FC">
        <w:rPr>
          <w:sz w:val="22"/>
          <w:szCs w:val="22"/>
        </w:rPr>
        <w:tab/>
      </w:r>
      <w:r w:rsidRPr="005933FC">
        <w:rPr>
          <w:sz w:val="22"/>
          <w:szCs w:val="22"/>
        </w:rPr>
        <w:tab/>
      </w:r>
      <w:r w:rsidRPr="005933FC">
        <w:rPr>
          <w:sz w:val="22"/>
          <w:szCs w:val="22"/>
        </w:rPr>
        <w:tab/>
      </w:r>
    </w:p>
    <w:p w:rsidR="0045642F" w:rsidRPr="005933FC" w:rsidP="005A3FC4" w14:paraId="2A8D8D50" w14:textId="57156578">
      <w:pPr>
        <w:contextualSpacing/>
        <w:rPr>
          <w:sz w:val="22"/>
          <w:szCs w:val="22"/>
        </w:rPr>
      </w:pPr>
      <w:r w:rsidRPr="005933FC">
        <w:rPr>
          <w:sz w:val="22"/>
          <w:szCs w:val="22"/>
        </w:rPr>
        <w:t>The Association for Community Education, Inc.</w:t>
      </w:r>
    </w:p>
    <w:p w:rsidR="00AA2D04" w:rsidRPr="005933FC" w:rsidP="005A3FC4" w14:paraId="43299139" w14:textId="387F8625">
      <w:pPr>
        <w:contextualSpacing/>
        <w:rPr>
          <w:sz w:val="22"/>
          <w:szCs w:val="22"/>
        </w:rPr>
      </w:pPr>
      <w:r w:rsidRPr="005933FC">
        <w:rPr>
          <w:sz w:val="22"/>
          <w:szCs w:val="22"/>
        </w:rPr>
        <w:t xml:space="preserve">c/o </w:t>
      </w:r>
      <w:r w:rsidRPr="005933FC" w:rsidR="0095222B">
        <w:rPr>
          <w:sz w:val="22"/>
          <w:szCs w:val="22"/>
        </w:rPr>
        <w:t xml:space="preserve">Mr. </w:t>
      </w:r>
      <w:r w:rsidRPr="005933FC">
        <w:rPr>
          <w:sz w:val="22"/>
          <w:szCs w:val="22"/>
        </w:rPr>
        <w:t>John S. Neely, Esq.</w:t>
      </w:r>
    </w:p>
    <w:p w:rsidR="00A358C8" w:rsidRPr="005933FC" w:rsidP="005A3FC4" w14:paraId="361664B6" w14:textId="2C8B363A">
      <w:pPr>
        <w:contextualSpacing/>
        <w:rPr>
          <w:sz w:val="22"/>
          <w:szCs w:val="22"/>
        </w:rPr>
      </w:pPr>
      <w:r w:rsidRPr="005933FC">
        <w:rPr>
          <w:sz w:val="22"/>
          <w:szCs w:val="22"/>
        </w:rPr>
        <w:t>4 Simms Court</w:t>
      </w:r>
    </w:p>
    <w:p w:rsidR="00AA2D04" w:rsidRPr="005933FC" w:rsidP="005A3FC4" w14:paraId="73AC11FA" w14:textId="1B1C716E">
      <w:pPr>
        <w:contextualSpacing/>
        <w:rPr>
          <w:sz w:val="22"/>
          <w:szCs w:val="22"/>
        </w:rPr>
      </w:pPr>
      <w:r w:rsidRPr="005933FC">
        <w:rPr>
          <w:sz w:val="22"/>
          <w:szCs w:val="22"/>
        </w:rPr>
        <w:t>Kensington, MD 20895</w:t>
      </w:r>
    </w:p>
    <w:p w:rsidR="00A62ED5" w:rsidRPr="005933FC" w:rsidP="005A3FC4" w14:paraId="35A151D0" w14:textId="62D6648F">
      <w:pPr>
        <w:contextualSpacing/>
        <w:rPr>
          <w:sz w:val="22"/>
          <w:szCs w:val="22"/>
        </w:rPr>
      </w:pPr>
      <w:r w:rsidRPr="005933FC">
        <w:rPr>
          <w:sz w:val="22"/>
          <w:szCs w:val="22"/>
        </w:rPr>
        <w:t xml:space="preserve">(sent by electronic mail to: </w:t>
      </w:r>
      <w:hyperlink r:id="rId5" w:history="1">
        <w:r w:rsidRPr="005933FC" w:rsidR="0081409D">
          <w:rPr>
            <w:rStyle w:val="Hyperlink"/>
            <w:sz w:val="22"/>
            <w:szCs w:val="22"/>
          </w:rPr>
          <w:t>johnsneely@yahoo.com</w:t>
        </w:r>
      </w:hyperlink>
      <w:r w:rsidRPr="005933FC" w:rsidR="0081409D">
        <w:rPr>
          <w:sz w:val="22"/>
          <w:szCs w:val="22"/>
        </w:rPr>
        <w:t>)</w:t>
      </w:r>
    </w:p>
    <w:p w:rsidR="00340FD6" w:rsidRPr="005933FC" w:rsidP="005A3FC4" w14:paraId="71CB99EF" w14:textId="5C575ACE">
      <w:pPr>
        <w:contextualSpacing/>
        <w:rPr>
          <w:sz w:val="22"/>
          <w:szCs w:val="22"/>
          <w:highlight w:val="yellow"/>
        </w:rPr>
      </w:pPr>
    </w:p>
    <w:p w:rsidR="00162529" w:rsidRPr="005933FC" w:rsidP="005A3FC4" w14:paraId="48B92422" w14:textId="77777777">
      <w:pPr>
        <w:contextualSpacing/>
        <w:rPr>
          <w:sz w:val="22"/>
          <w:szCs w:val="22"/>
        </w:rPr>
      </w:pPr>
      <w:r w:rsidRPr="005933FC">
        <w:rPr>
          <w:sz w:val="22"/>
          <w:szCs w:val="22"/>
        </w:rPr>
        <w:t>Modesto Independent Media</w:t>
      </w:r>
    </w:p>
    <w:p w:rsidR="0045642F" w:rsidRPr="005933FC" w:rsidP="005A3FC4" w14:paraId="1E4377F1" w14:textId="7C61C74A">
      <w:pPr>
        <w:contextualSpacing/>
        <w:rPr>
          <w:sz w:val="22"/>
          <w:szCs w:val="22"/>
        </w:rPr>
      </w:pPr>
      <w:r w:rsidRPr="005933FC">
        <w:rPr>
          <w:sz w:val="22"/>
          <w:szCs w:val="22"/>
        </w:rPr>
        <w:t xml:space="preserve">c/o </w:t>
      </w:r>
      <w:r w:rsidRPr="005933FC" w:rsidR="00AA2D04">
        <w:rPr>
          <w:sz w:val="22"/>
          <w:szCs w:val="22"/>
        </w:rPr>
        <w:t>Ms. Sherry Gillette</w:t>
      </w:r>
    </w:p>
    <w:p w:rsidR="00AA2D04" w:rsidRPr="005933FC" w:rsidP="005A3FC4" w14:paraId="5A217824" w14:textId="401A0374">
      <w:pPr>
        <w:contextualSpacing/>
        <w:rPr>
          <w:sz w:val="22"/>
          <w:szCs w:val="22"/>
        </w:rPr>
      </w:pPr>
      <w:r w:rsidRPr="005933FC">
        <w:rPr>
          <w:sz w:val="22"/>
          <w:szCs w:val="22"/>
        </w:rPr>
        <w:t>2025 Wylie Drive</w:t>
      </w:r>
    </w:p>
    <w:p w:rsidR="00AA2D04" w:rsidRPr="005933FC" w:rsidP="005A3FC4" w14:paraId="410358F9" w14:textId="2230CF86">
      <w:pPr>
        <w:contextualSpacing/>
        <w:rPr>
          <w:sz w:val="22"/>
          <w:szCs w:val="22"/>
        </w:rPr>
      </w:pPr>
      <w:r w:rsidRPr="005933FC">
        <w:rPr>
          <w:sz w:val="22"/>
          <w:szCs w:val="22"/>
        </w:rPr>
        <w:t>Modesto, CA 95355</w:t>
      </w:r>
    </w:p>
    <w:p w:rsidR="00090BF5" w:rsidRPr="005933FC" w:rsidP="005A3FC4" w14:paraId="413DBE3C" w14:textId="77F70D64">
      <w:pPr>
        <w:contextualSpacing/>
        <w:rPr>
          <w:sz w:val="22"/>
          <w:szCs w:val="22"/>
        </w:rPr>
      </w:pPr>
      <w:r w:rsidRPr="005933FC">
        <w:rPr>
          <w:sz w:val="22"/>
          <w:szCs w:val="22"/>
        </w:rPr>
        <w:t xml:space="preserve">(sent by electronic mail to: </w:t>
      </w:r>
      <w:hyperlink r:id="rId6" w:history="1">
        <w:r w:rsidRPr="005933FC" w:rsidR="00484220">
          <w:rPr>
            <w:rStyle w:val="Hyperlink"/>
            <w:sz w:val="22"/>
            <w:szCs w:val="22"/>
          </w:rPr>
          <w:t>sherrylovesmkay1024@gmail.com</w:t>
        </w:r>
      </w:hyperlink>
      <w:r w:rsidRPr="005933FC" w:rsidR="00484220">
        <w:rPr>
          <w:sz w:val="22"/>
          <w:szCs w:val="22"/>
        </w:rPr>
        <w:t>)</w:t>
      </w:r>
    </w:p>
    <w:p w:rsidR="00F13ABE" w:rsidRPr="005933FC" w:rsidP="005A3FC4" w14:paraId="7A125E49" w14:textId="2DB81693">
      <w:pPr>
        <w:contextualSpacing/>
        <w:rPr>
          <w:sz w:val="22"/>
          <w:szCs w:val="22"/>
        </w:rPr>
      </w:pPr>
    </w:p>
    <w:p w:rsidR="00F13ABE" w:rsidRPr="005933FC" w:rsidP="005A3FC4" w14:paraId="0A46C937" w14:textId="6D03522D">
      <w:pPr>
        <w:contextualSpacing/>
        <w:rPr>
          <w:sz w:val="22"/>
          <w:szCs w:val="22"/>
        </w:rPr>
      </w:pPr>
      <w:r w:rsidRPr="005933FC">
        <w:rPr>
          <w:sz w:val="22"/>
          <w:szCs w:val="22"/>
        </w:rPr>
        <w:t>Remanente</w:t>
      </w:r>
      <w:r w:rsidRPr="005933FC">
        <w:rPr>
          <w:sz w:val="22"/>
          <w:szCs w:val="22"/>
        </w:rPr>
        <w:t xml:space="preserve"> Broadcasting Network</w:t>
      </w:r>
    </w:p>
    <w:p w:rsidR="006678CD" w:rsidRPr="005933FC" w:rsidP="005A3FC4" w14:paraId="234A8025" w14:textId="77777777">
      <w:pPr>
        <w:contextualSpacing/>
        <w:rPr>
          <w:sz w:val="22"/>
          <w:szCs w:val="22"/>
        </w:rPr>
      </w:pPr>
      <w:r w:rsidRPr="005933FC">
        <w:rPr>
          <w:sz w:val="22"/>
          <w:szCs w:val="22"/>
        </w:rPr>
        <w:t>c/o Mr. Dan J. Alpert, Esq.</w:t>
      </w:r>
    </w:p>
    <w:p w:rsidR="006678CD" w:rsidRPr="005933FC" w:rsidP="005A3FC4" w14:paraId="7C22C1FC" w14:textId="77777777">
      <w:pPr>
        <w:contextualSpacing/>
        <w:rPr>
          <w:sz w:val="22"/>
          <w:szCs w:val="22"/>
        </w:rPr>
      </w:pPr>
      <w:r w:rsidRPr="005933FC">
        <w:rPr>
          <w:sz w:val="22"/>
          <w:szCs w:val="22"/>
        </w:rPr>
        <w:t>2120 21st Rd. N</w:t>
      </w:r>
    </w:p>
    <w:p w:rsidR="006678CD" w:rsidRPr="005933FC" w:rsidP="005A3FC4" w14:paraId="5C78E9BD" w14:textId="77777777">
      <w:pPr>
        <w:contextualSpacing/>
        <w:rPr>
          <w:sz w:val="22"/>
          <w:szCs w:val="22"/>
        </w:rPr>
      </w:pPr>
      <w:r w:rsidRPr="005933FC">
        <w:rPr>
          <w:sz w:val="22"/>
          <w:szCs w:val="22"/>
        </w:rPr>
        <w:t xml:space="preserve">Arlington, VA 22201 </w:t>
      </w:r>
    </w:p>
    <w:p w:rsidR="006678CD" w:rsidRPr="005933FC" w:rsidP="005A3FC4" w14:paraId="25ABE7FB" w14:textId="77777777">
      <w:pPr>
        <w:contextualSpacing/>
        <w:rPr>
          <w:sz w:val="22"/>
          <w:szCs w:val="22"/>
        </w:rPr>
      </w:pPr>
      <w:r w:rsidRPr="005933FC">
        <w:rPr>
          <w:sz w:val="22"/>
          <w:szCs w:val="22"/>
        </w:rPr>
        <w:t xml:space="preserve">(sent by electronic mail to: </w:t>
      </w:r>
      <w:hyperlink r:id="rId7" w:history="1">
        <w:r w:rsidRPr="005933FC">
          <w:rPr>
            <w:rStyle w:val="Hyperlink"/>
            <w:sz w:val="22"/>
            <w:szCs w:val="22"/>
          </w:rPr>
          <w:t>DJA@COMMLAW.TV</w:t>
        </w:r>
      </w:hyperlink>
      <w:r w:rsidRPr="005933FC">
        <w:rPr>
          <w:sz w:val="22"/>
          <w:szCs w:val="22"/>
        </w:rPr>
        <w:t>)</w:t>
      </w:r>
    </w:p>
    <w:p w:rsidR="00505E39" w:rsidRPr="005933FC" w:rsidP="005A3FC4" w14:paraId="5557184A" w14:textId="094BB59D">
      <w:pPr>
        <w:contextualSpacing/>
        <w:rPr>
          <w:sz w:val="22"/>
          <w:szCs w:val="22"/>
        </w:rPr>
      </w:pPr>
    </w:p>
    <w:p w:rsidR="00162529" w:rsidRPr="005933FC" w:rsidP="005A3FC4" w14:paraId="332C5F07" w14:textId="77777777">
      <w:pPr>
        <w:contextualSpacing/>
        <w:rPr>
          <w:sz w:val="22"/>
          <w:szCs w:val="22"/>
        </w:rPr>
      </w:pPr>
      <w:r w:rsidRPr="005933FC">
        <w:rPr>
          <w:sz w:val="22"/>
          <w:szCs w:val="22"/>
        </w:rPr>
        <w:t>Teleamerica</w:t>
      </w:r>
      <w:r w:rsidRPr="005933FC">
        <w:rPr>
          <w:sz w:val="22"/>
          <w:szCs w:val="22"/>
        </w:rPr>
        <w:t xml:space="preserve"> Communications West </w:t>
      </w:r>
    </w:p>
    <w:p w:rsidR="00162529" w:rsidRPr="005933FC" w:rsidP="005A3FC4" w14:paraId="2293860C" w14:textId="4CD0D22A">
      <w:pPr>
        <w:contextualSpacing/>
        <w:rPr>
          <w:sz w:val="22"/>
          <w:szCs w:val="22"/>
        </w:rPr>
      </w:pPr>
      <w:r w:rsidRPr="005933FC">
        <w:rPr>
          <w:sz w:val="22"/>
          <w:szCs w:val="22"/>
        </w:rPr>
        <w:t>Palm Beach Corp.</w:t>
      </w:r>
    </w:p>
    <w:p w:rsidR="00162529" w:rsidRPr="00476AF3" w:rsidP="005A3FC4" w14:paraId="75835823" w14:textId="77777777">
      <w:pPr>
        <w:contextualSpacing/>
        <w:rPr>
          <w:sz w:val="22"/>
          <w:szCs w:val="22"/>
          <w:lang w:val="es-ES"/>
        </w:rPr>
      </w:pPr>
      <w:r w:rsidRPr="00476AF3">
        <w:rPr>
          <w:sz w:val="22"/>
          <w:szCs w:val="22"/>
          <w:lang w:val="es-ES"/>
        </w:rPr>
        <w:t>c/o Mr. Dan J. Alpert, Esq.</w:t>
      </w:r>
    </w:p>
    <w:p w:rsidR="00162529" w:rsidRPr="005933FC" w:rsidP="005A3FC4" w14:paraId="4AD91BCB" w14:textId="77777777">
      <w:pPr>
        <w:contextualSpacing/>
        <w:rPr>
          <w:sz w:val="22"/>
          <w:szCs w:val="22"/>
        </w:rPr>
      </w:pPr>
      <w:r w:rsidRPr="005933FC">
        <w:rPr>
          <w:sz w:val="22"/>
          <w:szCs w:val="22"/>
        </w:rPr>
        <w:t>2120 21st Rd. N</w:t>
      </w:r>
    </w:p>
    <w:p w:rsidR="00162529" w:rsidRPr="005933FC" w:rsidP="005A3FC4" w14:paraId="060C15F0" w14:textId="77777777">
      <w:pPr>
        <w:contextualSpacing/>
        <w:rPr>
          <w:sz w:val="22"/>
          <w:szCs w:val="22"/>
        </w:rPr>
      </w:pPr>
      <w:r w:rsidRPr="005933FC">
        <w:rPr>
          <w:sz w:val="22"/>
          <w:szCs w:val="22"/>
        </w:rPr>
        <w:t xml:space="preserve">Arlington, VA 22201 </w:t>
      </w:r>
    </w:p>
    <w:p w:rsidR="00162529" w:rsidRPr="005933FC" w:rsidP="005A3FC4" w14:paraId="021B8548" w14:textId="18B24DD7">
      <w:pPr>
        <w:contextualSpacing/>
        <w:rPr>
          <w:sz w:val="22"/>
          <w:szCs w:val="22"/>
        </w:rPr>
      </w:pPr>
      <w:r w:rsidRPr="005933FC">
        <w:rPr>
          <w:sz w:val="22"/>
          <w:szCs w:val="22"/>
        </w:rPr>
        <w:t xml:space="preserve">(sent by electronic mail to: </w:t>
      </w:r>
      <w:hyperlink r:id="rId7" w:history="1">
        <w:r w:rsidRPr="005933FC">
          <w:rPr>
            <w:rStyle w:val="Hyperlink"/>
            <w:sz w:val="22"/>
            <w:szCs w:val="22"/>
          </w:rPr>
          <w:t>DJA@COMMLAW.TV</w:t>
        </w:r>
      </w:hyperlink>
      <w:r w:rsidRPr="005933FC">
        <w:rPr>
          <w:sz w:val="22"/>
          <w:szCs w:val="22"/>
        </w:rPr>
        <w:t>)</w:t>
      </w:r>
    </w:p>
    <w:p w:rsidR="00162529" w:rsidRPr="005933FC" w:rsidP="005A3FC4" w14:paraId="715BE04C" w14:textId="77777777">
      <w:pPr>
        <w:contextualSpacing/>
        <w:rPr>
          <w:sz w:val="22"/>
          <w:szCs w:val="22"/>
        </w:rPr>
      </w:pPr>
    </w:p>
    <w:p w:rsidR="00505E39" w:rsidRPr="005933FC" w:rsidP="005A3FC4" w14:paraId="3882FCA3" w14:textId="40F2181A">
      <w:pPr>
        <w:contextualSpacing/>
        <w:rPr>
          <w:sz w:val="22"/>
          <w:szCs w:val="22"/>
        </w:rPr>
      </w:pPr>
      <w:r w:rsidRPr="005933FC">
        <w:rPr>
          <w:sz w:val="22"/>
          <w:szCs w:val="22"/>
        </w:rPr>
        <w:t xml:space="preserve">Radio Vision </w:t>
      </w:r>
    </w:p>
    <w:p w:rsidR="00505E39" w:rsidRPr="005933FC" w:rsidP="005A3FC4" w14:paraId="1467B5BC" w14:textId="77777777">
      <w:pPr>
        <w:contextualSpacing/>
        <w:rPr>
          <w:sz w:val="22"/>
          <w:szCs w:val="22"/>
        </w:rPr>
      </w:pPr>
      <w:r w:rsidRPr="005933FC">
        <w:rPr>
          <w:sz w:val="22"/>
          <w:szCs w:val="22"/>
        </w:rPr>
        <w:t>c/o Mr. Dan J. Alpert, Esq.</w:t>
      </w:r>
    </w:p>
    <w:p w:rsidR="00505E39" w:rsidRPr="005933FC" w:rsidP="005A3FC4" w14:paraId="2CA42CA9" w14:textId="77777777">
      <w:pPr>
        <w:contextualSpacing/>
        <w:rPr>
          <w:sz w:val="22"/>
          <w:szCs w:val="22"/>
        </w:rPr>
      </w:pPr>
      <w:r w:rsidRPr="005933FC">
        <w:rPr>
          <w:sz w:val="22"/>
          <w:szCs w:val="22"/>
        </w:rPr>
        <w:t>2120 21st Rd. N</w:t>
      </w:r>
    </w:p>
    <w:p w:rsidR="00505E39" w:rsidRPr="005933FC" w:rsidP="005A3FC4" w14:paraId="31522603" w14:textId="77777777">
      <w:pPr>
        <w:contextualSpacing/>
        <w:rPr>
          <w:sz w:val="22"/>
          <w:szCs w:val="22"/>
        </w:rPr>
      </w:pPr>
      <w:r w:rsidRPr="005933FC">
        <w:rPr>
          <w:sz w:val="22"/>
          <w:szCs w:val="22"/>
        </w:rPr>
        <w:t xml:space="preserve">Arlington, VA 22201 </w:t>
      </w:r>
    </w:p>
    <w:p w:rsidR="00505E39" w:rsidRPr="005933FC" w:rsidP="005A3FC4" w14:paraId="37891A08" w14:textId="77777777">
      <w:pPr>
        <w:contextualSpacing/>
        <w:rPr>
          <w:sz w:val="22"/>
          <w:szCs w:val="22"/>
        </w:rPr>
      </w:pPr>
      <w:r w:rsidRPr="005933FC">
        <w:rPr>
          <w:sz w:val="22"/>
          <w:szCs w:val="22"/>
        </w:rPr>
        <w:t xml:space="preserve">(sent by electronic mail to: </w:t>
      </w:r>
      <w:hyperlink r:id="rId7" w:history="1">
        <w:r w:rsidRPr="005933FC">
          <w:rPr>
            <w:rStyle w:val="Hyperlink"/>
            <w:sz w:val="22"/>
            <w:szCs w:val="22"/>
          </w:rPr>
          <w:t>DJA@COMMLAW.TV</w:t>
        </w:r>
      </w:hyperlink>
      <w:r w:rsidRPr="005933FC">
        <w:rPr>
          <w:sz w:val="22"/>
          <w:szCs w:val="22"/>
        </w:rPr>
        <w:t>)</w:t>
      </w:r>
    </w:p>
    <w:p w:rsidR="00505E39" w:rsidRPr="005933FC" w:rsidP="005A3FC4" w14:paraId="4061AD4D" w14:textId="21B86FB0">
      <w:pPr>
        <w:contextualSpacing/>
        <w:rPr>
          <w:sz w:val="22"/>
          <w:szCs w:val="22"/>
        </w:rPr>
      </w:pPr>
    </w:p>
    <w:p w:rsidR="00340FD6" w:rsidRPr="005933FC" w:rsidP="005A3FC4" w14:paraId="3A36FCF5" w14:textId="77777777">
      <w:pPr>
        <w:ind w:left="4320" w:firstLine="720"/>
        <w:contextualSpacing/>
        <w:rPr>
          <w:sz w:val="22"/>
          <w:szCs w:val="22"/>
        </w:rPr>
      </w:pPr>
      <w:bookmarkStart w:id="0" w:name="_Hlk11270368"/>
    </w:p>
    <w:p w:rsidR="00340FD6" w:rsidRPr="005933FC" w:rsidP="005A3FC4" w14:paraId="6A93253C" w14:textId="24DEB3D1">
      <w:pPr>
        <w:ind w:left="5760" w:hanging="720"/>
        <w:contextualSpacing/>
        <w:rPr>
          <w:b/>
          <w:bCs/>
          <w:sz w:val="22"/>
          <w:szCs w:val="22"/>
        </w:rPr>
      </w:pPr>
      <w:r w:rsidRPr="005933FC">
        <w:rPr>
          <w:sz w:val="22"/>
          <w:szCs w:val="22"/>
        </w:rPr>
        <w:t>In re:</w:t>
      </w:r>
      <w:r w:rsidRPr="005933FC">
        <w:rPr>
          <w:sz w:val="22"/>
          <w:szCs w:val="22"/>
        </w:rPr>
        <w:tab/>
      </w:r>
      <w:r w:rsidRPr="005933FC" w:rsidR="000B16B0">
        <w:rPr>
          <w:b/>
          <w:bCs/>
          <w:sz w:val="22"/>
          <w:szCs w:val="22"/>
        </w:rPr>
        <w:t xml:space="preserve">NCE MX Group </w:t>
      </w:r>
      <w:r w:rsidRPr="005933FC" w:rsidR="00961442">
        <w:rPr>
          <w:b/>
          <w:bCs/>
          <w:sz w:val="22"/>
          <w:szCs w:val="22"/>
        </w:rPr>
        <w:t>39</w:t>
      </w:r>
    </w:p>
    <w:p w:rsidR="000B16B0" w:rsidRPr="005933FC" w:rsidP="005A3FC4" w14:paraId="68A3E3FF" w14:textId="726EA5D2">
      <w:pPr>
        <w:ind w:left="5760" w:hanging="720"/>
        <w:contextualSpacing/>
        <w:rPr>
          <w:b/>
          <w:bCs/>
          <w:sz w:val="22"/>
          <w:szCs w:val="22"/>
        </w:rPr>
      </w:pPr>
    </w:p>
    <w:p w:rsidR="000B16B0" w:rsidRPr="005933FC" w:rsidP="005A3FC4" w14:paraId="19DC509E" w14:textId="7356EDCF">
      <w:pPr>
        <w:ind w:left="5760" w:hanging="720"/>
        <w:contextualSpacing/>
        <w:rPr>
          <w:sz w:val="22"/>
          <w:szCs w:val="22"/>
        </w:rPr>
      </w:pPr>
      <w:r w:rsidRPr="005933FC">
        <w:rPr>
          <w:b/>
          <w:bCs/>
          <w:sz w:val="22"/>
          <w:szCs w:val="22"/>
        </w:rPr>
        <w:tab/>
      </w:r>
      <w:r w:rsidRPr="005933FC" w:rsidR="00961442">
        <w:rPr>
          <w:b/>
          <w:bCs/>
          <w:sz w:val="22"/>
          <w:szCs w:val="22"/>
        </w:rPr>
        <w:t>Remanente</w:t>
      </w:r>
      <w:r w:rsidRPr="005933FC" w:rsidR="00961442">
        <w:rPr>
          <w:b/>
          <w:bCs/>
          <w:sz w:val="22"/>
          <w:szCs w:val="22"/>
        </w:rPr>
        <w:t xml:space="preserve"> Broadcasting Network</w:t>
      </w:r>
    </w:p>
    <w:p w:rsidR="007A13DE" w:rsidRPr="005933FC" w:rsidP="005A3FC4" w14:paraId="0F37C33D" w14:textId="2E4C7496">
      <w:pPr>
        <w:ind w:left="5040" w:firstLine="720"/>
        <w:contextualSpacing/>
        <w:rPr>
          <w:sz w:val="22"/>
          <w:szCs w:val="22"/>
        </w:rPr>
      </w:pPr>
      <w:r w:rsidRPr="005933FC">
        <w:rPr>
          <w:sz w:val="22"/>
          <w:szCs w:val="22"/>
        </w:rPr>
        <w:t xml:space="preserve">New NCE, </w:t>
      </w:r>
      <w:r w:rsidRPr="005933FC" w:rsidR="00FE2ED3">
        <w:rPr>
          <w:sz w:val="22"/>
          <w:szCs w:val="22"/>
        </w:rPr>
        <w:t>Firebaugh, California</w:t>
      </w:r>
    </w:p>
    <w:p w:rsidR="007A13DE" w:rsidRPr="005933FC" w:rsidP="005A3FC4" w14:paraId="6949BD8B" w14:textId="31A225C2">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 xml:space="preserve">Facility ID No. </w:t>
      </w:r>
      <w:r w:rsidRPr="005933FC" w:rsidR="00A10A5B">
        <w:rPr>
          <w:sz w:val="22"/>
          <w:szCs w:val="22"/>
        </w:rPr>
        <w:t>766049</w:t>
      </w:r>
    </w:p>
    <w:p w:rsidR="007A13DE" w:rsidRPr="005933FC" w:rsidP="005A3FC4" w14:paraId="4CF97B26" w14:textId="4C2ED731">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File No. 0000</w:t>
      </w:r>
      <w:r w:rsidRPr="005933FC" w:rsidR="0084640C">
        <w:rPr>
          <w:sz w:val="22"/>
          <w:szCs w:val="22"/>
        </w:rPr>
        <w:t>167143</w:t>
      </w:r>
    </w:p>
    <w:p w:rsidR="007A13DE" w:rsidRPr="005933FC" w:rsidP="005A3FC4" w14:paraId="67C86E2E" w14:textId="157BD51F">
      <w:pPr>
        <w:ind w:left="5040" w:firstLine="720"/>
        <w:contextualSpacing/>
        <w:rPr>
          <w:sz w:val="22"/>
          <w:szCs w:val="22"/>
        </w:rPr>
      </w:pPr>
    </w:p>
    <w:p w:rsidR="000C4153" w:rsidRPr="005933FC" w:rsidP="005A3FC4" w14:paraId="34147568" w14:textId="77777777">
      <w:pPr>
        <w:ind w:left="5760"/>
        <w:contextualSpacing/>
        <w:rPr>
          <w:b/>
          <w:bCs/>
          <w:sz w:val="22"/>
          <w:szCs w:val="22"/>
        </w:rPr>
      </w:pPr>
      <w:r w:rsidRPr="005933FC">
        <w:rPr>
          <w:b/>
          <w:bCs/>
          <w:sz w:val="22"/>
          <w:szCs w:val="22"/>
        </w:rPr>
        <w:t>Teleamerica</w:t>
      </w:r>
      <w:r w:rsidRPr="005933FC">
        <w:rPr>
          <w:b/>
          <w:bCs/>
          <w:sz w:val="22"/>
          <w:szCs w:val="22"/>
        </w:rPr>
        <w:t xml:space="preserve"> Communications West </w:t>
      </w:r>
    </w:p>
    <w:p w:rsidR="000B57E2" w:rsidRPr="005933FC" w:rsidP="005A3FC4" w14:paraId="4AABCD85" w14:textId="0FE8F39F">
      <w:pPr>
        <w:ind w:left="5760"/>
        <w:contextualSpacing/>
        <w:rPr>
          <w:b/>
          <w:bCs/>
          <w:sz w:val="22"/>
          <w:szCs w:val="22"/>
        </w:rPr>
      </w:pPr>
      <w:r w:rsidRPr="005933FC">
        <w:rPr>
          <w:b/>
          <w:bCs/>
          <w:sz w:val="22"/>
          <w:szCs w:val="22"/>
        </w:rPr>
        <w:t>Palm Beach Corp.</w:t>
      </w:r>
    </w:p>
    <w:p w:rsidR="000B57E2" w:rsidRPr="005933FC" w:rsidP="005A3FC4" w14:paraId="32A22A76" w14:textId="4B69BA38">
      <w:pPr>
        <w:ind w:left="5040" w:firstLine="720"/>
        <w:contextualSpacing/>
        <w:rPr>
          <w:sz w:val="22"/>
          <w:szCs w:val="22"/>
        </w:rPr>
      </w:pPr>
      <w:r w:rsidRPr="005933FC">
        <w:rPr>
          <w:sz w:val="22"/>
          <w:szCs w:val="22"/>
        </w:rPr>
        <w:t xml:space="preserve">New NCE, </w:t>
      </w:r>
      <w:r w:rsidRPr="005933FC" w:rsidR="0001170D">
        <w:rPr>
          <w:sz w:val="22"/>
          <w:szCs w:val="22"/>
        </w:rPr>
        <w:t xml:space="preserve">Los </w:t>
      </w:r>
      <w:r w:rsidRPr="005933FC" w:rsidR="0001170D">
        <w:rPr>
          <w:sz w:val="22"/>
          <w:szCs w:val="22"/>
        </w:rPr>
        <w:t>Banos</w:t>
      </w:r>
      <w:r w:rsidRPr="005933FC" w:rsidR="0001170D">
        <w:rPr>
          <w:sz w:val="22"/>
          <w:szCs w:val="22"/>
        </w:rPr>
        <w:t xml:space="preserve">, California </w:t>
      </w:r>
    </w:p>
    <w:p w:rsidR="00340FD6" w:rsidRPr="005933FC" w:rsidP="005A3FC4" w14:paraId="3100A288" w14:textId="4A21963D">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 xml:space="preserve">Facility ID No. </w:t>
      </w:r>
      <w:r w:rsidRPr="005933FC" w:rsidR="00013B77">
        <w:rPr>
          <w:sz w:val="22"/>
          <w:szCs w:val="22"/>
        </w:rPr>
        <w:t>768217</w:t>
      </w:r>
    </w:p>
    <w:p w:rsidR="00340FD6" w:rsidRPr="005933FC" w:rsidP="005A3FC4" w14:paraId="0067FC60" w14:textId="1BFD4926">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 xml:space="preserve">File No. </w:t>
      </w:r>
      <w:r w:rsidRPr="005933FC" w:rsidR="00013B77">
        <w:rPr>
          <w:sz w:val="22"/>
          <w:szCs w:val="22"/>
        </w:rPr>
        <w:t>0000167476</w:t>
      </w:r>
    </w:p>
    <w:p w:rsidR="00FF43E8" w:rsidRPr="005933FC" w:rsidP="005A3FC4" w14:paraId="3B62F661" w14:textId="5E92C3A0">
      <w:pPr>
        <w:contextualSpacing/>
        <w:rPr>
          <w:sz w:val="22"/>
          <w:szCs w:val="22"/>
        </w:rPr>
      </w:pPr>
    </w:p>
    <w:p w:rsidR="00FF43E8" w:rsidRPr="005933FC" w:rsidP="005A3FC4" w14:paraId="45C3A506" w14:textId="0AEE8271">
      <w:pPr>
        <w:ind w:left="5040" w:firstLine="720"/>
        <w:contextualSpacing/>
        <w:rPr>
          <w:sz w:val="22"/>
          <w:szCs w:val="22"/>
        </w:rPr>
      </w:pPr>
      <w:r w:rsidRPr="005933FC">
        <w:rPr>
          <w:b/>
          <w:bCs/>
          <w:sz w:val="22"/>
          <w:szCs w:val="22"/>
        </w:rPr>
        <w:t>Modesto Independent Media</w:t>
      </w:r>
      <w:r w:rsidRPr="005933FC">
        <w:rPr>
          <w:sz w:val="22"/>
          <w:szCs w:val="22"/>
        </w:rPr>
        <w:tab/>
      </w:r>
      <w:r w:rsidRPr="005933FC">
        <w:rPr>
          <w:sz w:val="22"/>
          <w:szCs w:val="22"/>
        </w:rPr>
        <w:tab/>
      </w:r>
      <w:r w:rsidRPr="005933FC">
        <w:rPr>
          <w:sz w:val="22"/>
          <w:szCs w:val="22"/>
        </w:rPr>
        <w:tab/>
        <w:t xml:space="preserve">New NCE, </w:t>
      </w:r>
      <w:r w:rsidRPr="005933FC" w:rsidR="00E979B2">
        <w:rPr>
          <w:sz w:val="22"/>
          <w:szCs w:val="22"/>
        </w:rPr>
        <w:t xml:space="preserve">Los </w:t>
      </w:r>
      <w:r w:rsidRPr="005933FC" w:rsidR="00E979B2">
        <w:rPr>
          <w:sz w:val="22"/>
          <w:szCs w:val="22"/>
        </w:rPr>
        <w:t>Banos</w:t>
      </w:r>
      <w:r w:rsidRPr="005933FC" w:rsidR="00E979B2">
        <w:rPr>
          <w:sz w:val="22"/>
          <w:szCs w:val="22"/>
        </w:rPr>
        <w:t>, California</w:t>
      </w:r>
    </w:p>
    <w:p w:rsidR="00FF43E8" w:rsidRPr="005933FC" w:rsidP="005A3FC4" w14:paraId="7D9EA0FB" w14:textId="22581FDE">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 xml:space="preserve">Facility ID No. </w:t>
      </w:r>
      <w:r w:rsidRPr="005933FC" w:rsidR="00E979B2">
        <w:rPr>
          <w:sz w:val="22"/>
          <w:szCs w:val="22"/>
        </w:rPr>
        <w:t>768404</w:t>
      </w:r>
    </w:p>
    <w:p w:rsidR="00FF43E8" w:rsidRPr="005933FC" w:rsidP="005A3FC4" w14:paraId="4992BA2A" w14:textId="132F70FD">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File No. 0000</w:t>
      </w:r>
      <w:r w:rsidRPr="005933FC" w:rsidR="007D7AEF">
        <w:rPr>
          <w:sz w:val="22"/>
          <w:szCs w:val="22"/>
        </w:rPr>
        <w:t>167222</w:t>
      </w:r>
    </w:p>
    <w:p w:rsidR="00961442" w:rsidRPr="005933FC" w:rsidP="005A3FC4" w14:paraId="7EC6920E" w14:textId="22DE24CA">
      <w:pPr>
        <w:contextualSpacing/>
        <w:rPr>
          <w:sz w:val="22"/>
          <w:szCs w:val="22"/>
        </w:rPr>
      </w:pPr>
    </w:p>
    <w:p w:rsidR="001023B6" w:rsidRPr="005933FC" w:rsidP="005A3FC4" w14:paraId="45B5966A" w14:textId="77777777">
      <w:pPr>
        <w:ind w:left="5760"/>
        <w:contextualSpacing/>
        <w:rPr>
          <w:b/>
          <w:bCs/>
          <w:sz w:val="22"/>
          <w:szCs w:val="22"/>
        </w:rPr>
      </w:pPr>
      <w:r w:rsidRPr="005933FC">
        <w:rPr>
          <w:b/>
          <w:bCs/>
          <w:sz w:val="22"/>
          <w:szCs w:val="22"/>
        </w:rPr>
        <w:t>The Association for Community Education, Inc.</w:t>
      </w:r>
    </w:p>
    <w:p w:rsidR="00961442" w:rsidRPr="00476AF3" w:rsidP="005A3FC4" w14:paraId="1A0509A9" w14:textId="0081CF43">
      <w:pPr>
        <w:ind w:left="5040" w:firstLine="720"/>
        <w:contextualSpacing/>
        <w:rPr>
          <w:sz w:val="22"/>
          <w:szCs w:val="22"/>
          <w:lang w:val="es-ES"/>
        </w:rPr>
      </w:pPr>
      <w:r w:rsidRPr="00476AF3">
        <w:rPr>
          <w:sz w:val="22"/>
          <w:szCs w:val="22"/>
          <w:lang w:val="es-ES"/>
        </w:rPr>
        <w:t xml:space="preserve">New NCE, </w:t>
      </w:r>
      <w:r w:rsidRPr="00476AF3" w:rsidR="00346A7F">
        <w:rPr>
          <w:sz w:val="22"/>
          <w:szCs w:val="22"/>
          <w:lang w:val="es-ES"/>
        </w:rPr>
        <w:t xml:space="preserve">Los </w:t>
      </w:r>
      <w:r w:rsidRPr="00476AF3" w:rsidR="00346A7F">
        <w:rPr>
          <w:sz w:val="22"/>
          <w:szCs w:val="22"/>
          <w:lang w:val="es-ES"/>
        </w:rPr>
        <w:t>Banos</w:t>
      </w:r>
      <w:r w:rsidRPr="00476AF3" w:rsidR="00346A7F">
        <w:rPr>
          <w:sz w:val="22"/>
          <w:szCs w:val="22"/>
          <w:lang w:val="es-ES"/>
        </w:rPr>
        <w:t>, California</w:t>
      </w:r>
    </w:p>
    <w:p w:rsidR="00961442" w:rsidRPr="00476AF3" w:rsidP="005A3FC4" w14:paraId="4E5069FE" w14:textId="46063253">
      <w:pPr>
        <w:contextualSpacing/>
        <w:rPr>
          <w:sz w:val="22"/>
          <w:szCs w:val="22"/>
          <w:lang w:val="es-ES"/>
        </w:rPr>
      </w:pP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Facility</w:t>
      </w:r>
      <w:r w:rsidRPr="00476AF3">
        <w:rPr>
          <w:sz w:val="22"/>
          <w:szCs w:val="22"/>
          <w:lang w:val="es-ES"/>
        </w:rPr>
        <w:t xml:space="preserve"> ID No. </w:t>
      </w:r>
      <w:r w:rsidRPr="00476AF3" w:rsidR="009F7EE4">
        <w:rPr>
          <w:sz w:val="22"/>
          <w:szCs w:val="22"/>
          <w:lang w:val="es-ES"/>
        </w:rPr>
        <w:t>767322</w:t>
      </w:r>
    </w:p>
    <w:p w:rsidR="00961442" w:rsidRPr="005933FC" w:rsidP="005A3FC4" w14:paraId="7DFF07B1" w14:textId="7F4BE985">
      <w:pPr>
        <w:contextualSpacing/>
        <w:rPr>
          <w:sz w:val="22"/>
          <w:szCs w:val="22"/>
        </w:rPr>
      </w:pP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476AF3">
        <w:rPr>
          <w:sz w:val="22"/>
          <w:szCs w:val="22"/>
          <w:lang w:val="es-ES"/>
        </w:rPr>
        <w:tab/>
      </w:r>
      <w:r w:rsidRPr="005933FC">
        <w:rPr>
          <w:sz w:val="22"/>
          <w:szCs w:val="22"/>
        </w:rPr>
        <w:t xml:space="preserve">File No. </w:t>
      </w:r>
      <w:r w:rsidRPr="005933FC" w:rsidR="00346A7F">
        <w:rPr>
          <w:sz w:val="22"/>
          <w:szCs w:val="22"/>
        </w:rPr>
        <w:t>0000167017</w:t>
      </w:r>
    </w:p>
    <w:p w:rsidR="00961442" w:rsidRPr="005933FC" w:rsidP="005A3FC4" w14:paraId="3F361D0B" w14:textId="3BD70A03">
      <w:pPr>
        <w:contextualSpacing/>
        <w:rPr>
          <w:sz w:val="22"/>
          <w:szCs w:val="22"/>
        </w:rPr>
      </w:pPr>
    </w:p>
    <w:p w:rsidR="006923C7" w:rsidRPr="005933FC" w:rsidP="005A3FC4" w14:paraId="04156FA3" w14:textId="77777777">
      <w:pPr>
        <w:ind w:left="5040" w:firstLine="720"/>
        <w:contextualSpacing/>
        <w:rPr>
          <w:b/>
          <w:bCs/>
          <w:sz w:val="22"/>
          <w:szCs w:val="22"/>
        </w:rPr>
      </w:pPr>
      <w:r w:rsidRPr="005933FC">
        <w:rPr>
          <w:b/>
          <w:bCs/>
          <w:sz w:val="22"/>
          <w:szCs w:val="22"/>
        </w:rPr>
        <w:t xml:space="preserve">Radio Vision </w:t>
      </w:r>
    </w:p>
    <w:p w:rsidR="00961442" w:rsidRPr="005933FC" w:rsidP="005A3FC4" w14:paraId="1A5E0AF7" w14:textId="78540920">
      <w:pPr>
        <w:ind w:left="5040" w:firstLine="720"/>
        <w:contextualSpacing/>
        <w:rPr>
          <w:sz w:val="22"/>
          <w:szCs w:val="22"/>
        </w:rPr>
      </w:pPr>
      <w:r w:rsidRPr="005933FC">
        <w:rPr>
          <w:sz w:val="22"/>
          <w:szCs w:val="22"/>
        </w:rPr>
        <w:t xml:space="preserve">New NCE, </w:t>
      </w:r>
      <w:r w:rsidRPr="005933FC" w:rsidR="006923C7">
        <w:rPr>
          <w:sz w:val="22"/>
          <w:szCs w:val="22"/>
        </w:rPr>
        <w:t>Three Rocks, California</w:t>
      </w:r>
    </w:p>
    <w:p w:rsidR="00961442" w:rsidRPr="005933FC" w:rsidP="005A3FC4" w14:paraId="24D770BC" w14:textId="52C85F7B">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 xml:space="preserve">Facility ID No. </w:t>
      </w:r>
      <w:r w:rsidRPr="005933FC" w:rsidR="00327036">
        <w:rPr>
          <w:sz w:val="22"/>
          <w:szCs w:val="22"/>
        </w:rPr>
        <w:t>766536</w:t>
      </w:r>
    </w:p>
    <w:p w:rsidR="00961442" w:rsidRPr="005933FC" w:rsidP="005A3FC4" w14:paraId="780CAF50" w14:textId="00DCBBA4">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 xml:space="preserve">File No. </w:t>
      </w:r>
      <w:r w:rsidRPr="005933FC" w:rsidR="006923C7">
        <w:rPr>
          <w:sz w:val="22"/>
          <w:szCs w:val="22"/>
        </w:rPr>
        <w:t>0000167164</w:t>
      </w:r>
    </w:p>
    <w:p w:rsidR="00961442" w:rsidRPr="005933FC" w:rsidP="005A3FC4" w14:paraId="43A7E08B" w14:textId="77777777">
      <w:pPr>
        <w:contextualSpacing/>
        <w:rPr>
          <w:sz w:val="22"/>
          <w:szCs w:val="22"/>
        </w:rPr>
      </w:pPr>
    </w:p>
    <w:p w:rsidR="00340FD6" w:rsidRPr="005933FC" w:rsidP="005A3FC4" w14:paraId="10EC6AA5" w14:textId="7ABAF839">
      <w:pPr>
        <w:contextualSpacing/>
        <w:rPr>
          <w:b/>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sidR="00FF43E8">
        <w:rPr>
          <w:b/>
          <w:sz w:val="22"/>
          <w:szCs w:val="22"/>
        </w:rPr>
        <w:t>Petition to Deny</w:t>
      </w:r>
    </w:p>
    <w:bookmarkEnd w:id="0"/>
    <w:p w:rsidR="00340FD6" w:rsidRPr="005933FC" w:rsidP="002A4A78" w14:paraId="58C3E8E6" w14:textId="27274519">
      <w:pPr>
        <w:spacing w:after="120"/>
        <w:rPr>
          <w:sz w:val="22"/>
          <w:szCs w:val="22"/>
        </w:rPr>
      </w:pPr>
      <w:r>
        <w:rPr>
          <w:sz w:val="22"/>
          <w:szCs w:val="22"/>
        </w:rPr>
        <w:t xml:space="preserve"> </w:t>
      </w:r>
    </w:p>
    <w:p w:rsidR="00340FD6" w:rsidRPr="005933FC" w:rsidP="002A4A78" w14:paraId="6ECA98CB" w14:textId="47BA45A1">
      <w:pPr>
        <w:spacing w:after="120"/>
        <w:rPr>
          <w:sz w:val="22"/>
          <w:szCs w:val="22"/>
        </w:rPr>
      </w:pPr>
      <w:r w:rsidRPr="005933FC">
        <w:rPr>
          <w:sz w:val="22"/>
          <w:szCs w:val="22"/>
        </w:rPr>
        <w:t xml:space="preserve">Dear </w:t>
      </w:r>
      <w:r w:rsidRPr="005933FC" w:rsidR="00BE1324">
        <w:rPr>
          <w:sz w:val="22"/>
          <w:szCs w:val="22"/>
        </w:rPr>
        <w:t>Applicant</w:t>
      </w:r>
      <w:r w:rsidR="00C63984">
        <w:rPr>
          <w:sz w:val="22"/>
          <w:szCs w:val="22"/>
        </w:rPr>
        <w:t>s</w:t>
      </w:r>
      <w:r w:rsidRPr="005933FC" w:rsidR="00BE1324">
        <w:rPr>
          <w:sz w:val="22"/>
          <w:szCs w:val="22"/>
        </w:rPr>
        <w:t xml:space="preserve"> and Counsel</w:t>
      </w:r>
      <w:r w:rsidRPr="005933FC" w:rsidR="00DE4AC3">
        <w:rPr>
          <w:sz w:val="22"/>
          <w:szCs w:val="22"/>
        </w:rPr>
        <w:t>,</w:t>
      </w:r>
    </w:p>
    <w:p w:rsidR="00A62ED5" w:rsidRPr="005933FC" w:rsidP="002A4A78" w14:paraId="1C1BE78A" w14:textId="53BBA259">
      <w:pPr>
        <w:pStyle w:val="ParaNum"/>
        <w:widowControl/>
        <w:numPr>
          <w:ilvl w:val="0"/>
          <w:numId w:val="0"/>
        </w:numPr>
        <w:ind w:firstLine="720"/>
        <w:rPr>
          <w:szCs w:val="22"/>
        </w:rPr>
      </w:pPr>
      <w:r w:rsidRPr="005933FC">
        <w:rPr>
          <w:szCs w:val="22"/>
        </w:rPr>
        <w:t xml:space="preserve">We have before us </w:t>
      </w:r>
      <w:r w:rsidRPr="005933FC" w:rsidR="00961442">
        <w:rPr>
          <w:szCs w:val="22"/>
        </w:rPr>
        <w:t>five</w:t>
      </w:r>
      <w:r w:rsidRPr="005933FC" w:rsidR="00FF43E8">
        <w:rPr>
          <w:szCs w:val="22"/>
        </w:rPr>
        <w:t xml:space="preserve"> mutually exclusive applications </w:t>
      </w:r>
      <w:r w:rsidRPr="005933FC" w:rsidR="00F41A72">
        <w:rPr>
          <w:szCs w:val="22"/>
        </w:rPr>
        <w:t xml:space="preserve">filed by </w:t>
      </w:r>
      <w:r w:rsidRPr="005933FC" w:rsidR="00FB4BF3">
        <w:rPr>
          <w:szCs w:val="22"/>
        </w:rPr>
        <w:t>Remanente</w:t>
      </w:r>
      <w:r w:rsidRPr="005933FC" w:rsidR="00FB4BF3">
        <w:rPr>
          <w:szCs w:val="22"/>
        </w:rPr>
        <w:t xml:space="preserve"> Broadcasting </w:t>
      </w:r>
      <w:r w:rsidRPr="005933FC" w:rsidR="00BB040A">
        <w:rPr>
          <w:szCs w:val="22"/>
        </w:rPr>
        <w:t>Network</w:t>
      </w:r>
      <w:r w:rsidRPr="005933FC" w:rsidR="00F41A72">
        <w:rPr>
          <w:szCs w:val="22"/>
        </w:rPr>
        <w:t xml:space="preserve"> (</w:t>
      </w:r>
      <w:r w:rsidRPr="005933FC" w:rsidR="00FB4BF3">
        <w:rPr>
          <w:szCs w:val="22"/>
        </w:rPr>
        <w:t>RBN</w:t>
      </w:r>
      <w:r w:rsidRPr="005933FC" w:rsidR="00F41A72">
        <w:rPr>
          <w:szCs w:val="22"/>
        </w:rPr>
        <w:t xml:space="preserve">), </w:t>
      </w:r>
      <w:r w:rsidRPr="005933FC" w:rsidR="00FB4BF3">
        <w:rPr>
          <w:szCs w:val="22"/>
        </w:rPr>
        <w:t>Teleamerica</w:t>
      </w:r>
      <w:r w:rsidRPr="005933FC" w:rsidR="00FB4BF3">
        <w:rPr>
          <w:szCs w:val="22"/>
        </w:rPr>
        <w:t xml:space="preserve"> Communications West Palm Beach Corp.</w:t>
      </w:r>
      <w:r w:rsidRPr="005933FC" w:rsidR="00F41A72">
        <w:rPr>
          <w:szCs w:val="22"/>
        </w:rPr>
        <w:t xml:space="preserve"> (</w:t>
      </w:r>
      <w:r w:rsidRPr="005933FC" w:rsidR="00FB4BF3">
        <w:rPr>
          <w:szCs w:val="22"/>
        </w:rPr>
        <w:t>TCW</w:t>
      </w:r>
      <w:r w:rsidRPr="005933FC" w:rsidR="00F41A72">
        <w:rPr>
          <w:szCs w:val="22"/>
        </w:rPr>
        <w:t>)</w:t>
      </w:r>
      <w:r w:rsidRPr="005933FC" w:rsidR="005512FE">
        <w:rPr>
          <w:szCs w:val="22"/>
        </w:rPr>
        <w:t>,</w:t>
      </w:r>
      <w:r w:rsidRPr="005933FC" w:rsidR="00F41A72">
        <w:rPr>
          <w:szCs w:val="22"/>
        </w:rPr>
        <w:t xml:space="preserve"> </w:t>
      </w:r>
      <w:r w:rsidRPr="005933FC" w:rsidR="00FB4BF3">
        <w:rPr>
          <w:szCs w:val="22"/>
        </w:rPr>
        <w:t>Modesto Independent Media (MIM), Association for Community Education, Inc. (ACE), and Radio Vision (RV)</w:t>
      </w:r>
      <w:r w:rsidRPr="005933FC" w:rsidR="00F41A72">
        <w:rPr>
          <w:szCs w:val="22"/>
        </w:rPr>
        <w:t xml:space="preserve"> </w:t>
      </w:r>
      <w:r w:rsidRPr="005933FC" w:rsidR="00FF43E8">
        <w:rPr>
          <w:szCs w:val="22"/>
        </w:rPr>
        <w:t>for construction permits for new noncommercial educational (NCE) FM stations</w:t>
      </w:r>
      <w:r w:rsidRPr="005933FC" w:rsidR="00AF7A03">
        <w:rPr>
          <w:szCs w:val="22"/>
        </w:rPr>
        <w:t xml:space="preserve"> in various communities in </w:t>
      </w:r>
      <w:r w:rsidRPr="005933FC" w:rsidR="00FB4BF3">
        <w:rPr>
          <w:szCs w:val="22"/>
        </w:rPr>
        <w:t>California</w:t>
      </w:r>
      <w:r w:rsidRPr="005933FC" w:rsidR="0061778B">
        <w:rPr>
          <w:szCs w:val="22"/>
        </w:rPr>
        <w:t>,</w:t>
      </w:r>
      <w:r w:rsidRPr="005933FC" w:rsidR="00AF7A03">
        <w:rPr>
          <w:szCs w:val="22"/>
        </w:rPr>
        <w:t xml:space="preserve"> </w:t>
      </w:r>
      <w:r w:rsidRPr="005933FC" w:rsidR="00FF43E8">
        <w:rPr>
          <w:szCs w:val="22"/>
        </w:rPr>
        <w:t xml:space="preserve">which the Media Bureau </w:t>
      </w:r>
      <w:r w:rsidRPr="005933FC" w:rsidR="0061778B">
        <w:rPr>
          <w:szCs w:val="22"/>
        </w:rPr>
        <w:t xml:space="preserve">(Bureau) </w:t>
      </w:r>
      <w:r w:rsidRPr="005933FC" w:rsidR="00FF43E8">
        <w:rPr>
          <w:szCs w:val="22"/>
        </w:rPr>
        <w:t xml:space="preserve">designated as NCE MX Group </w:t>
      </w:r>
      <w:r w:rsidRPr="005933FC" w:rsidR="00FB4BF3">
        <w:rPr>
          <w:szCs w:val="22"/>
        </w:rPr>
        <w:t>39</w:t>
      </w:r>
      <w:r w:rsidRPr="005933FC" w:rsidR="00FF43E8">
        <w:rPr>
          <w:szCs w:val="22"/>
        </w:rPr>
        <w:t>.</w:t>
      </w:r>
      <w:r>
        <w:rPr>
          <w:rStyle w:val="FootnoteReference"/>
          <w:sz w:val="22"/>
          <w:szCs w:val="22"/>
        </w:rPr>
        <w:footnoteReference w:id="2"/>
      </w:r>
      <w:r w:rsidRPr="005933FC" w:rsidR="00FF43E8">
        <w:rPr>
          <w:szCs w:val="22"/>
        </w:rPr>
        <w:t xml:space="preserve">  The Bureau identified the </w:t>
      </w:r>
      <w:r w:rsidRPr="005933FC" w:rsidR="00FB4BF3">
        <w:rPr>
          <w:szCs w:val="22"/>
        </w:rPr>
        <w:t>MIM</w:t>
      </w:r>
      <w:r w:rsidRPr="005933FC" w:rsidR="00F41A72">
        <w:rPr>
          <w:szCs w:val="22"/>
        </w:rPr>
        <w:t xml:space="preserve"> Application</w:t>
      </w:r>
      <w:r w:rsidRPr="005933FC" w:rsidR="00FF43E8">
        <w:rPr>
          <w:szCs w:val="22"/>
        </w:rPr>
        <w:t xml:space="preserve"> as the tentative selectee of the group.</w:t>
      </w:r>
      <w:r>
        <w:rPr>
          <w:rStyle w:val="FootnoteReference"/>
          <w:sz w:val="22"/>
          <w:szCs w:val="22"/>
        </w:rPr>
        <w:footnoteReference w:id="3"/>
      </w:r>
      <w:r w:rsidRPr="005933FC" w:rsidR="00FF43E8">
        <w:rPr>
          <w:szCs w:val="22"/>
        </w:rPr>
        <w:t xml:space="preserve">  We also have before us the Petition to Deny </w:t>
      </w:r>
      <w:r w:rsidRPr="005933FC" w:rsidR="00825FE6">
        <w:rPr>
          <w:szCs w:val="22"/>
        </w:rPr>
        <w:t xml:space="preserve">(Petition) </w:t>
      </w:r>
      <w:r w:rsidRPr="005933FC" w:rsidR="00FB4BF3">
        <w:rPr>
          <w:szCs w:val="22"/>
        </w:rPr>
        <w:t>the MIM</w:t>
      </w:r>
      <w:r w:rsidRPr="005933FC" w:rsidR="00FF43E8">
        <w:rPr>
          <w:szCs w:val="22"/>
        </w:rPr>
        <w:t xml:space="preserve"> Application filed by </w:t>
      </w:r>
      <w:r w:rsidRPr="005933FC" w:rsidR="00FB4BF3">
        <w:rPr>
          <w:szCs w:val="22"/>
        </w:rPr>
        <w:t>ACE</w:t>
      </w:r>
      <w:r>
        <w:rPr>
          <w:rStyle w:val="FootnoteReference"/>
          <w:sz w:val="22"/>
          <w:szCs w:val="22"/>
        </w:rPr>
        <w:footnoteReference w:id="4"/>
      </w:r>
      <w:r w:rsidRPr="005933FC" w:rsidR="007A3AC7">
        <w:rPr>
          <w:szCs w:val="22"/>
        </w:rPr>
        <w:t xml:space="preserve"> and related responsive pleadings.</w:t>
      </w:r>
      <w:r>
        <w:rPr>
          <w:rStyle w:val="FootnoteReference"/>
          <w:sz w:val="22"/>
          <w:szCs w:val="22"/>
        </w:rPr>
        <w:footnoteReference w:id="5"/>
      </w:r>
      <w:r w:rsidRPr="005933FC" w:rsidR="00825FE6">
        <w:rPr>
          <w:szCs w:val="22"/>
        </w:rPr>
        <w:t xml:space="preserve">  </w:t>
      </w:r>
      <w:r w:rsidRPr="005933FC" w:rsidR="006528D9">
        <w:rPr>
          <w:szCs w:val="22"/>
        </w:rPr>
        <w:t xml:space="preserve">For the reasons set forth below, we </w:t>
      </w:r>
      <w:r w:rsidRPr="005E1278" w:rsidR="00670619">
        <w:rPr>
          <w:szCs w:val="22"/>
        </w:rPr>
        <w:t>deny</w:t>
      </w:r>
      <w:r w:rsidRPr="005E1278" w:rsidR="00BB040A">
        <w:rPr>
          <w:szCs w:val="22"/>
        </w:rPr>
        <w:t xml:space="preserve"> </w:t>
      </w:r>
      <w:r w:rsidRPr="005E1278" w:rsidR="00825FE6">
        <w:rPr>
          <w:szCs w:val="22"/>
        </w:rPr>
        <w:t xml:space="preserve">the Petition, </w:t>
      </w:r>
      <w:r w:rsidRPr="005E1278" w:rsidR="00670619">
        <w:rPr>
          <w:szCs w:val="22"/>
        </w:rPr>
        <w:t>grant</w:t>
      </w:r>
      <w:r w:rsidRPr="005E1278" w:rsidR="00FB4BF3">
        <w:rPr>
          <w:szCs w:val="22"/>
        </w:rPr>
        <w:t xml:space="preserve"> the MIM Application, and </w:t>
      </w:r>
      <w:r w:rsidRPr="005E1278" w:rsidR="00670619">
        <w:rPr>
          <w:szCs w:val="22"/>
        </w:rPr>
        <w:t>dismiss</w:t>
      </w:r>
      <w:r w:rsidRPr="005E1278" w:rsidR="00FB4BF3">
        <w:rPr>
          <w:szCs w:val="22"/>
        </w:rPr>
        <w:t xml:space="preserve"> the RBN</w:t>
      </w:r>
      <w:r w:rsidRPr="005E1278" w:rsidR="00F426A3">
        <w:rPr>
          <w:szCs w:val="22"/>
        </w:rPr>
        <w:t>, TCW,</w:t>
      </w:r>
      <w:r w:rsidRPr="005E1278" w:rsidR="00FB4BF3">
        <w:rPr>
          <w:szCs w:val="22"/>
        </w:rPr>
        <w:t xml:space="preserve"> ACE</w:t>
      </w:r>
      <w:r w:rsidRPr="005E1278" w:rsidR="00F426A3">
        <w:rPr>
          <w:szCs w:val="22"/>
        </w:rPr>
        <w:t>,</w:t>
      </w:r>
      <w:r w:rsidRPr="005E1278" w:rsidR="00FB4BF3">
        <w:rPr>
          <w:szCs w:val="22"/>
        </w:rPr>
        <w:t xml:space="preserve"> and RV </w:t>
      </w:r>
      <w:r w:rsidR="00F023D9">
        <w:rPr>
          <w:szCs w:val="22"/>
        </w:rPr>
        <w:t>a</w:t>
      </w:r>
      <w:r w:rsidRPr="005E1278" w:rsidR="00FB4BF3">
        <w:rPr>
          <w:szCs w:val="22"/>
        </w:rPr>
        <w:t>pplication</w:t>
      </w:r>
      <w:r w:rsidRPr="005E1278" w:rsidR="00F426A3">
        <w:rPr>
          <w:szCs w:val="22"/>
        </w:rPr>
        <w:t>s</w:t>
      </w:r>
      <w:r w:rsidRPr="005E1278" w:rsidR="00FB4BF3">
        <w:rPr>
          <w:szCs w:val="22"/>
        </w:rPr>
        <w:t>.</w:t>
      </w:r>
    </w:p>
    <w:p w:rsidR="00A62ED5" w:rsidRPr="005933FC" w:rsidP="002A4A78" w14:paraId="60C3725A" w14:textId="63E80FBB">
      <w:pPr>
        <w:pStyle w:val="ParaNum"/>
        <w:widowControl/>
        <w:numPr>
          <w:ilvl w:val="0"/>
          <w:numId w:val="0"/>
        </w:numPr>
        <w:ind w:firstLine="720"/>
        <w:rPr>
          <w:szCs w:val="22"/>
        </w:rPr>
      </w:pPr>
      <w:r w:rsidRPr="005933FC">
        <w:rPr>
          <w:i/>
          <w:iCs/>
          <w:szCs w:val="22"/>
        </w:rPr>
        <w:t>Background</w:t>
      </w:r>
      <w:r w:rsidRPr="005933FC">
        <w:rPr>
          <w:szCs w:val="22"/>
        </w:rPr>
        <w:t>.</w:t>
      </w:r>
      <w:r w:rsidRPr="005933FC" w:rsidR="00340FD6">
        <w:rPr>
          <w:szCs w:val="22"/>
        </w:rPr>
        <w:t xml:space="preserve">  </w:t>
      </w:r>
      <w:r w:rsidRPr="005933FC" w:rsidR="00F41A72">
        <w:rPr>
          <w:szCs w:val="22"/>
        </w:rPr>
        <w:t>The subject applications were fil</w:t>
      </w:r>
      <w:r w:rsidRPr="005933FC" w:rsidR="00DE4AC3">
        <w:rPr>
          <w:szCs w:val="22"/>
        </w:rPr>
        <w:t>e</w:t>
      </w:r>
      <w:r w:rsidRPr="005933FC" w:rsidR="00F41A72">
        <w:rPr>
          <w:szCs w:val="22"/>
        </w:rPr>
        <w:t xml:space="preserve">d during the </w:t>
      </w:r>
      <w:r w:rsidR="009B07EB">
        <w:rPr>
          <w:szCs w:val="22"/>
        </w:rPr>
        <w:t xml:space="preserve">November </w:t>
      </w:r>
      <w:r w:rsidRPr="005933FC" w:rsidR="00F41A72">
        <w:rPr>
          <w:szCs w:val="22"/>
        </w:rPr>
        <w:t>2021</w:t>
      </w:r>
      <w:r w:rsidR="009B07EB">
        <w:rPr>
          <w:szCs w:val="22"/>
        </w:rPr>
        <w:t>,</w:t>
      </w:r>
      <w:r w:rsidRPr="005933FC" w:rsidR="00F41A72">
        <w:rPr>
          <w:szCs w:val="22"/>
        </w:rPr>
        <w:t xml:space="preserve"> NCE </w:t>
      </w:r>
      <w:r w:rsidRPr="005933FC" w:rsidR="005512FE">
        <w:rPr>
          <w:szCs w:val="22"/>
        </w:rPr>
        <w:t>f</w:t>
      </w:r>
      <w:r w:rsidRPr="005933FC" w:rsidR="00F41A72">
        <w:rPr>
          <w:szCs w:val="22"/>
        </w:rPr>
        <w:t xml:space="preserve">iling </w:t>
      </w:r>
      <w:r w:rsidRPr="005933FC" w:rsidR="005512FE">
        <w:rPr>
          <w:szCs w:val="22"/>
        </w:rPr>
        <w:t>w</w:t>
      </w:r>
      <w:r w:rsidRPr="005933FC" w:rsidR="00F41A72">
        <w:rPr>
          <w:szCs w:val="22"/>
        </w:rPr>
        <w:t>indow.</w:t>
      </w:r>
      <w:r>
        <w:rPr>
          <w:rStyle w:val="FootnoteReference"/>
          <w:sz w:val="22"/>
          <w:szCs w:val="22"/>
        </w:rPr>
        <w:footnoteReference w:id="6"/>
      </w:r>
      <w:r w:rsidRPr="005933FC" w:rsidR="00F41A72">
        <w:rPr>
          <w:szCs w:val="22"/>
        </w:rPr>
        <w:t xml:space="preserve">  In the </w:t>
      </w:r>
      <w:r w:rsidRPr="005933FC" w:rsidR="00F41A72">
        <w:rPr>
          <w:i/>
          <w:iCs/>
          <w:szCs w:val="22"/>
        </w:rPr>
        <w:t>Third Fair Distribution Order</w:t>
      </w:r>
      <w:r w:rsidRPr="005933FC" w:rsidR="00F41A72">
        <w:rPr>
          <w:szCs w:val="22"/>
        </w:rPr>
        <w:t>, the Burea</w:t>
      </w:r>
      <w:r w:rsidRPr="005933FC" w:rsidR="00DB6A89">
        <w:rPr>
          <w:szCs w:val="22"/>
        </w:rPr>
        <w:t>u</w:t>
      </w:r>
      <w:r w:rsidRPr="005933FC" w:rsidR="00F41A72">
        <w:rPr>
          <w:szCs w:val="22"/>
        </w:rPr>
        <w:t xml:space="preserve"> </w:t>
      </w:r>
      <w:r w:rsidRPr="005933FC" w:rsidR="00DB6A89">
        <w:rPr>
          <w:szCs w:val="22"/>
        </w:rPr>
        <w:t>conducted a</w:t>
      </w:r>
      <w:r w:rsidRPr="005933FC" w:rsidR="001E46BD">
        <w:rPr>
          <w:szCs w:val="22"/>
        </w:rPr>
        <w:t xml:space="preserve"> fair distribution</w:t>
      </w:r>
      <w:r w:rsidRPr="005933FC" w:rsidR="00DB6A89">
        <w:rPr>
          <w:szCs w:val="22"/>
        </w:rPr>
        <w:t xml:space="preserve"> analysis pursuant to section 307(b) of the Communications Act of 1934, as amended</w:t>
      </w:r>
      <w:r w:rsidRPr="005933FC" w:rsidR="001E46BD">
        <w:rPr>
          <w:szCs w:val="22"/>
        </w:rPr>
        <w:t xml:space="preserve"> (Act)</w:t>
      </w:r>
      <w:r w:rsidRPr="005933FC" w:rsidR="00DB6A89">
        <w:rPr>
          <w:szCs w:val="22"/>
        </w:rPr>
        <w:t>,</w:t>
      </w:r>
      <w:r>
        <w:rPr>
          <w:rStyle w:val="FootnoteReference"/>
          <w:sz w:val="22"/>
          <w:szCs w:val="22"/>
        </w:rPr>
        <w:footnoteReference w:id="7"/>
      </w:r>
      <w:r w:rsidRPr="005933FC" w:rsidR="00DB6A89">
        <w:rPr>
          <w:szCs w:val="22"/>
        </w:rPr>
        <w:t xml:space="preserve"> </w:t>
      </w:r>
      <w:r w:rsidRPr="005933FC" w:rsidR="00F41A72">
        <w:rPr>
          <w:szCs w:val="22"/>
        </w:rPr>
        <w:t xml:space="preserve">determined that </w:t>
      </w:r>
      <w:r w:rsidRPr="005933FC" w:rsidR="00DB6A89">
        <w:rPr>
          <w:szCs w:val="22"/>
        </w:rPr>
        <w:t xml:space="preserve">the </w:t>
      </w:r>
      <w:r w:rsidRPr="005933FC" w:rsidR="00BB79A6">
        <w:rPr>
          <w:szCs w:val="22"/>
        </w:rPr>
        <w:t>RBN Application, the MIM</w:t>
      </w:r>
      <w:r w:rsidRPr="005933FC" w:rsidR="00DB6A89">
        <w:rPr>
          <w:szCs w:val="22"/>
        </w:rPr>
        <w:t xml:space="preserve"> Application</w:t>
      </w:r>
      <w:r w:rsidR="00461A68">
        <w:rPr>
          <w:szCs w:val="22"/>
        </w:rPr>
        <w:t>,</w:t>
      </w:r>
      <w:r w:rsidRPr="005933FC" w:rsidR="00DB6A89">
        <w:rPr>
          <w:szCs w:val="22"/>
        </w:rPr>
        <w:t xml:space="preserve"> and the</w:t>
      </w:r>
      <w:r w:rsidRPr="005933FC" w:rsidR="00BB79A6">
        <w:rPr>
          <w:szCs w:val="22"/>
        </w:rPr>
        <w:t xml:space="preserve"> ACE</w:t>
      </w:r>
      <w:r w:rsidRPr="005933FC" w:rsidR="00DB6A89">
        <w:rPr>
          <w:szCs w:val="22"/>
        </w:rPr>
        <w:t xml:space="preserve"> Application were </w:t>
      </w:r>
      <w:r w:rsidRPr="005933FC" w:rsidR="007D1990">
        <w:rPr>
          <w:szCs w:val="22"/>
        </w:rPr>
        <w:t>eligible for</w:t>
      </w:r>
      <w:r w:rsidRPr="005933FC" w:rsidR="00DB6A89">
        <w:rPr>
          <w:szCs w:val="22"/>
        </w:rPr>
        <w:t xml:space="preserve"> a fair distribution preference, and because</w:t>
      </w:r>
      <w:r w:rsidRPr="005933FC" w:rsidR="00CB38E7">
        <w:rPr>
          <w:szCs w:val="22"/>
        </w:rPr>
        <w:t xml:space="preserve"> the </w:t>
      </w:r>
      <w:r w:rsidRPr="005933FC" w:rsidR="00BB79A6">
        <w:rPr>
          <w:szCs w:val="22"/>
        </w:rPr>
        <w:t>MIM</w:t>
      </w:r>
      <w:r w:rsidRPr="005933FC" w:rsidR="00CB38E7">
        <w:rPr>
          <w:szCs w:val="22"/>
        </w:rPr>
        <w:t xml:space="preserve"> Application’s proposed </w:t>
      </w:r>
      <w:r w:rsidRPr="005933FC" w:rsidR="00BB79A6">
        <w:rPr>
          <w:szCs w:val="22"/>
        </w:rPr>
        <w:t xml:space="preserve">first </w:t>
      </w:r>
      <w:r w:rsidRPr="005933FC" w:rsidR="00CB38E7">
        <w:rPr>
          <w:szCs w:val="22"/>
        </w:rPr>
        <w:t>NCE service exceed</w:t>
      </w:r>
      <w:r w:rsidRPr="005933FC" w:rsidR="007D1990">
        <w:rPr>
          <w:szCs w:val="22"/>
        </w:rPr>
        <w:t>ed</w:t>
      </w:r>
      <w:r w:rsidRPr="005933FC" w:rsidR="00CB38E7">
        <w:rPr>
          <w:szCs w:val="22"/>
        </w:rPr>
        <w:t xml:space="preserve"> </w:t>
      </w:r>
      <w:r w:rsidRPr="005933FC" w:rsidR="00BB79A6">
        <w:rPr>
          <w:szCs w:val="22"/>
        </w:rPr>
        <w:t>the RBN Application’s and ACE Application’s first</w:t>
      </w:r>
      <w:r w:rsidRPr="005933FC" w:rsidR="007D1990">
        <w:rPr>
          <w:szCs w:val="22"/>
        </w:rPr>
        <w:t xml:space="preserve"> NCE service</w:t>
      </w:r>
      <w:r w:rsidRPr="005933FC" w:rsidR="00CB38E7">
        <w:rPr>
          <w:szCs w:val="22"/>
        </w:rPr>
        <w:t xml:space="preserve"> by more than 5,000 people, identified the </w:t>
      </w:r>
      <w:r w:rsidRPr="005933FC" w:rsidR="00BB79A6">
        <w:rPr>
          <w:szCs w:val="22"/>
        </w:rPr>
        <w:t xml:space="preserve">MIM </w:t>
      </w:r>
      <w:r w:rsidRPr="005933FC" w:rsidR="00CB38E7">
        <w:rPr>
          <w:szCs w:val="22"/>
        </w:rPr>
        <w:t xml:space="preserve">Application as the tentative selectee of NCE MX Group </w:t>
      </w:r>
      <w:r w:rsidRPr="005933FC" w:rsidR="00BB79A6">
        <w:rPr>
          <w:szCs w:val="22"/>
        </w:rPr>
        <w:t>39</w:t>
      </w:r>
      <w:r w:rsidRPr="005933FC" w:rsidR="00CB38E7">
        <w:rPr>
          <w:szCs w:val="22"/>
        </w:rPr>
        <w:t>.</w:t>
      </w:r>
      <w:r>
        <w:rPr>
          <w:rStyle w:val="FootnoteReference"/>
          <w:sz w:val="22"/>
          <w:szCs w:val="22"/>
        </w:rPr>
        <w:footnoteReference w:id="8"/>
      </w:r>
    </w:p>
    <w:p w:rsidR="00503E40" w:rsidRPr="005933FC" w:rsidP="002A4A78" w14:paraId="54020B87" w14:textId="40D27A42">
      <w:pPr>
        <w:pStyle w:val="ParaNum"/>
        <w:widowControl/>
        <w:numPr>
          <w:ilvl w:val="0"/>
          <w:numId w:val="0"/>
        </w:numPr>
        <w:ind w:firstLine="720"/>
        <w:rPr>
          <w:szCs w:val="22"/>
        </w:rPr>
      </w:pPr>
      <w:r w:rsidRPr="005933FC">
        <w:rPr>
          <w:szCs w:val="22"/>
        </w:rPr>
        <w:t xml:space="preserve">In the Petition, </w:t>
      </w:r>
      <w:r w:rsidRPr="005933FC">
        <w:rPr>
          <w:szCs w:val="22"/>
        </w:rPr>
        <w:t xml:space="preserve">ACE argues that the MIM Application should be denied because it lacks reasonable assurance of site availability and </w:t>
      </w:r>
      <w:r w:rsidR="00E81EF7">
        <w:rPr>
          <w:szCs w:val="22"/>
        </w:rPr>
        <w:t>fails</w:t>
      </w:r>
      <w:r w:rsidRPr="005933FC">
        <w:rPr>
          <w:szCs w:val="22"/>
        </w:rPr>
        <w:t xml:space="preserve"> to demonstrate</w:t>
      </w:r>
      <w:r w:rsidR="00E81EF7">
        <w:rPr>
          <w:szCs w:val="22"/>
        </w:rPr>
        <w:t xml:space="preserve"> that</w:t>
      </w:r>
      <w:r w:rsidRPr="005933FC">
        <w:rPr>
          <w:szCs w:val="22"/>
        </w:rPr>
        <w:t xml:space="preserve"> the proposed station would advance an NCE objective.</w:t>
      </w:r>
      <w:r>
        <w:rPr>
          <w:rStyle w:val="FootnoteReference"/>
          <w:sz w:val="22"/>
          <w:szCs w:val="22"/>
        </w:rPr>
        <w:footnoteReference w:id="9"/>
      </w:r>
      <w:r w:rsidRPr="005933FC">
        <w:rPr>
          <w:szCs w:val="22"/>
        </w:rPr>
        <w:t xml:space="preserve">  </w:t>
      </w:r>
      <w:r w:rsidR="001560CF">
        <w:rPr>
          <w:szCs w:val="22"/>
        </w:rPr>
        <w:t xml:space="preserve">Specifically, </w:t>
      </w:r>
      <w:r w:rsidRPr="005933FC">
        <w:rPr>
          <w:szCs w:val="22"/>
        </w:rPr>
        <w:t>A</w:t>
      </w:r>
      <w:r w:rsidRPr="005933FC" w:rsidR="00486C28">
        <w:rPr>
          <w:szCs w:val="22"/>
        </w:rPr>
        <w:t>CE</w:t>
      </w:r>
      <w:r w:rsidRPr="005933FC">
        <w:rPr>
          <w:szCs w:val="22"/>
        </w:rPr>
        <w:t xml:space="preserve"> argues that</w:t>
      </w:r>
      <w:r w:rsidR="007B5136">
        <w:rPr>
          <w:szCs w:val="22"/>
        </w:rPr>
        <w:t>:  1)</w:t>
      </w:r>
      <w:r w:rsidRPr="005933FC">
        <w:rPr>
          <w:szCs w:val="22"/>
        </w:rPr>
        <w:t xml:space="preserve"> the MIM Application </w:t>
      </w:r>
      <w:r w:rsidR="00D52115">
        <w:rPr>
          <w:szCs w:val="22"/>
        </w:rPr>
        <w:t>failed to list</w:t>
      </w:r>
      <w:r w:rsidRPr="005933FC">
        <w:rPr>
          <w:szCs w:val="22"/>
        </w:rPr>
        <w:t xml:space="preserve"> the name</w:t>
      </w:r>
      <w:r w:rsidRPr="005933FC" w:rsidR="00ED2DFC">
        <w:rPr>
          <w:szCs w:val="22"/>
        </w:rPr>
        <w:t>, title,</w:t>
      </w:r>
      <w:r w:rsidRPr="005933FC">
        <w:rPr>
          <w:szCs w:val="22"/>
        </w:rPr>
        <w:t xml:space="preserve"> or contact </w:t>
      </w:r>
      <w:r w:rsidRPr="005933FC" w:rsidR="00ED2DFC">
        <w:rPr>
          <w:szCs w:val="22"/>
        </w:rPr>
        <w:t>information</w:t>
      </w:r>
      <w:r w:rsidRPr="005933FC">
        <w:rPr>
          <w:szCs w:val="22"/>
        </w:rPr>
        <w:t xml:space="preserve"> of a specific person at </w:t>
      </w:r>
      <w:r w:rsidR="00E81EF7">
        <w:rPr>
          <w:szCs w:val="22"/>
        </w:rPr>
        <w:t>the proposed tower site,</w:t>
      </w:r>
      <w:r w:rsidR="007B5136">
        <w:rPr>
          <w:szCs w:val="22"/>
        </w:rPr>
        <w:t xml:space="preserve"> as required by </w:t>
      </w:r>
      <w:r w:rsidR="006E2434">
        <w:rPr>
          <w:szCs w:val="22"/>
        </w:rPr>
        <w:t xml:space="preserve">FCC </w:t>
      </w:r>
      <w:r w:rsidR="007B5136">
        <w:rPr>
          <w:szCs w:val="22"/>
        </w:rPr>
        <w:t xml:space="preserve">Form </w:t>
      </w:r>
      <w:r w:rsidR="006E2434">
        <w:rPr>
          <w:szCs w:val="22"/>
        </w:rPr>
        <w:t xml:space="preserve">2100, Schedule </w:t>
      </w:r>
      <w:r w:rsidR="007B5136">
        <w:rPr>
          <w:szCs w:val="22"/>
        </w:rPr>
        <w:t>340</w:t>
      </w:r>
      <w:r w:rsidR="00110E8D">
        <w:rPr>
          <w:szCs w:val="22"/>
        </w:rPr>
        <w:t xml:space="preserve"> (Schedule 340)</w:t>
      </w:r>
      <w:r w:rsidR="007B5136">
        <w:rPr>
          <w:szCs w:val="22"/>
        </w:rPr>
        <w:t>, instead listin</w:t>
      </w:r>
      <w:r w:rsidR="00E81EF7">
        <w:rPr>
          <w:szCs w:val="22"/>
        </w:rPr>
        <w:t>g</w:t>
      </w:r>
      <w:r w:rsidRPr="005933FC">
        <w:rPr>
          <w:szCs w:val="22"/>
        </w:rPr>
        <w:t xml:space="preserve"> a general phone number for </w:t>
      </w:r>
      <w:r w:rsidR="003726FE">
        <w:rPr>
          <w:szCs w:val="22"/>
        </w:rPr>
        <w:t>American Tower</w:t>
      </w:r>
      <w:r w:rsidR="00FF097D">
        <w:rPr>
          <w:szCs w:val="22"/>
        </w:rPr>
        <w:t>, the owner of the proposed tower site</w:t>
      </w:r>
      <w:r w:rsidR="007B5136">
        <w:rPr>
          <w:szCs w:val="22"/>
        </w:rPr>
        <w:t>;</w:t>
      </w:r>
      <w:r>
        <w:rPr>
          <w:rStyle w:val="FootnoteReference"/>
          <w:sz w:val="22"/>
          <w:szCs w:val="22"/>
        </w:rPr>
        <w:footnoteReference w:id="10"/>
      </w:r>
      <w:r w:rsidRPr="005933FC" w:rsidR="00811C7E">
        <w:rPr>
          <w:szCs w:val="22"/>
        </w:rPr>
        <w:t xml:space="preserve"> </w:t>
      </w:r>
      <w:r w:rsidR="007B5136">
        <w:rPr>
          <w:szCs w:val="22"/>
        </w:rPr>
        <w:t>2)</w:t>
      </w:r>
      <w:r w:rsidRPr="005933FC" w:rsidR="00811C7E">
        <w:rPr>
          <w:szCs w:val="22"/>
        </w:rPr>
        <w:t xml:space="preserve"> </w:t>
      </w:r>
      <w:r w:rsidR="007B5136">
        <w:rPr>
          <w:szCs w:val="22"/>
        </w:rPr>
        <w:t>ACE’s</w:t>
      </w:r>
      <w:r w:rsidRPr="005933FC" w:rsidR="00811C7E">
        <w:rPr>
          <w:szCs w:val="22"/>
        </w:rPr>
        <w:t xml:space="preserve"> counsel contacted a representative for American Tower and was advised that she could </w:t>
      </w:r>
      <w:r w:rsidR="003726FE">
        <w:rPr>
          <w:szCs w:val="22"/>
        </w:rPr>
        <w:t xml:space="preserve">not </w:t>
      </w:r>
      <w:r w:rsidRPr="005933FC" w:rsidR="00811C7E">
        <w:rPr>
          <w:szCs w:val="22"/>
        </w:rPr>
        <w:t xml:space="preserve">locate </w:t>
      </w:r>
      <w:r w:rsidR="007B5136">
        <w:rPr>
          <w:szCs w:val="22"/>
        </w:rPr>
        <w:t>records demonstrating</w:t>
      </w:r>
      <w:r w:rsidRPr="005933FC" w:rsidR="00811C7E">
        <w:rPr>
          <w:szCs w:val="22"/>
        </w:rPr>
        <w:t xml:space="preserve"> that MIM </w:t>
      </w:r>
      <w:r w:rsidR="007B5136">
        <w:rPr>
          <w:szCs w:val="22"/>
        </w:rPr>
        <w:t>obtained</w:t>
      </w:r>
      <w:r w:rsidRPr="005933FC" w:rsidR="00811C7E">
        <w:rPr>
          <w:szCs w:val="22"/>
        </w:rPr>
        <w:t xml:space="preserve"> </w:t>
      </w:r>
      <w:r w:rsidRPr="005933FC" w:rsidR="003760AA">
        <w:rPr>
          <w:szCs w:val="22"/>
        </w:rPr>
        <w:t xml:space="preserve">written </w:t>
      </w:r>
      <w:r w:rsidRPr="005933FC" w:rsidR="00BB79A6">
        <w:rPr>
          <w:szCs w:val="22"/>
        </w:rPr>
        <w:t>reasonable</w:t>
      </w:r>
      <w:r w:rsidRPr="005933FC" w:rsidR="00811C7E">
        <w:rPr>
          <w:szCs w:val="22"/>
        </w:rPr>
        <w:t xml:space="preserve"> assurance of site </w:t>
      </w:r>
      <w:r w:rsidR="003726FE">
        <w:rPr>
          <w:szCs w:val="22"/>
        </w:rPr>
        <w:t>availability</w:t>
      </w:r>
      <w:r w:rsidRPr="005933FC" w:rsidR="00811C7E">
        <w:rPr>
          <w:szCs w:val="22"/>
        </w:rPr>
        <w:t xml:space="preserve"> for the tower identified in the MIM Application</w:t>
      </w:r>
      <w:r w:rsidR="007B5136">
        <w:rPr>
          <w:szCs w:val="22"/>
        </w:rPr>
        <w:t>;</w:t>
      </w:r>
      <w:r>
        <w:rPr>
          <w:rStyle w:val="FootnoteReference"/>
          <w:sz w:val="22"/>
          <w:szCs w:val="22"/>
        </w:rPr>
        <w:footnoteReference w:id="11"/>
      </w:r>
      <w:r w:rsidRPr="005933FC" w:rsidR="00BD3C00">
        <w:rPr>
          <w:szCs w:val="22"/>
        </w:rPr>
        <w:t xml:space="preserve"> </w:t>
      </w:r>
      <w:r w:rsidR="007B5136">
        <w:rPr>
          <w:szCs w:val="22"/>
        </w:rPr>
        <w:t>and 3)</w:t>
      </w:r>
      <w:r w:rsidRPr="005933FC" w:rsidR="00BD3C00">
        <w:rPr>
          <w:szCs w:val="22"/>
        </w:rPr>
        <w:t xml:space="preserve"> </w:t>
      </w:r>
      <w:r w:rsidRPr="005933FC" w:rsidR="006F0EC0">
        <w:rPr>
          <w:szCs w:val="22"/>
        </w:rPr>
        <w:t>MIM is require</w:t>
      </w:r>
      <w:r w:rsidRPr="005933FC" w:rsidR="00AF555A">
        <w:rPr>
          <w:szCs w:val="22"/>
        </w:rPr>
        <w:t>d</w:t>
      </w:r>
      <w:r w:rsidRPr="005933FC" w:rsidR="006F0EC0">
        <w:rPr>
          <w:szCs w:val="22"/>
        </w:rPr>
        <w:t xml:space="preserve"> to provide documentation of its </w:t>
      </w:r>
      <w:r w:rsidRPr="005933FC" w:rsidR="001A609B">
        <w:rPr>
          <w:szCs w:val="22"/>
        </w:rPr>
        <w:t>proposed education</w:t>
      </w:r>
      <w:r w:rsidR="00461A68">
        <w:rPr>
          <w:szCs w:val="22"/>
        </w:rPr>
        <w:t>al</w:t>
      </w:r>
      <w:r w:rsidRPr="005933FC" w:rsidR="001A609B">
        <w:rPr>
          <w:szCs w:val="22"/>
        </w:rPr>
        <w:t xml:space="preserve"> objective because it is</w:t>
      </w:r>
      <w:r w:rsidRPr="005933FC" w:rsidR="00982247">
        <w:rPr>
          <w:szCs w:val="22"/>
        </w:rPr>
        <w:t xml:space="preserve"> a first-time NCE station applicant, </w:t>
      </w:r>
      <w:r w:rsidRPr="005933FC" w:rsidR="001A609B">
        <w:rPr>
          <w:szCs w:val="22"/>
        </w:rPr>
        <w:t>and its submission of its articles of incorporation, without further explanation, is in</w:t>
      </w:r>
      <w:r w:rsidRPr="005933FC" w:rsidR="009969E0">
        <w:rPr>
          <w:szCs w:val="22"/>
        </w:rPr>
        <w:t>adequate.</w:t>
      </w:r>
      <w:r>
        <w:rPr>
          <w:rStyle w:val="FootnoteReference"/>
          <w:sz w:val="22"/>
          <w:szCs w:val="22"/>
        </w:rPr>
        <w:footnoteReference w:id="12"/>
      </w:r>
      <w:r w:rsidRPr="005933FC" w:rsidR="00A94854">
        <w:rPr>
          <w:szCs w:val="22"/>
        </w:rPr>
        <w:t xml:space="preserve"> </w:t>
      </w:r>
      <w:r w:rsidRPr="005933FC" w:rsidR="00982247">
        <w:rPr>
          <w:szCs w:val="22"/>
        </w:rPr>
        <w:t xml:space="preserve"> </w:t>
      </w:r>
    </w:p>
    <w:p w:rsidR="00A64942" w:rsidRPr="005933FC" w:rsidP="002A4A78" w14:paraId="441F504A" w14:textId="3BAFA4C6">
      <w:pPr>
        <w:pStyle w:val="ParaNum"/>
        <w:widowControl/>
        <w:numPr>
          <w:ilvl w:val="0"/>
          <w:numId w:val="0"/>
        </w:numPr>
        <w:ind w:firstLine="720"/>
        <w:rPr>
          <w:szCs w:val="22"/>
        </w:rPr>
      </w:pPr>
      <w:r w:rsidRPr="005933FC">
        <w:rPr>
          <w:szCs w:val="22"/>
        </w:rPr>
        <w:t xml:space="preserve">In the Opposition, </w:t>
      </w:r>
      <w:r w:rsidRPr="005933FC" w:rsidR="00486C28">
        <w:rPr>
          <w:szCs w:val="22"/>
        </w:rPr>
        <w:t>MIM states that its technic</w:t>
      </w:r>
      <w:r w:rsidRPr="005933FC" w:rsidR="00C26838">
        <w:rPr>
          <w:szCs w:val="22"/>
        </w:rPr>
        <w:t>al</w:t>
      </w:r>
      <w:r w:rsidRPr="005933FC" w:rsidR="00486C28">
        <w:rPr>
          <w:szCs w:val="22"/>
        </w:rPr>
        <w:t xml:space="preserve"> consultant, Todd Urick, contacted American Tower prior </w:t>
      </w:r>
      <w:r w:rsidRPr="005933FC" w:rsidR="00590917">
        <w:rPr>
          <w:szCs w:val="22"/>
        </w:rPr>
        <w:t xml:space="preserve">to the filing deadline </w:t>
      </w:r>
      <w:r w:rsidRPr="005933FC" w:rsidR="00486C28">
        <w:rPr>
          <w:szCs w:val="22"/>
        </w:rPr>
        <w:t>and obtained site assurance.</w:t>
      </w:r>
      <w:r>
        <w:rPr>
          <w:rStyle w:val="FootnoteReference"/>
          <w:sz w:val="22"/>
          <w:szCs w:val="22"/>
        </w:rPr>
        <w:footnoteReference w:id="13"/>
      </w:r>
      <w:r w:rsidRPr="005933FC" w:rsidR="00486C28">
        <w:rPr>
          <w:szCs w:val="22"/>
        </w:rPr>
        <w:t xml:space="preserve">  MIM supports this assertion with a sworn declaration from Ur</w:t>
      </w:r>
      <w:r w:rsidR="007B5136">
        <w:rPr>
          <w:szCs w:val="22"/>
        </w:rPr>
        <w:t>i</w:t>
      </w:r>
      <w:r w:rsidRPr="005933FC" w:rsidR="00486C28">
        <w:rPr>
          <w:szCs w:val="22"/>
        </w:rPr>
        <w:t xml:space="preserve">ck, </w:t>
      </w:r>
      <w:r w:rsidRPr="005933FC" w:rsidR="0008355B">
        <w:rPr>
          <w:szCs w:val="22"/>
        </w:rPr>
        <w:t>in which he states</w:t>
      </w:r>
      <w:r w:rsidRPr="005933FC" w:rsidR="00486C28">
        <w:rPr>
          <w:szCs w:val="22"/>
        </w:rPr>
        <w:t xml:space="preserve"> he spoke with Danielle Poirier </w:t>
      </w:r>
      <w:r w:rsidRPr="005933FC" w:rsidR="00682A29">
        <w:rPr>
          <w:szCs w:val="22"/>
        </w:rPr>
        <w:t>at</w:t>
      </w:r>
      <w:r w:rsidRPr="005933FC" w:rsidR="00486C28">
        <w:rPr>
          <w:szCs w:val="22"/>
        </w:rPr>
        <w:t xml:space="preserve"> American Towe</w:t>
      </w:r>
      <w:r w:rsidRPr="005933FC" w:rsidR="00682A29">
        <w:rPr>
          <w:szCs w:val="22"/>
        </w:rPr>
        <w:t>r</w:t>
      </w:r>
      <w:r w:rsidRPr="005933FC" w:rsidR="00C07FE0">
        <w:rPr>
          <w:szCs w:val="22"/>
        </w:rPr>
        <w:t xml:space="preserve">, who </w:t>
      </w:r>
      <w:r w:rsidRPr="005933FC" w:rsidR="00486C28">
        <w:rPr>
          <w:szCs w:val="22"/>
        </w:rPr>
        <w:t xml:space="preserve">indicated there was space on the </w:t>
      </w:r>
      <w:r w:rsidR="00B24DEB">
        <w:rPr>
          <w:szCs w:val="22"/>
        </w:rPr>
        <w:t>t</w:t>
      </w:r>
      <w:r w:rsidRPr="005933FC" w:rsidR="00B24DEB">
        <w:rPr>
          <w:szCs w:val="22"/>
        </w:rPr>
        <w:t xml:space="preserve">ower </w:t>
      </w:r>
      <w:r w:rsidRPr="005933FC" w:rsidR="00486C28">
        <w:rPr>
          <w:szCs w:val="22"/>
        </w:rPr>
        <w:t xml:space="preserve">for leasing, and provides a copy of an email exchange with </w:t>
      </w:r>
      <w:r w:rsidRPr="005933FC" w:rsidR="00C24E35">
        <w:rPr>
          <w:szCs w:val="22"/>
        </w:rPr>
        <w:t>Poir</w:t>
      </w:r>
      <w:r w:rsidRPr="005933FC" w:rsidR="00641476">
        <w:rPr>
          <w:szCs w:val="22"/>
        </w:rPr>
        <w:t>ier</w:t>
      </w:r>
      <w:r w:rsidRPr="005933FC" w:rsidR="00682801">
        <w:rPr>
          <w:szCs w:val="22"/>
        </w:rPr>
        <w:t xml:space="preserve"> dated October 26, 2021</w:t>
      </w:r>
      <w:r w:rsidRPr="005933FC" w:rsidR="00486C28">
        <w:rPr>
          <w:szCs w:val="22"/>
        </w:rPr>
        <w:t>.</w:t>
      </w:r>
      <w:r>
        <w:rPr>
          <w:rStyle w:val="FootnoteReference"/>
          <w:sz w:val="22"/>
          <w:szCs w:val="22"/>
        </w:rPr>
        <w:footnoteReference w:id="14"/>
      </w:r>
      <w:r w:rsidRPr="005933FC" w:rsidR="00ED4458">
        <w:rPr>
          <w:szCs w:val="22"/>
        </w:rPr>
        <w:t xml:space="preserve">  MIM </w:t>
      </w:r>
      <w:r w:rsidRPr="005933FC" w:rsidR="004937FF">
        <w:rPr>
          <w:szCs w:val="22"/>
        </w:rPr>
        <w:t>argues</w:t>
      </w:r>
      <w:r w:rsidRPr="005933FC" w:rsidR="00ED4458">
        <w:rPr>
          <w:szCs w:val="22"/>
        </w:rPr>
        <w:t xml:space="preserve"> that dismissal of its application </w:t>
      </w:r>
      <w:r w:rsidRPr="005933FC" w:rsidR="00513310">
        <w:rPr>
          <w:szCs w:val="22"/>
        </w:rPr>
        <w:t xml:space="preserve">for lack of site assurance </w:t>
      </w:r>
      <w:r w:rsidRPr="005933FC" w:rsidR="00ED4458">
        <w:rPr>
          <w:szCs w:val="22"/>
        </w:rPr>
        <w:t xml:space="preserve">is </w:t>
      </w:r>
      <w:r w:rsidRPr="005933FC" w:rsidR="00321FFC">
        <w:rPr>
          <w:szCs w:val="22"/>
        </w:rPr>
        <w:t>in</w:t>
      </w:r>
      <w:r w:rsidRPr="005933FC" w:rsidR="00ED4458">
        <w:rPr>
          <w:szCs w:val="22"/>
        </w:rPr>
        <w:t xml:space="preserve">appropriate </w:t>
      </w:r>
      <w:r w:rsidRPr="005933FC" w:rsidR="00321FFC">
        <w:rPr>
          <w:szCs w:val="22"/>
        </w:rPr>
        <w:t>because it</w:t>
      </w:r>
      <w:r w:rsidRPr="005933FC" w:rsidR="00ED4458">
        <w:rPr>
          <w:szCs w:val="22"/>
        </w:rPr>
        <w:t xml:space="preserve"> obtain</w:t>
      </w:r>
      <w:r w:rsidRPr="005933FC" w:rsidR="00321FFC">
        <w:rPr>
          <w:szCs w:val="22"/>
        </w:rPr>
        <w:t>ed</w:t>
      </w:r>
      <w:r w:rsidRPr="005933FC" w:rsidR="00ED4458">
        <w:rPr>
          <w:szCs w:val="22"/>
        </w:rPr>
        <w:t xml:space="preserve"> reasonable site assurance prior to the filing deadline</w:t>
      </w:r>
      <w:r w:rsidRPr="005933FC" w:rsidR="004937FF">
        <w:rPr>
          <w:szCs w:val="22"/>
        </w:rPr>
        <w:t xml:space="preserve"> and maintains</w:t>
      </w:r>
      <w:r w:rsidRPr="005933FC">
        <w:rPr>
          <w:szCs w:val="22"/>
        </w:rPr>
        <w:t xml:space="preserve"> that the </w:t>
      </w:r>
      <w:r w:rsidRPr="005933FC" w:rsidR="00EB7682">
        <w:rPr>
          <w:szCs w:val="22"/>
        </w:rPr>
        <w:t>statement attached to</w:t>
      </w:r>
      <w:r w:rsidRPr="005933FC">
        <w:rPr>
          <w:szCs w:val="22"/>
        </w:rPr>
        <w:t xml:space="preserve"> its application </w:t>
      </w:r>
      <w:r w:rsidRPr="005933FC" w:rsidR="003D0C15">
        <w:rPr>
          <w:szCs w:val="22"/>
        </w:rPr>
        <w:t>satisfies</w:t>
      </w:r>
      <w:r w:rsidRPr="005933FC">
        <w:rPr>
          <w:szCs w:val="22"/>
        </w:rPr>
        <w:t xml:space="preserve"> the requirement</w:t>
      </w:r>
      <w:r w:rsidRPr="005933FC" w:rsidR="00F3375A">
        <w:rPr>
          <w:szCs w:val="22"/>
        </w:rPr>
        <w:t>s</w:t>
      </w:r>
      <w:r w:rsidRPr="005933FC">
        <w:rPr>
          <w:szCs w:val="22"/>
        </w:rPr>
        <w:t xml:space="preserve"> of </w:t>
      </w:r>
      <w:r w:rsidR="009E7D3C">
        <w:rPr>
          <w:szCs w:val="22"/>
        </w:rPr>
        <w:t>Schedule</w:t>
      </w:r>
      <w:r w:rsidRPr="005933FC">
        <w:rPr>
          <w:szCs w:val="22"/>
        </w:rPr>
        <w:t xml:space="preserve"> 340.</w:t>
      </w:r>
      <w:r>
        <w:rPr>
          <w:rStyle w:val="FootnoteReference"/>
          <w:sz w:val="22"/>
          <w:szCs w:val="22"/>
        </w:rPr>
        <w:footnoteReference w:id="15"/>
      </w:r>
      <w:r w:rsidRPr="005933FC" w:rsidR="00037AB0">
        <w:rPr>
          <w:szCs w:val="22"/>
        </w:rPr>
        <w:t xml:space="preserve">  </w:t>
      </w:r>
    </w:p>
    <w:p w:rsidR="00811C7E" w:rsidRPr="005933FC" w:rsidP="002A4A78" w14:paraId="5FF6FF62" w14:textId="6902709E">
      <w:pPr>
        <w:pStyle w:val="ParaNum"/>
        <w:widowControl/>
        <w:numPr>
          <w:ilvl w:val="0"/>
          <w:numId w:val="0"/>
        </w:numPr>
        <w:ind w:firstLine="720"/>
        <w:rPr>
          <w:szCs w:val="22"/>
        </w:rPr>
      </w:pPr>
      <w:r w:rsidRPr="001C1CC2">
        <w:rPr>
          <w:szCs w:val="22"/>
        </w:rPr>
        <w:t>MIM</w:t>
      </w:r>
      <w:r w:rsidRPr="005933FC">
        <w:rPr>
          <w:szCs w:val="22"/>
        </w:rPr>
        <w:t xml:space="preserve"> </w:t>
      </w:r>
      <w:r w:rsidRPr="005933FC" w:rsidR="00C854DD">
        <w:rPr>
          <w:szCs w:val="22"/>
        </w:rPr>
        <w:t xml:space="preserve">further argues that </w:t>
      </w:r>
      <w:r w:rsidRPr="005933FC" w:rsidR="00FB2526">
        <w:rPr>
          <w:szCs w:val="22"/>
        </w:rPr>
        <w:t>it</w:t>
      </w:r>
      <w:r w:rsidRPr="005933FC" w:rsidR="007B6899">
        <w:rPr>
          <w:szCs w:val="22"/>
        </w:rPr>
        <w:t xml:space="preserve"> provided a sufficient educational objective </w:t>
      </w:r>
      <w:r w:rsidRPr="005933FC" w:rsidR="00D942F6">
        <w:rPr>
          <w:szCs w:val="22"/>
        </w:rPr>
        <w:t>and educational program description by attaching a copy of its</w:t>
      </w:r>
      <w:r w:rsidRPr="005933FC" w:rsidR="00503DBD">
        <w:rPr>
          <w:szCs w:val="22"/>
        </w:rPr>
        <w:t xml:space="preserve"> articles of incorporation filed </w:t>
      </w:r>
      <w:r w:rsidRPr="005933FC" w:rsidR="00794A5A">
        <w:rPr>
          <w:szCs w:val="22"/>
        </w:rPr>
        <w:t>with the state of</w:t>
      </w:r>
      <w:r w:rsidRPr="005933FC" w:rsidR="00743164">
        <w:rPr>
          <w:szCs w:val="22"/>
        </w:rPr>
        <w:t xml:space="preserve"> California, and </w:t>
      </w:r>
      <w:r w:rsidRPr="005933FC" w:rsidR="002C0384">
        <w:rPr>
          <w:szCs w:val="22"/>
        </w:rPr>
        <w:t>its business search result with the California Secretary of State</w:t>
      </w:r>
      <w:r w:rsidRPr="005933FC" w:rsidR="00631FE2">
        <w:rPr>
          <w:szCs w:val="22"/>
        </w:rPr>
        <w:t xml:space="preserve">, which indicate </w:t>
      </w:r>
      <w:r w:rsidRPr="005933FC" w:rsidR="00DA211A">
        <w:rPr>
          <w:szCs w:val="22"/>
        </w:rPr>
        <w:t xml:space="preserve">that it is a noncommercial </w:t>
      </w:r>
      <w:r w:rsidRPr="005933FC" w:rsidR="005F718C">
        <w:rPr>
          <w:szCs w:val="22"/>
        </w:rPr>
        <w:t>entity that creates</w:t>
      </w:r>
      <w:r w:rsidRPr="005933FC" w:rsidR="009D0B9A">
        <w:rPr>
          <w:szCs w:val="22"/>
        </w:rPr>
        <w:t xml:space="preserve"> educational media.</w:t>
      </w:r>
      <w:r>
        <w:rPr>
          <w:rStyle w:val="FootnoteReference"/>
          <w:sz w:val="22"/>
          <w:szCs w:val="22"/>
        </w:rPr>
        <w:footnoteReference w:id="16"/>
      </w:r>
      <w:r w:rsidRPr="005933FC" w:rsidR="005E488B">
        <w:rPr>
          <w:szCs w:val="22"/>
        </w:rPr>
        <w:t xml:space="preserve">  MIM maintains that </w:t>
      </w:r>
      <w:r w:rsidRPr="005933FC" w:rsidR="00200541">
        <w:rPr>
          <w:szCs w:val="22"/>
        </w:rPr>
        <w:t xml:space="preserve">the educational purpose description in its articles of incorporation </w:t>
      </w:r>
      <w:r w:rsidRPr="005933FC" w:rsidR="00494E03">
        <w:rPr>
          <w:szCs w:val="22"/>
        </w:rPr>
        <w:t xml:space="preserve">satisfies the </w:t>
      </w:r>
      <w:r w:rsidR="009E7D3C">
        <w:rPr>
          <w:szCs w:val="22"/>
        </w:rPr>
        <w:t>Schedule</w:t>
      </w:r>
      <w:r w:rsidRPr="005933FC" w:rsidR="009E7D3C">
        <w:rPr>
          <w:szCs w:val="22"/>
        </w:rPr>
        <w:t xml:space="preserve"> </w:t>
      </w:r>
      <w:r w:rsidRPr="005933FC" w:rsidR="00450331">
        <w:rPr>
          <w:szCs w:val="22"/>
        </w:rPr>
        <w:t xml:space="preserve">340 </w:t>
      </w:r>
      <w:r w:rsidRPr="005933FC" w:rsidR="00494E03">
        <w:rPr>
          <w:szCs w:val="22"/>
        </w:rPr>
        <w:t xml:space="preserve">educational objective and programming </w:t>
      </w:r>
      <w:r w:rsidRPr="005933FC" w:rsidR="00E0136F">
        <w:rPr>
          <w:szCs w:val="22"/>
        </w:rPr>
        <w:t>requirements</w:t>
      </w:r>
      <w:r w:rsidRPr="005933FC" w:rsidR="007C0312">
        <w:rPr>
          <w:szCs w:val="22"/>
        </w:rPr>
        <w:t xml:space="preserve">, and attaches </w:t>
      </w:r>
      <w:r w:rsidRPr="005933FC" w:rsidR="002322D6">
        <w:rPr>
          <w:szCs w:val="22"/>
        </w:rPr>
        <w:t xml:space="preserve">previously granted applications for construction permits </w:t>
      </w:r>
      <w:r w:rsidRPr="005933FC" w:rsidR="00523915">
        <w:rPr>
          <w:szCs w:val="22"/>
        </w:rPr>
        <w:t xml:space="preserve">either </w:t>
      </w:r>
      <w:r w:rsidRPr="005933FC" w:rsidR="00790D8D">
        <w:rPr>
          <w:szCs w:val="22"/>
        </w:rPr>
        <w:t xml:space="preserve">supported only by an articles </w:t>
      </w:r>
      <w:r w:rsidRPr="005933FC" w:rsidR="00790D8D">
        <w:rPr>
          <w:szCs w:val="22"/>
        </w:rPr>
        <w:t xml:space="preserve">of incorporation attachment, or </w:t>
      </w:r>
      <w:r w:rsidRPr="005933FC" w:rsidR="00584239">
        <w:rPr>
          <w:szCs w:val="22"/>
        </w:rPr>
        <w:t xml:space="preserve">a </w:t>
      </w:r>
      <w:r w:rsidRPr="005933FC" w:rsidR="009C3682">
        <w:rPr>
          <w:szCs w:val="22"/>
        </w:rPr>
        <w:t>short description comprised of two sentences.</w:t>
      </w:r>
      <w:r>
        <w:rPr>
          <w:rStyle w:val="FootnoteReference"/>
          <w:sz w:val="22"/>
          <w:szCs w:val="22"/>
        </w:rPr>
        <w:footnoteReference w:id="17"/>
      </w:r>
      <w:r w:rsidRPr="005933FC" w:rsidR="00982F56">
        <w:rPr>
          <w:szCs w:val="22"/>
        </w:rPr>
        <w:t xml:space="preserve">  </w:t>
      </w:r>
      <w:r w:rsidRPr="005933FC" w:rsidR="00AC408C">
        <w:rPr>
          <w:szCs w:val="22"/>
        </w:rPr>
        <w:t xml:space="preserve">MIM </w:t>
      </w:r>
      <w:r w:rsidRPr="005933FC" w:rsidR="00863A96">
        <w:rPr>
          <w:szCs w:val="22"/>
        </w:rPr>
        <w:t>also argues</w:t>
      </w:r>
      <w:r w:rsidRPr="005933FC" w:rsidR="00AC408C">
        <w:rPr>
          <w:szCs w:val="22"/>
        </w:rPr>
        <w:t xml:space="preserve"> that </w:t>
      </w:r>
      <w:r w:rsidRPr="005933FC" w:rsidR="00A41FD4">
        <w:rPr>
          <w:szCs w:val="22"/>
        </w:rPr>
        <w:t xml:space="preserve">ACE incorrectly </w:t>
      </w:r>
      <w:r w:rsidRPr="005933FC" w:rsidR="00AE6607">
        <w:rPr>
          <w:szCs w:val="22"/>
        </w:rPr>
        <w:t>equates</w:t>
      </w:r>
      <w:r w:rsidRPr="005933FC" w:rsidR="00A41FD4">
        <w:rPr>
          <w:szCs w:val="22"/>
        </w:rPr>
        <w:t xml:space="preserve"> the educational programming certification </w:t>
      </w:r>
      <w:r w:rsidRPr="005933FC" w:rsidR="00AE6607">
        <w:rPr>
          <w:szCs w:val="22"/>
        </w:rPr>
        <w:t>to</w:t>
      </w:r>
      <w:r w:rsidRPr="005933FC" w:rsidR="00A41FD4">
        <w:rPr>
          <w:szCs w:val="22"/>
        </w:rPr>
        <w:t xml:space="preserve"> a comparative </w:t>
      </w:r>
      <w:r w:rsidRPr="005933FC" w:rsidR="00131EEF">
        <w:rPr>
          <w:szCs w:val="22"/>
        </w:rPr>
        <w:t>point claim, whic</w:t>
      </w:r>
      <w:r w:rsidRPr="005933FC" w:rsidR="00AE6607">
        <w:rPr>
          <w:szCs w:val="22"/>
        </w:rPr>
        <w:t>h has stricter support requirements</w:t>
      </w:r>
      <w:r w:rsidRPr="005933FC" w:rsidR="00131EEF">
        <w:rPr>
          <w:szCs w:val="22"/>
        </w:rPr>
        <w:t>.</w:t>
      </w:r>
      <w:r>
        <w:rPr>
          <w:rStyle w:val="FootnoteReference"/>
          <w:sz w:val="22"/>
          <w:szCs w:val="22"/>
        </w:rPr>
        <w:footnoteReference w:id="18"/>
      </w:r>
      <w:r w:rsidRPr="005933FC" w:rsidR="00AE6607">
        <w:rPr>
          <w:szCs w:val="22"/>
        </w:rPr>
        <w:t xml:space="preserve">  Lastly, </w:t>
      </w:r>
      <w:r w:rsidRPr="005933FC" w:rsidR="00BB6D1A">
        <w:rPr>
          <w:szCs w:val="22"/>
        </w:rPr>
        <w:t xml:space="preserve">MIM argues that ACE </w:t>
      </w:r>
      <w:r w:rsidRPr="005933FC" w:rsidR="00ED3C89">
        <w:rPr>
          <w:szCs w:val="22"/>
        </w:rPr>
        <w:t>either fails to cite to any precedent</w:t>
      </w:r>
      <w:r w:rsidRPr="005933FC" w:rsidR="00F76352">
        <w:rPr>
          <w:szCs w:val="22"/>
        </w:rPr>
        <w:t xml:space="preserve">, or </w:t>
      </w:r>
      <w:r w:rsidRPr="005933FC" w:rsidR="00ED3C89">
        <w:rPr>
          <w:szCs w:val="22"/>
        </w:rPr>
        <w:t xml:space="preserve">cites </w:t>
      </w:r>
      <w:r w:rsidRPr="005933FC" w:rsidR="00F76352">
        <w:rPr>
          <w:szCs w:val="22"/>
        </w:rPr>
        <w:t xml:space="preserve">inapplicable </w:t>
      </w:r>
      <w:r w:rsidRPr="005933FC" w:rsidR="00A24580">
        <w:rPr>
          <w:szCs w:val="22"/>
        </w:rPr>
        <w:t>precedent</w:t>
      </w:r>
      <w:r w:rsidRPr="005933FC" w:rsidR="00F76352">
        <w:rPr>
          <w:szCs w:val="22"/>
        </w:rPr>
        <w:t xml:space="preserve">, to demonstrate that </w:t>
      </w:r>
      <w:r w:rsidRPr="005933FC" w:rsidR="00B623A1">
        <w:rPr>
          <w:szCs w:val="22"/>
        </w:rPr>
        <w:t>MIM’s</w:t>
      </w:r>
      <w:r w:rsidRPr="005933FC" w:rsidR="00F76352">
        <w:rPr>
          <w:szCs w:val="22"/>
        </w:rPr>
        <w:t xml:space="preserve"> educational programming statement is insufficient.</w:t>
      </w:r>
      <w:r>
        <w:rPr>
          <w:rStyle w:val="FootnoteReference"/>
          <w:sz w:val="22"/>
          <w:szCs w:val="22"/>
        </w:rPr>
        <w:footnoteReference w:id="19"/>
      </w:r>
    </w:p>
    <w:p w:rsidR="00674965" w:rsidRPr="005933FC" w:rsidP="002A4A78" w14:paraId="4088085E" w14:textId="677E1C3A">
      <w:pPr>
        <w:pStyle w:val="ParaNum"/>
        <w:widowControl/>
        <w:numPr>
          <w:ilvl w:val="0"/>
          <w:numId w:val="0"/>
        </w:numPr>
        <w:ind w:firstLine="720"/>
        <w:rPr>
          <w:szCs w:val="22"/>
        </w:rPr>
      </w:pPr>
      <w:r w:rsidRPr="005933FC">
        <w:rPr>
          <w:szCs w:val="22"/>
        </w:rPr>
        <w:t xml:space="preserve">On May 17, 2022, </w:t>
      </w:r>
      <w:r w:rsidRPr="005933FC" w:rsidR="00344A39">
        <w:rPr>
          <w:szCs w:val="22"/>
        </w:rPr>
        <w:t>MIM</w:t>
      </w:r>
      <w:r w:rsidRPr="005933FC">
        <w:rPr>
          <w:szCs w:val="22"/>
        </w:rPr>
        <w:t xml:space="preserve"> amended its application to include </w:t>
      </w:r>
      <w:r w:rsidRPr="005933FC" w:rsidR="00104499">
        <w:rPr>
          <w:szCs w:val="22"/>
        </w:rPr>
        <w:t xml:space="preserve">two additional exhibits containing </w:t>
      </w:r>
      <w:r w:rsidRPr="005933FC">
        <w:rPr>
          <w:szCs w:val="22"/>
        </w:rPr>
        <w:t>supplemental documentation of reasonable site assurance and an advancement of educational programming description</w:t>
      </w:r>
      <w:r w:rsidR="00CB1C0E">
        <w:rPr>
          <w:szCs w:val="22"/>
        </w:rPr>
        <w:t xml:space="preserve"> (Amended MIM Application)</w:t>
      </w:r>
      <w:r w:rsidRPr="005933FC">
        <w:rPr>
          <w:szCs w:val="22"/>
        </w:rPr>
        <w:t xml:space="preserve">.  </w:t>
      </w:r>
    </w:p>
    <w:p w:rsidR="00146DD0" w:rsidRPr="005933FC" w:rsidP="002A4A78" w14:paraId="11902946" w14:textId="0BE9E0FA">
      <w:pPr>
        <w:pStyle w:val="ParaNum"/>
        <w:widowControl/>
        <w:numPr>
          <w:ilvl w:val="0"/>
          <w:numId w:val="0"/>
        </w:numPr>
        <w:ind w:firstLine="720"/>
        <w:rPr>
          <w:szCs w:val="22"/>
        </w:rPr>
      </w:pPr>
      <w:r w:rsidRPr="005933FC">
        <w:rPr>
          <w:szCs w:val="22"/>
        </w:rPr>
        <w:t>In its Reply</w:t>
      </w:r>
      <w:r w:rsidR="007F60CD">
        <w:rPr>
          <w:szCs w:val="22"/>
        </w:rPr>
        <w:t xml:space="preserve"> to the Opposition</w:t>
      </w:r>
      <w:r w:rsidRPr="005933FC">
        <w:rPr>
          <w:szCs w:val="22"/>
        </w:rPr>
        <w:t xml:space="preserve">, </w:t>
      </w:r>
      <w:r w:rsidRPr="005933FC" w:rsidR="005D4CF1">
        <w:rPr>
          <w:szCs w:val="22"/>
        </w:rPr>
        <w:t xml:space="preserve">ACE </w:t>
      </w:r>
      <w:r w:rsidRPr="005933FC" w:rsidR="00C10AC1">
        <w:rPr>
          <w:szCs w:val="22"/>
        </w:rPr>
        <w:t>argues</w:t>
      </w:r>
      <w:r w:rsidRPr="005933FC" w:rsidR="005D4CF1">
        <w:rPr>
          <w:szCs w:val="22"/>
        </w:rPr>
        <w:t xml:space="preserve"> that MIM</w:t>
      </w:r>
      <w:r w:rsidRPr="005933FC" w:rsidR="00131132">
        <w:rPr>
          <w:szCs w:val="22"/>
        </w:rPr>
        <w:t xml:space="preserve"> effectively</w:t>
      </w:r>
      <w:r w:rsidRPr="005933FC" w:rsidR="00ED467C">
        <w:rPr>
          <w:szCs w:val="22"/>
        </w:rPr>
        <w:t xml:space="preserve"> </w:t>
      </w:r>
      <w:r w:rsidRPr="005933FC" w:rsidR="005D4CF1">
        <w:rPr>
          <w:szCs w:val="22"/>
        </w:rPr>
        <w:t>admits</w:t>
      </w:r>
      <w:r w:rsidRPr="005933FC" w:rsidR="00ED467C">
        <w:rPr>
          <w:szCs w:val="22"/>
        </w:rPr>
        <w:t xml:space="preserve"> it failed to follow instructions regarding reasonable site assurance documentation</w:t>
      </w:r>
      <w:r w:rsidRPr="005933FC" w:rsidR="00C10AC1">
        <w:rPr>
          <w:szCs w:val="22"/>
        </w:rPr>
        <w:t>, and reiterates that dismissal is appropriate if the Bureau finds an applicant did not have reasonable site assurance at the time its application was filed</w:t>
      </w:r>
      <w:r w:rsidRPr="005933FC" w:rsidR="006402DB">
        <w:rPr>
          <w:szCs w:val="22"/>
        </w:rPr>
        <w:t>.</w:t>
      </w:r>
      <w:r>
        <w:rPr>
          <w:rStyle w:val="FootnoteReference"/>
          <w:sz w:val="22"/>
          <w:szCs w:val="22"/>
        </w:rPr>
        <w:footnoteReference w:id="20"/>
      </w:r>
      <w:r w:rsidRPr="005933FC" w:rsidR="006E6E7B">
        <w:rPr>
          <w:szCs w:val="22"/>
        </w:rPr>
        <w:t xml:space="preserve"> </w:t>
      </w:r>
      <w:r w:rsidRPr="005933FC" w:rsidR="0026099B">
        <w:rPr>
          <w:szCs w:val="22"/>
        </w:rPr>
        <w:t xml:space="preserve"> </w:t>
      </w:r>
      <w:r w:rsidRPr="005933FC" w:rsidR="00131132">
        <w:rPr>
          <w:szCs w:val="22"/>
        </w:rPr>
        <w:t xml:space="preserve">ACE further argues that whether or not MIM obtained reasonable site assurance, it failed to document </w:t>
      </w:r>
      <w:r w:rsidRPr="005933FC" w:rsidR="00106F96">
        <w:rPr>
          <w:szCs w:val="22"/>
        </w:rPr>
        <w:t xml:space="preserve">the claimed </w:t>
      </w:r>
      <w:r w:rsidRPr="005933FC" w:rsidR="009A6011">
        <w:rPr>
          <w:szCs w:val="22"/>
        </w:rPr>
        <w:t>site assurance</w:t>
      </w:r>
      <w:r w:rsidRPr="005933FC" w:rsidR="00937DA3">
        <w:rPr>
          <w:szCs w:val="22"/>
        </w:rPr>
        <w:t>,</w:t>
      </w:r>
      <w:r w:rsidRPr="005933FC" w:rsidR="009A6011">
        <w:rPr>
          <w:szCs w:val="22"/>
        </w:rPr>
        <w:t xml:space="preserve"> in violation of the </w:t>
      </w:r>
      <w:r w:rsidRPr="005933FC" w:rsidR="00EE599B">
        <w:rPr>
          <w:szCs w:val="22"/>
        </w:rPr>
        <w:t xml:space="preserve">application </w:t>
      </w:r>
      <w:r w:rsidRPr="005933FC" w:rsidR="009A6011">
        <w:rPr>
          <w:szCs w:val="22"/>
        </w:rPr>
        <w:t>requirements</w:t>
      </w:r>
      <w:r w:rsidRPr="005933FC" w:rsidR="00937DA3">
        <w:rPr>
          <w:szCs w:val="22"/>
        </w:rPr>
        <w:t xml:space="preserve">, and therefore </w:t>
      </w:r>
      <w:r w:rsidRPr="005933FC" w:rsidR="00045370">
        <w:rPr>
          <w:szCs w:val="22"/>
        </w:rPr>
        <w:t>its late-filed</w:t>
      </w:r>
      <w:r w:rsidRPr="005933FC" w:rsidR="00937DA3">
        <w:rPr>
          <w:szCs w:val="22"/>
        </w:rPr>
        <w:t xml:space="preserve"> supplemental documentation</w:t>
      </w:r>
      <w:r w:rsidRPr="005933FC" w:rsidR="007D2789">
        <w:rPr>
          <w:szCs w:val="22"/>
        </w:rPr>
        <w:t>, which lacks a waiver request,</w:t>
      </w:r>
      <w:r w:rsidRPr="005933FC" w:rsidR="00937DA3">
        <w:rPr>
          <w:szCs w:val="22"/>
        </w:rPr>
        <w:t xml:space="preserve"> should be </w:t>
      </w:r>
      <w:r w:rsidRPr="005933FC" w:rsidR="007E6B65">
        <w:rPr>
          <w:szCs w:val="22"/>
        </w:rPr>
        <w:t>rejected</w:t>
      </w:r>
      <w:r w:rsidRPr="005933FC" w:rsidR="00937DA3">
        <w:rPr>
          <w:szCs w:val="22"/>
        </w:rPr>
        <w:t>.</w:t>
      </w:r>
      <w:r>
        <w:rPr>
          <w:rStyle w:val="FootnoteReference"/>
          <w:sz w:val="22"/>
          <w:szCs w:val="22"/>
        </w:rPr>
        <w:footnoteReference w:id="21"/>
      </w:r>
      <w:r w:rsidRPr="005933FC" w:rsidR="00937DA3">
        <w:rPr>
          <w:szCs w:val="22"/>
        </w:rPr>
        <w:t xml:space="preserve"> </w:t>
      </w:r>
      <w:r w:rsidRPr="005933FC" w:rsidR="00387BD4">
        <w:rPr>
          <w:szCs w:val="22"/>
        </w:rPr>
        <w:t xml:space="preserve"> ACE also </w:t>
      </w:r>
      <w:r w:rsidRPr="005933FC" w:rsidR="00EB7DAE">
        <w:rPr>
          <w:szCs w:val="22"/>
        </w:rPr>
        <w:t>reiterates that MIM fail</w:t>
      </w:r>
      <w:r w:rsidRPr="005933FC" w:rsidR="00A65C0C">
        <w:rPr>
          <w:szCs w:val="22"/>
        </w:rPr>
        <w:t>ed</w:t>
      </w:r>
      <w:r w:rsidRPr="005933FC" w:rsidR="00EB7DAE">
        <w:rPr>
          <w:szCs w:val="22"/>
        </w:rPr>
        <w:t xml:space="preserve"> to provide any educational objective or description of its educational programming</w:t>
      </w:r>
      <w:r w:rsidRPr="005933FC" w:rsidR="006D2A3E">
        <w:rPr>
          <w:szCs w:val="22"/>
        </w:rPr>
        <w:t xml:space="preserve"> by the filing deadline, and therefore its</w:t>
      </w:r>
      <w:r w:rsidRPr="005933FC" w:rsidR="0061562A">
        <w:rPr>
          <w:szCs w:val="22"/>
        </w:rPr>
        <w:t xml:space="preserve"> late-filed</w:t>
      </w:r>
      <w:r w:rsidRPr="005933FC" w:rsidR="006D2A3E">
        <w:rPr>
          <w:szCs w:val="22"/>
        </w:rPr>
        <w:t xml:space="preserve"> supplemental description</w:t>
      </w:r>
      <w:r w:rsidRPr="005933FC" w:rsidR="00A65C0C">
        <w:rPr>
          <w:szCs w:val="22"/>
        </w:rPr>
        <w:t xml:space="preserve">, </w:t>
      </w:r>
      <w:r w:rsidRPr="005933FC" w:rsidR="007D2789">
        <w:rPr>
          <w:szCs w:val="22"/>
        </w:rPr>
        <w:t>which lacks</w:t>
      </w:r>
      <w:r w:rsidRPr="005933FC" w:rsidR="00A65C0C">
        <w:rPr>
          <w:szCs w:val="22"/>
        </w:rPr>
        <w:t xml:space="preserve"> a waiver request,</w:t>
      </w:r>
      <w:r w:rsidRPr="005933FC" w:rsidR="006D2A3E">
        <w:rPr>
          <w:szCs w:val="22"/>
        </w:rPr>
        <w:t xml:space="preserve"> should be </w:t>
      </w:r>
      <w:r w:rsidRPr="005933FC" w:rsidR="00A65C0C">
        <w:rPr>
          <w:szCs w:val="22"/>
        </w:rPr>
        <w:t>rejected</w:t>
      </w:r>
      <w:r w:rsidRPr="005933FC" w:rsidR="006D2A3E">
        <w:rPr>
          <w:szCs w:val="22"/>
        </w:rPr>
        <w:t>.</w:t>
      </w:r>
      <w:r>
        <w:rPr>
          <w:rStyle w:val="FootnoteReference"/>
          <w:sz w:val="22"/>
          <w:szCs w:val="22"/>
        </w:rPr>
        <w:footnoteReference w:id="22"/>
      </w:r>
      <w:r w:rsidR="00FA4656">
        <w:rPr>
          <w:szCs w:val="22"/>
        </w:rPr>
        <w:t xml:space="preserve"> </w:t>
      </w:r>
    </w:p>
    <w:p w:rsidR="003C7866" w:rsidRPr="005933FC" w:rsidP="002A4A78" w14:paraId="57049F4B" w14:textId="0D9F9351">
      <w:pPr>
        <w:pStyle w:val="ParaNum"/>
        <w:numPr>
          <w:ilvl w:val="0"/>
          <w:numId w:val="0"/>
        </w:numPr>
        <w:ind w:firstLine="720"/>
        <w:rPr>
          <w:szCs w:val="22"/>
        </w:rPr>
      </w:pPr>
      <w:r w:rsidRPr="005933FC">
        <w:rPr>
          <w:i/>
          <w:iCs/>
          <w:szCs w:val="22"/>
        </w:rPr>
        <w:t>Discussion</w:t>
      </w:r>
      <w:r w:rsidRPr="005933FC">
        <w:rPr>
          <w:szCs w:val="22"/>
        </w:rPr>
        <w:t>.</w:t>
      </w:r>
      <w:r w:rsidRPr="005933FC">
        <w:rPr>
          <w:i/>
          <w:iCs/>
          <w:szCs w:val="22"/>
        </w:rPr>
        <w:t xml:space="preserve">  </w:t>
      </w:r>
      <w:r w:rsidRPr="005933FC">
        <w:rPr>
          <w:szCs w:val="22"/>
        </w:rPr>
        <w:t xml:space="preserve">Pursuant to </w:t>
      </w:r>
      <w:r w:rsidRPr="005933FC" w:rsidR="00C31230">
        <w:rPr>
          <w:szCs w:val="22"/>
        </w:rPr>
        <w:t>s</w:t>
      </w:r>
      <w:r w:rsidRPr="005933FC">
        <w:rPr>
          <w:szCs w:val="22"/>
        </w:rPr>
        <w:t>ection 309(d) of the Act,</w:t>
      </w:r>
      <w:r>
        <w:rPr>
          <w:rStyle w:val="FootnoteReference"/>
          <w:sz w:val="22"/>
          <w:szCs w:val="22"/>
        </w:rPr>
        <w:footnoteReference w:id="23"/>
      </w:r>
      <w:r w:rsidRPr="005933FC">
        <w:rPr>
          <w:szCs w:val="22"/>
        </w:rPr>
        <w:t xml:space="preserve"> </w:t>
      </w:r>
      <w:bookmarkStart w:id="1" w:name="SR;619"/>
      <w:bookmarkEnd w:id="1"/>
      <w:r w:rsidRPr="005933FC">
        <w:rPr>
          <w:rStyle w:val="searchterm"/>
          <w:szCs w:val="22"/>
        </w:rPr>
        <w:t>petitions to deny and informal objections</w:t>
      </w:r>
      <w:r w:rsidRPr="005933FC">
        <w:rPr>
          <w:szCs w:val="22"/>
        </w:rPr>
        <w:t xml:space="preserve"> must provide properly supported allegations of fact that, if true, would establish a substantial and material question of fact that grant of the application would be </w:t>
      </w:r>
      <w:bookmarkStart w:id="2" w:name="SR;651"/>
      <w:bookmarkEnd w:id="2"/>
      <w:r w:rsidRPr="005933FC">
        <w:rPr>
          <w:rStyle w:val="searchterm"/>
          <w:i/>
          <w:szCs w:val="22"/>
        </w:rPr>
        <w:t>prima</w:t>
      </w:r>
      <w:r w:rsidRPr="005933FC">
        <w:rPr>
          <w:i/>
          <w:szCs w:val="22"/>
        </w:rPr>
        <w:t xml:space="preserve"> </w:t>
      </w:r>
      <w:bookmarkStart w:id="3" w:name="SR;652"/>
      <w:bookmarkEnd w:id="3"/>
      <w:r w:rsidRPr="005933FC">
        <w:rPr>
          <w:rStyle w:val="searchterm"/>
          <w:i/>
          <w:szCs w:val="22"/>
        </w:rPr>
        <w:t>facie</w:t>
      </w:r>
      <w:r w:rsidRPr="005933FC">
        <w:rPr>
          <w:szCs w:val="22"/>
        </w:rPr>
        <w:t xml:space="preserve"> inconsistent with the public interest.</w:t>
      </w:r>
      <w:r>
        <w:rPr>
          <w:rStyle w:val="FootnoteReference"/>
          <w:sz w:val="22"/>
          <w:szCs w:val="22"/>
        </w:rPr>
        <w:footnoteReference w:id="24"/>
      </w:r>
      <w:r w:rsidRPr="005933FC">
        <w:rPr>
          <w:szCs w:val="22"/>
        </w:rPr>
        <w:t xml:space="preserve">  </w:t>
      </w:r>
    </w:p>
    <w:p w:rsidR="00B10C39" w:rsidP="007302EA" w14:paraId="4BFD940A" w14:textId="098865C4">
      <w:pPr>
        <w:pStyle w:val="ParaNum"/>
        <w:widowControl/>
        <w:numPr>
          <w:ilvl w:val="0"/>
          <w:numId w:val="0"/>
        </w:numPr>
        <w:ind w:firstLine="720"/>
        <w:rPr>
          <w:szCs w:val="22"/>
        </w:rPr>
      </w:pPr>
      <w:r w:rsidRPr="005933FC">
        <w:rPr>
          <w:i/>
          <w:iCs/>
          <w:szCs w:val="22"/>
        </w:rPr>
        <w:t>Reasonable Site Assurance</w:t>
      </w:r>
      <w:r w:rsidRPr="005933FC">
        <w:rPr>
          <w:szCs w:val="22"/>
        </w:rPr>
        <w:t xml:space="preserve">.  </w:t>
      </w:r>
      <w:r w:rsidR="00605C58">
        <w:rPr>
          <w:bCs/>
          <w:szCs w:val="22"/>
        </w:rPr>
        <w:t>Each NCE FM</w:t>
      </w:r>
      <w:r w:rsidRPr="00613EED" w:rsidR="00605C58">
        <w:rPr>
          <w:bCs/>
          <w:szCs w:val="22"/>
        </w:rPr>
        <w:t xml:space="preserve"> applicant must have reasonable assurance that its specified site will be available for the construction and operation of its proposed facilities</w:t>
      </w:r>
      <w:r w:rsidR="00605C58">
        <w:rPr>
          <w:bCs/>
          <w:szCs w:val="22"/>
        </w:rPr>
        <w:t xml:space="preserve"> at the time it files its application.</w:t>
      </w:r>
      <w:r w:rsidRPr="005933FC">
        <w:rPr>
          <w:szCs w:val="22"/>
        </w:rPr>
        <w:t>.</w:t>
      </w:r>
      <w:r>
        <w:rPr>
          <w:rStyle w:val="FootnoteReference"/>
          <w:sz w:val="22"/>
          <w:szCs w:val="22"/>
        </w:rPr>
        <w:footnoteReference w:id="25"/>
      </w:r>
      <w:r w:rsidRPr="005933FC">
        <w:rPr>
          <w:szCs w:val="22"/>
        </w:rPr>
        <w:t xml:space="preserve">  </w:t>
      </w:r>
      <w:r w:rsidR="00110E8D">
        <w:rPr>
          <w:szCs w:val="22"/>
        </w:rPr>
        <w:t>Schedule</w:t>
      </w:r>
      <w:r w:rsidR="00723B49">
        <w:rPr>
          <w:szCs w:val="22"/>
        </w:rPr>
        <w:t xml:space="preserve"> 340  instructs applicants</w:t>
      </w:r>
      <w:r w:rsidR="003B2364">
        <w:rPr>
          <w:szCs w:val="22"/>
        </w:rPr>
        <w:t xml:space="preserve"> to</w:t>
      </w:r>
      <w:r w:rsidRPr="005933FC" w:rsidR="00BC54C4">
        <w:rPr>
          <w:szCs w:val="22"/>
        </w:rPr>
        <w:t xml:space="preserve"> specify the name of the person contacted to verify the site's availability, the person's telephone number, and whether the contact is the tower owner, </w:t>
      </w:r>
      <w:r w:rsidRPr="005933FC" w:rsidR="00BC54C4">
        <w:rPr>
          <w:szCs w:val="22"/>
        </w:rPr>
        <w:t>agent, or authorized representative.”</w:t>
      </w:r>
      <w:r>
        <w:rPr>
          <w:rStyle w:val="FootnoteReference"/>
          <w:sz w:val="22"/>
          <w:szCs w:val="22"/>
        </w:rPr>
        <w:footnoteReference w:id="26"/>
      </w:r>
      <w:r w:rsidRPr="005933FC" w:rsidR="00E10B1A">
        <w:rPr>
          <w:szCs w:val="22"/>
        </w:rPr>
        <w:t xml:space="preserve">  </w:t>
      </w:r>
      <w:r w:rsidRPr="005933FC">
        <w:rPr>
          <w:szCs w:val="22"/>
        </w:rPr>
        <w:t>If the Bureau finds that an applicant did not have reasonable site assurance at the time its application was filed, the Bureau will dismiss the application</w:t>
      </w:r>
      <w:r w:rsidR="00D14DC5">
        <w:rPr>
          <w:szCs w:val="22"/>
        </w:rPr>
        <w:t>.</w:t>
      </w:r>
      <w:r>
        <w:rPr>
          <w:rStyle w:val="FootnoteReference"/>
          <w:szCs w:val="22"/>
        </w:rPr>
        <w:footnoteReference w:id="27"/>
      </w:r>
      <w:r w:rsidRPr="005933FC" w:rsidR="00995EA7">
        <w:rPr>
          <w:szCs w:val="22"/>
        </w:rPr>
        <w:t xml:space="preserve"> </w:t>
      </w:r>
      <w:r w:rsidRPr="005933FC">
        <w:rPr>
          <w:szCs w:val="22"/>
        </w:rPr>
        <w:t xml:space="preserve"> </w:t>
      </w:r>
    </w:p>
    <w:p w:rsidR="000D55C6" w:rsidRPr="005933FC" w:rsidP="007302EA" w14:paraId="33E161D3" w14:textId="79BAC3D7">
      <w:pPr>
        <w:pStyle w:val="ParaNum"/>
        <w:widowControl/>
        <w:numPr>
          <w:ilvl w:val="0"/>
          <w:numId w:val="0"/>
        </w:numPr>
        <w:ind w:firstLine="720"/>
        <w:rPr>
          <w:szCs w:val="22"/>
        </w:rPr>
      </w:pPr>
      <w:r w:rsidRPr="005933FC">
        <w:rPr>
          <w:szCs w:val="22"/>
        </w:rPr>
        <w:t>Here,</w:t>
      </w:r>
      <w:r w:rsidRPr="005933FC" w:rsidR="009A7228">
        <w:rPr>
          <w:szCs w:val="22"/>
        </w:rPr>
        <w:t xml:space="preserve"> we</w:t>
      </w:r>
      <w:r w:rsidRPr="005933FC">
        <w:rPr>
          <w:szCs w:val="22"/>
        </w:rPr>
        <w:t xml:space="preserve"> find no </w:t>
      </w:r>
      <w:r w:rsidRPr="005933FC" w:rsidR="001C3168">
        <w:rPr>
          <w:szCs w:val="22"/>
        </w:rPr>
        <w:t>reason to</w:t>
      </w:r>
      <w:r w:rsidRPr="005933FC" w:rsidR="009A7228">
        <w:rPr>
          <w:szCs w:val="22"/>
        </w:rPr>
        <w:t xml:space="preserve"> conclude that </w:t>
      </w:r>
      <w:r w:rsidRPr="005933FC" w:rsidR="001C3168">
        <w:rPr>
          <w:szCs w:val="22"/>
        </w:rPr>
        <w:t>MIM</w:t>
      </w:r>
      <w:r w:rsidRPr="005933FC" w:rsidR="009A7228">
        <w:rPr>
          <w:szCs w:val="22"/>
        </w:rPr>
        <w:t xml:space="preserve"> lacked a reasonable basis to certify that it obtained reasonable site assurance</w:t>
      </w:r>
      <w:r w:rsidRPr="005933FC" w:rsidR="003B7F34">
        <w:rPr>
          <w:szCs w:val="22"/>
        </w:rPr>
        <w:t xml:space="preserve"> when it filed the MIM Application</w:t>
      </w:r>
      <w:r w:rsidRPr="005933FC" w:rsidR="001C3168">
        <w:rPr>
          <w:szCs w:val="22"/>
        </w:rPr>
        <w:t xml:space="preserve">.  </w:t>
      </w:r>
      <w:r w:rsidR="004E4C5E">
        <w:rPr>
          <w:szCs w:val="22"/>
        </w:rPr>
        <w:t xml:space="preserve">While </w:t>
      </w:r>
      <w:r w:rsidRPr="005933FC" w:rsidR="004D4B61">
        <w:rPr>
          <w:szCs w:val="22"/>
        </w:rPr>
        <w:t>MIM</w:t>
      </w:r>
      <w:r w:rsidRPr="005933FC" w:rsidR="00995EA7">
        <w:rPr>
          <w:szCs w:val="22"/>
        </w:rPr>
        <w:t xml:space="preserve"> </w:t>
      </w:r>
      <w:r w:rsidR="00E770DD">
        <w:rPr>
          <w:szCs w:val="22"/>
        </w:rPr>
        <w:t xml:space="preserve"> </w:t>
      </w:r>
      <w:r w:rsidRPr="005933FC" w:rsidR="00995EA7">
        <w:rPr>
          <w:szCs w:val="22"/>
        </w:rPr>
        <w:t>fail</w:t>
      </w:r>
      <w:r w:rsidRPr="005933FC" w:rsidR="004D4B61">
        <w:rPr>
          <w:szCs w:val="22"/>
        </w:rPr>
        <w:t>ed</w:t>
      </w:r>
      <w:r w:rsidRPr="005933FC" w:rsidR="00995EA7">
        <w:rPr>
          <w:szCs w:val="22"/>
        </w:rPr>
        <w:t xml:space="preserve"> to</w:t>
      </w:r>
      <w:r w:rsidR="00E770DD">
        <w:rPr>
          <w:szCs w:val="22"/>
        </w:rPr>
        <w:t xml:space="preserve"> </w:t>
      </w:r>
      <w:r w:rsidR="00D14DC5">
        <w:rPr>
          <w:szCs w:val="22"/>
        </w:rPr>
        <w:t xml:space="preserve">strictly </w:t>
      </w:r>
      <w:r w:rsidR="00D95823">
        <w:rPr>
          <w:szCs w:val="22"/>
        </w:rPr>
        <w:t>follow</w:t>
      </w:r>
      <w:r w:rsidR="00E770DD">
        <w:rPr>
          <w:szCs w:val="22"/>
        </w:rPr>
        <w:t xml:space="preserve"> </w:t>
      </w:r>
      <w:r w:rsidR="00D95823">
        <w:rPr>
          <w:szCs w:val="22"/>
        </w:rPr>
        <w:t>the documentation</w:t>
      </w:r>
      <w:r w:rsidR="00E770DD">
        <w:rPr>
          <w:szCs w:val="22"/>
        </w:rPr>
        <w:t xml:space="preserve"> </w:t>
      </w:r>
      <w:r w:rsidR="00556DE2">
        <w:rPr>
          <w:szCs w:val="22"/>
        </w:rPr>
        <w:t>requirements outline</w:t>
      </w:r>
      <w:r w:rsidR="00C06211">
        <w:rPr>
          <w:szCs w:val="22"/>
        </w:rPr>
        <w:t>d</w:t>
      </w:r>
      <w:r w:rsidR="00556DE2">
        <w:rPr>
          <w:szCs w:val="22"/>
        </w:rPr>
        <w:t xml:space="preserve"> by </w:t>
      </w:r>
      <w:r w:rsidR="00110E8D">
        <w:rPr>
          <w:szCs w:val="22"/>
        </w:rPr>
        <w:t xml:space="preserve">Schedule </w:t>
      </w:r>
      <w:r w:rsidR="00556DE2">
        <w:rPr>
          <w:szCs w:val="22"/>
        </w:rPr>
        <w:t>340</w:t>
      </w:r>
      <w:r w:rsidR="00E770DD">
        <w:rPr>
          <w:szCs w:val="22"/>
        </w:rPr>
        <w:t xml:space="preserve">, </w:t>
      </w:r>
      <w:r w:rsidR="00D95823">
        <w:rPr>
          <w:szCs w:val="22"/>
        </w:rPr>
        <w:t xml:space="preserve">initially </w:t>
      </w:r>
      <w:r w:rsidRPr="005933FC" w:rsidR="003E1829">
        <w:rPr>
          <w:szCs w:val="22"/>
        </w:rPr>
        <w:t xml:space="preserve">listing only the </w:t>
      </w:r>
      <w:r w:rsidRPr="005933FC" w:rsidR="005C50F6">
        <w:rPr>
          <w:szCs w:val="22"/>
        </w:rPr>
        <w:t xml:space="preserve">American Tower </w:t>
      </w:r>
      <w:r w:rsidRPr="005933FC" w:rsidR="003E1829">
        <w:rPr>
          <w:szCs w:val="22"/>
        </w:rPr>
        <w:t>name and its main phone line</w:t>
      </w:r>
      <w:r w:rsidR="004E4C5E">
        <w:rPr>
          <w:szCs w:val="22"/>
        </w:rPr>
        <w:t xml:space="preserve">, MIM </w:t>
      </w:r>
      <w:r w:rsidR="00556DE2">
        <w:rPr>
          <w:szCs w:val="22"/>
        </w:rPr>
        <w:t>maintains</w:t>
      </w:r>
      <w:r w:rsidR="004E4C5E">
        <w:rPr>
          <w:szCs w:val="22"/>
        </w:rPr>
        <w:t xml:space="preserve"> that it obtained site assurance prior to the filing deadline</w:t>
      </w:r>
      <w:r w:rsidR="00D95823">
        <w:rPr>
          <w:szCs w:val="22"/>
        </w:rPr>
        <w:t>, as required</w:t>
      </w:r>
      <w:r w:rsidR="004E4C5E">
        <w:rPr>
          <w:szCs w:val="22"/>
        </w:rPr>
        <w:t>.  In support of this claim,</w:t>
      </w:r>
      <w:r w:rsidRPr="005933FC" w:rsidR="003E1829">
        <w:rPr>
          <w:szCs w:val="22"/>
        </w:rPr>
        <w:t xml:space="preserve"> MIM </w:t>
      </w:r>
      <w:r w:rsidR="001F22FE">
        <w:rPr>
          <w:szCs w:val="22"/>
        </w:rPr>
        <w:t>submits</w:t>
      </w:r>
      <w:r w:rsidRPr="005933FC" w:rsidR="003E1829">
        <w:rPr>
          <w:szCs w:val="22"/>
        </w:rPr>
        <w:t xml:space="preserve"> </w:t>
      </w:r>
      <w:r w:rsidRPr="005933FC" w:rsidR="00203312">
        <w:rPr>
          <w:szCs w:val="22"/>
        </w:rPr>
        <w:t>a declaration</w:t>
      </w:r>
      <w:r w:rsidR="00D95823">
        <w:rPr>
          <w:szCs w:val="22"/>
        </w:rPr>
        <w:t>,</w:t>
      </w:r>
      <w:r w:rsidRPr="005933FC" w:rsidR="00203312">
        <w:rPr>
          <w:szCs w:val="22"/>
        </w:rPr>
        <w:t xml:space="preserve"> </w:t>
      </w:r>
      <w:r w:rsidRPr="005933FC" w:rsidR="00863567">
        <w:rPr>
          <w:szCs w:val="22"/>
        </w:rPr>
        <w:t xml:space="preserve">signed </w:t>
      </w:r>
      <w:r w:rsidRPr="005933FC" w:rsidR="005C50F6">
        <w:rPr>
          <w:szCs w:val="22"/>
        </w:rPr>
        <w:t>under penalty of perjury</w:t>
      </w:r>
      <w:r w:rsidR="00D95823">
        <w:rPr>
          <w:szCs w:val="22"/>
        </w:rPr>
        <w:t>,</w:t>
      </w:r>
      <w:r w:rsidRPr="005933FC" w:rsidR="005C50F6">
        <w:rPr>
          <w:szCs w:val="22"/>
        </w:rPr>
        <w:t xml:space="preserve"> from its technical consultant, </w:t>
      </w:r>
      <w:r w:rsidRPr="005933FC" w:rsidR="00310CB5">
        <w:rPr>
          <w:szCs w:val="22"/>
        </w:rPr>
        <w:t xml:space="preserve">Todd Urick, </w:t>
      </w:r>
      <w:r w:rsidRPr="005933FC" w:rsidR="005C50F6">
        <w:rPr>
          <w:szCs w:val="22"/>
        </w:rPr>
        <w:t xml:space="preserve">stating that he </w:t>
      </w:r>
      <w:r w:rsidRPr="005933FC" w:rsidR="00B45BD1">
        <w:rPr>
          <w:szCs w:val="22"/>
        </w:rPr>
        <w:t>emailed</w:t>
      </w:r>
      <w:r w:rsidRPr="005933FC" w:rsidR="005C50F6">
        <w:rPr>
          <w:szCs w:val="22"/>
        </w:rPr>
        <w:t xml:space="preserve"> </w:t>
      </w:r>
      <w:r w:rsidRPr="005933FC" w:rsidR="00D72698">
        <w:rPr>
          <w:szCs w:val="22"/>
        </w:rPr>
        <w:t>Danielle Poir</w:t>
      </w:r>
      <w:r w:rsidRPr="005933FC" w:rsidR="007F22DE">
        <w:rPr>
          <w:szCs w:val="22"/>
        </w:rPr>
        <w:t xml:space="preserve">ier </w:t>
      </w:r>
      <w:r w:rsidRPr="005933FC" w:rsidR="005C50F6">
        <w:rPr>
          <w:szCs w:val="22"/>
        </w:rPr>
        <w:t>at</w:t>
      </w:r>
      <w:r w:rsidRPr="005933FC" w:rsidR="009D3887">
        <w:rPr>
          <w:szCs w:val="22"/>
        </w:rPr>
        <w:t xml:space="preserve"> American Tower</w:t>
      </w:r>
      <w:r w:rsidRPr="005933FC" w:rsidR="00136FC3">
        <w:rPr>
          <w:szCs w:val="22"/>
        </w:rPr>
        <w:t xml:space="preserve"> on October 26, 2021, and </w:t>
      </w:r>
      <w:r w:rsidR="00E770DD">
        <w:rPr>
          <w:szCs w:val="22"/>
        </w:rPr>
        <w:t>attaches</w:t>
      </w:r>
      <w:r w:rsidRPr="005933FC" w:rsidR="00136FC3">
        <w:rPr>
          <w:szCs w:val="22"/>
        </w:rPr>
        <w:t xml:space="preserve"> </w:t>
      </w:r>
      <w:r w:rsidRPr="005933FC" w:rsidR="007F22DE">
        <w:rPr>
          <w:szCs w:val="22"/>
        </w:rPr>
        <w:t>her</w:t>
      </w:r>
      <w:r w:rsidRPr="005933FC" w:rsidR="00136FC3">
        <w:rPr>
          <w:szCs w:val="22"/>
        </w:rPr>
        <w:t xml:space="preserve"> email </w:t>
      </w:r>
      <w:r w:rsidRPr="005933FC" w:rsidR="00796D1E">
        <w:rPr>
          <w:szCs w:val="22"/>
        </w:rPr>
        <w:t>response</w:t>
      </w:r>
      <w:r w:rsidRPr="005933FC" w:rsidR="00D72698">
        <w:rPr>
          <w:szCs w:val="22"/>
        </w:rPr>
        <w:t xml:space="preserve"> </w:t>
      </w:r>
      <w:r w:rsidRPr="005933FC" w:rsidR="007F22DE">
        <w:rPr>
          <w:szCs w:val="22"/>
        </w:rPr>
        <w:t>from</w:t>
      </w:r>
      <w:r w:rsidRPr="005933FC" w:rsidR="00D72698">
        <w:rPr>
          <w:szCs w:val="22"/>
        </w:rPr>
        <w:t xml:space="preserve"> the same date</w:t>
      </w:r>
      <w:r w:rsidRPr="005933FC" w:rsidR="007F22DE">
        <w:rPr>
          <w:szCs w:val="22"/>
        </w:rPr>
        <w:t xml:space="preserve">, </w:t>
      </w:r>
      <w:r w:rsidRPr="005933FC" w:rsidR="00796D1E">
        <w:rPr>
          <w:szCs w:val="22"/>
        </w:rPr>
        <w:t>indicating that the site is available.</w:t>
      </w:r>
      <w:r>
        <w:rPr>
          <w:rStyle w:val="FootnoteReference"/>
          <w:sz w:val="22"/>
          <w:szCs w:val="22"/>
        </w:rPr>
        <w:footnoteReference w:id="28"/>
      </w:r>
      <w:r w:rsidRPr="005933FC" w:rsidR="00796D1E">
        <w:rPr>
          <w:szCs w:val="22"/>
        </w:rPr>
        <w:t xml:space="preserve">  </w:t>
      </w:r>
      <w:r w:rsidRPr="005933FC" w:rsidR="007143F2">
        <w:rPr>
          <w:szCs w:val="22"/>
        </w:rPr>
        <w:t>MIM</w:t>
      </w:r>
      <w:r w:rsidRPr="005933FC" w:rsidR="00B36276">
        <w:rPr>
          <w:szCs w:val="22"/>
        </w:rPr>
        <w:t xml:space="preserve"> also</w:t>
      </w:r>
      <w:r w:rsidRPr="005933FC" w:rsidR="007143F2">
        <w:rPr>
          <w:szCs w:val="22"/>
        </w:rPr>
        <w:t xml:space="preserve"> </w:t>
      </w:r>
      <w:r w:rsidRPr="005933FC" w:rsidR="007D20D0">
        <w:rPr>
          <w:szCs w:val="22"/>
        </w:rPr>
        <w:t>amended its application to include a</w:t>
      </w:r>
      <w:r w:rsidRPr="005933FC" w:rsidR="006C7164">
        <w:rPr>
          <w:szCs w:val="22"/>
        </w:rPr>
        <w:t>n attachment with the referenced contact’s name and a corresponding direct phone number.</w:t>
      </w:r>
      <w:r>
        <w:rPr>
          <w:rStyle w:val="FootnoteReference"/>
          <w:sz w:val="22"/>
          <w:szCs w:val="22"/>
        </w:rPr>
        <w:footnoteReference w:id="29"/>
      </w:r>
      <w:r w:rsidRPr="005933FC" w:rsidR="003C2E51">
        <w:rPr>
          <w:szCs w:val="22"/>
        </w:rPr>
        <w:t xml:space="preserve"> </w:t>
      </w:r>
      <w:r w:rsidRPr="005933FC" w:rsidR="009A7228">
        <w:rPr>
          <w:szCs w:val="22"/>
        </w:rPr>
        <w:t xml:space="preserve"> </w:t>
      </w:r>
      <w:r w:rsidR="009E7D3C">
        <w:rPr>
          <w:szCs w:val="22"/>
        </w:rPr>
        <w:t xml:space="preserve">Nothing in the </w:t>
      </w:r>
      <w:r w:rsidR="009E7D3C">
        <w:rPr>
          <w:i/>
          <w:iCs/>
          <w:szCs w:val="22"/>
        </w:rPr>
        <w:t xml:space="preserve">NCE Report and </w:t>
      </w:r>
      <w:r w:rsidRPr="009E7D3C" w:rsidR="009E7D3C">
        <w:rPr>
          <w:i/>
          <w:iCs/>
          <w:szCs w:val="22"/>
        </w:rPr>
        <w:t>Order</w:t>
      </w:r>
      <w:r w:rsidR="009E7D3C">
        <w:rPr>
          <w:szCs w:val="22"/>
        </w:rPr>
        <w:t xml:space="preserve"> suggests that the Commission intended to make the failure to provide all the required information in Schedule 340 documenting site availability—as opposed to actually obtaining reasonable assurance of site availability—a non-curable defect.</w:t>
      </w:r>
      <w:r>
        <w:rPr>
          <w:rStyle w:val="FootnoteReference"/>
          <w:szCs w:val="22"/>
        </w:rPr>
        <w:footnoteReference w:id="30"/>
      </w:r>
      <w:r w:rsidR="009E7D3C">
        <w:rPr>
          <w:szCs w:val="22"/>
        </w:rPr>
        <w:t xml:space="preserve">  </w:t>
      </w:r>
      <w:r w:rsidRPr="009E7D3C" w:rsidR="0059121F">
        <w:rPr>
          <w:szCs w:val="22"/>
        </w:rPr>
        <w:t>Accordingly</w:t>
      </w:r>
      <w:r w:rsidRPr="005933FC" w:rsidR="0059121F">
        <w:rPr>
          <w:szCs w:val="22"/>
        </w:rPr>
        <w:t xml:space="preserve">, we find </w:t>
      </w:r>
      <w:r w:rsidRPr="005933FC" w:rsidR="00DB0070">
        <w:rPr>
          <w:szCs w:val="22"/>
        </w:rPr>
        <w:t xml:space="preserve">that </w:t>
      </w:r>
      <w:r w:rsidRPr="005933FC" w:rsidR="00794F15">
        <w:rPr>
          <w:szCs w:val="22"/>
        </w:rPr>
        <w:t xml:space="preserve">dismissal of the MIM Application is not warranted since </w:t>
      </w:r>
      <w:r w:rsidRPr="005933FC" w:rsidR="00DB0070">
        <w:rPr>
          <w:szCs w:val="22"/>
        </w:rPr>
        <w:t xml:space="preserve">MIM obtained reasonable site assurance prior to filing its application, and </w:t>
      </w:r>
      <w:r w:rsidR="001F22FE">
        <w:rPr>
          <w:szCs w:val="22"/>
        </w:rPr>
        <w:t>amended its application to include the required site contact information.</w:t>
      </w:r>
    </w:p>
    <w:p w:rsidR="006C0A3F" w:rsidRPr="008A29CC" w:rsidP="00BE6D02" w14:paraId="0536EF5A" w14:textId="509AB711">
      <w:pPr>
        <w:pStyle w:val="ParaNum"/>
        <w:numPr>
          <w:ilvl w:val="0"/>
          <w:numId w:val="0"/>
        </w:numPr>
        <w:ind w:firstLine="720"/>
        <w:rPr>
          <w:szCs w:val="22"/>
        </w:rPr>
      </w:pPr>
      <w:r w:rsidRPr="005933FC">
        <w:rPr>
          <w:i/>
          <w:iCs/>
          <w:szCs w:val="22"/>
        </w:rPr>
        <w:t>Noncommercial Educational Eligibility.</w:t>
      </w:r>
      <w:r w:rsidRPr="005933FC" w:rsidR="00E86FC1">
        <w:rPr>
          <w:szCs w:val="22"/>
        </w:rPr>
        <w:t xml:space="preserve"> </w:t>
      </w:r>
      <w:r w:rsidRPr="005933FC" w:rsidR="00A94E0B">
        <w:rPr>
          <w:szCs w:val="22"/>
        </w:rPr>
        <w:t xml:space="preserve"> </w:t>
      </w:r>
      <w:r w:rsidRPr="005933FC" w:rsidR="00327EA5">
        <w:rPr>
          <w:szCs w:val="22"/>
        </w:rPr>
        <w:t xml:space="preserve">An </w:t>
      </w:r>
      <w:r w:rsidRPr="005933FC" w:rsidR="00FB4BAA">
        <w:rPr>
          <w:szCs w:val="22"/>
        </w:rPr>
        <w:t xml:space="preserve">NCE applicant applying as a nonprofit entity with a demonstrated educational purpose must </w:t>
      </w:r>
      <w:r w:rsidRPr="005933FC" w:rsidR="00327EA5">
        <w:rPr>
          <w:szCs w:val="22"/>
        </w:rPr>
        <w:t>sho</w:t>
      </w:r>
      <w:r w:rsidRPr="005933FC" w:rsidR="00320C29">
        <w:rPr>
          <w:szCs w:val="22"/>
        </w:rPr>
        <w:t>w</w:t>
      </w:r>
      <w:r w:rsidRPr="005933FC" w:rsidR="00327EA5">
        <w:rPr>
          <w:szCs w:val="22"/>
        </w:rPr>
        <w:t xml:space="preserve"> that it is a nonprofit educational organization, </w:t>
      </w:r>
      <w:r w:rsidRPr="005933FC" w:rsidR="003968C1">
        <w:rPr>
          <w:szCs w:val="22"/>
        </w:rPr>
        <w:t>has an educational objective, and that its programming will further that objective.</w:t>
      </w:r>
      <w:r>
        <w:rPr>
          <w:rStyle w:val="FootnoteReference"/>
          <w:sz w:val="22"/>
          <w:szCs w:val="22"/>
        </w:rPr>
        <w:footnoteReference w:id="31"/>
      </w:r>
      <w:r w:rsidRPr="005933FC" w:rsidR="003968C1">
        <w:rPr>
          <w:szCs w:val="22"/>
        </w:rPr>
        <w:t xml:space="preserve"> </w:t>
      </w:r>
      <w:r w:rsidRPr="005933FC" w:rsidR="00BB300A">
        <w:rPr>
          <w:szCs w:val="22"/>
        </w:rPr>
        <w:t xml:space="preserve"> </w:t>
      </w:r>
      <w:r w:rsidRPr="005933FC" w:rsidR="0003173F">
        <w:rPr>
          <w:szCs w:val="22"/>
        </w:rPr>
        <w:t xml:space="preserve">The Bureau has previously </w:t>
      </w:r>
      <w:r w:rsidRPr="005933FC" w:rsidR="00EA4DE1">
        <w:rPr>
          <w:szCs w:val="22"/>
        </w:rPr>
        <w:t>held that</w:t>
      </w:r>
      <w:r w:rsidRPr="005933FC" w:rsidR="0003173F">
        <w:rPr>
          <w:szCs w:val="22"/>
        </w:rPr>
        <w:t xml:space="preserve"> </w:t>
      </w:r>
      <w:r w:rsidRPr="005933FC" w:rsidR="00AC6957">
        <w:rPr>
          <w:szCs w:val="22"/>
        </w:rPr>
        <w:t>articles of incorporation</w:t>
      </w:r>
      <w:r w:rsidRPr="005933FC" w:rsidR="00F84028">
        <w:rPr>
          <w:szCs w:val="22"/>
        </w:rPr>
        <w:t xml:space="preserve"> indicating the entity is a non-profit organization,</w:t>
      </w:r>
      <w:r w:rsidRPr="005933FC" w:rsidR="00AC6957">
        <w:rPr>
          <w:szCs w:val="22"/>
        </w:rPr>
        <w:t xml:space="preserve"> in conjunction with a description of educational purpo</w:t>
      </w:r>
      <w:r w:rsidRPr="005933FC" w:rsidR="00306F0B">
        <w:rPr>
          <w:szCs w:val="22"/>
        </w:rPr>
        <w:t>se</w:t>
      </w:r>
      <w:r w:rsidRPr="005933FC" w:rsidR="00BB300A">
        <w:rPr>
          <w:szCs w:val="22"/>
        </w:rPr>
        <w:t>,</w:t>
      </w:r>
      <w:r w:rsidRPr="005933FC" w:rsidR="00306F0B">
        <w:rPr>
          <w:szCs w:val="22"/>
        </w:rPr>
        <w:t xml:space="preserve"> satisfies the Commission’s NCE</w:t>
      </w:r>
      <w:r w:rsidRPr="005933FC" w:rsidR="00BB300A">
        <w:rPr>
          <w:szCs w:val="22"/>
        </w:rPr>
        <w:t xml:space="preserve"> eligibility</w:t>
      </w:r>
      <w:r w:rsidRPr="005933FC" w:rsidR="00306F0B">
        <w:rPr>
          <w:szCs w:val="22"/>
        </w:rPr>
        <w:t xml:space="preserve"> requirements</w:t>
      </w:r>
      <w:r w:rsidRPr="005933FC" w:rsidR="00AC6957">
        <w:rPr>
          <w:szCs w:val="22"/>
        </w:rPr>
        <w:t>.</w:t>
      </w:r>
      <w:r>
        <w:rPr>
          <w:rStyle w:val="FootnoteReference"/>
          <w:sz w:val="22"/>
          <w:szCs w:val="22"/>
        </w:rPr>
        <w:footnoteReference w:id="32"/>
      </w:r>
      <w:r w:rsidRPr="005933FC" w:rsidR="00C929FD">
        <w:rPr>
          <w:szCs w:val="22"/>
        </w:rPr>
        <w:t xml:space="preserve">  The </w:t>
      </w:r>
      <w:r w:rsidRPr="005933FC" w:rsidR="00C929FD">
        <w:rPr>
          <w:szCs w:val="22"/>
        </w:rPr>
        <w:t xml:space="preserve">Bureau has likewise granted new NCE applications after amendment </w:t>
      </w:r>
      <w:r w:rsidRPr="005933FC" w:rsidR="00F10E2A">
        <w:rPr>
          <w:szCs w:val="22"/>
        </w:rPr>
        <w:t>of the applicant’s educational objective and advancement description.</w:t>
      </w:r>
      <w:r>
        <w:rPr>
          <w:rStyle w:val="FootnoteReference"/>
          <w:sz w:val="22"/>
          <w:szCs w:val="22"/>
        </w:rPr>
        <w:footnoteReference w:id="33"/>
      </w:r>
      <w:r w:rsidRPr="005933FC" w:rsidR="00F10E2A">
        <w:rPr>
          <w:szCs w:val="22"/>
        </w:rPr>
        <w:t xml:space="preserve"> </w:t>
      </w:r>
      <w:r w:rsidRPr="005933FC" w:rsidR="00F4596A">
        <w:rPr>
          <w:szCs w:val="22"/>
        </w:rPr>
        <w:t xml:space="preserve"> </w:t>
      </w:r>
      <w:r w:rsidRPr="005933FC" w:rsidR="0060384A">
        <w:rPr>
          <w:szCs w:val="22"/>
        </w:rPr>
        <w:t xml:space="preserve">In </w:t>
      </w:r>
      <w:r w:rsidRPr="005933FC" w:rsidR="009F67FE">
        <w:rPr>
          <w:szCs w:val="22"/>
        </w:rPr>
        <w:t>its</w:t>
      </w:r>
      <w:r w:rsidRPr="005933FC" w:rsidR="0060384A">
        <w:rPr>
          <w:szCs w:val="22"/>
        </w:rPr>
        <w:t xml:space="preserve"> timely-filed </w:t>
      </w:r>
      <w:r w:rsidR="001F22FE">
        <w:rPr>
          <w:szCs w:val="22"/>
        </w:rPr>
        <w:t>application</w:t>
      </w:r>
      <w:r w:rsidRPr="005933FC" w:rsidR="0060384A">
        <w:rPr>
          <w:szCs w:val="22"/>
        </w:rPr>
        <w:t>, MIM</w:t>
      </w:r>
      <w:r w:rsidRPr="005933FC" w:rsidR="00F4596A">
        <w:rPr>
          <w:szCs w:val="22"/>
        </w:rPr>
        <w:t xml:space="preserve"> provided </w:t>
      </w:r>
      <w:r w:rsidRPr="005933FC" w:rsidR="0060384A">
        <w:rPr>
          <w:szCs w:val="22"/>
        </w:rPr>
        <w:t>a copy of its articles of incorporation filed with the California Secretary of State indicating that it is a nonpr</w:t>
      </w:r>
      <w:r w:rsidRPr="005933FC" w:rsidR="006F3C7A">
        <w:rPr>
          <w:szCs w:val="22"/>
        </w:rPr>
        <w:t>ofit entity with a state</w:t>
      </w:r>
      <w:r w:rsidR="00D730B1">
        <w:rPr>
          <w:szCs w:val="22"/>
        </w:rPr>
        <w:t>d</w:t>
      </w:r>
      <w:r w:rsidRPr="005933FC" w:rsidR="006F3C7A">
        <w:rPr>
          <w:szCs w:val="22"/>
        </w:rPr>
        <w:t xml:space="preserve"> purpose to “create educational media and broadcast on non-commercial radio</w:t>
      </w:r>
      <w:r w:rsidR="00D730B1">
        <w:rPr>
          <w:szCs w:val="22"/>
        </w:rPr>
        <w:t>.</w:t>
      </w:r>
      <w:r w:rsidRPr="005933FC" w:rsidR="006F3C7A">
        <w:rPr>
          <w:szCs w:val="22"/>
        </w:rPr>
        <w:t>”</w:t>
      </w:r>
      <w:r>
        <w:rPr>
          <w:rStyle w:val="FootnoteReference"/>
          <w:szCs w:val="22"/>
        </w:rPr>
        <w:footnoteReference w:id="34"/>
      </w:r>
      <w:r w:rsidRPr="005933FC" w:rsidR="00F02E97">
        <w:rPr>
          <w:szCs w:val="22"/>
        </w:rPr>
        <w:t xml:space="preserve"> </w:t>
      </w:r>
      <w:r w:rsidR="00D730B1">
        <w:rPr>
          <w:szCs w:val="22"/>
        </w:rPr>
        <w:t xml:space="preserve"> MIM also attached</w:t>
      </w:r>
      <w:r w:rsidRPr="005933FC" w:rsidR="00F02E97">
        <w:rPr>
          <w:szCs w:val="22"/>
        </w:rPr>
        <w:t xml:space="preserve"> a </w:t>
      </w:r>
      <w:r w:rsidRPr="005933FC" w:rsidR="005221DA">
        <w:rPr>
          <w:szCs w:val="22"/>
        </w:rPr>
        <w:t xml:space="preserve">business entity search result from </w:t>
      </w:r>
      <w:r w:rsidRPr="005933FC" w:rsidR="00506B56">
        <w:rPr>
          <w:szCs w:val="22"/>
        </w:rPr>
        <w:t xml:space="preserve">the California Secretary of State website </w:t>
      </w:r>
      <w:r w:rsidRPr="005933FC" w:rsidR="00326F34">
        <w:rPr>
          <w:szCs w:val="22"/>
        </w:rPr>
        <w:t xml:space="preserve">which lists </w:t>
      </w:r>
      <w:r w:rsidRPr="005933FC" w:rsidR="00506B56">
        <w:rPr>
          <w:szCs w:val="22"/>
        </w:rPr>
        <w:t xml:space="preserve">MIM </w:t>
      </w:r>
      <w:r w:rsidRPr="005933FC" w:rsidR="00326F34">
        <w:rPr>
          <w:szCs w:val="22"/>
        </w:rPr>
        <w:t>as</w:t>
      </w:r>
      <w:r w:rsidRPr="005933FC" w:rsidR="00506B56">
        <w:rPr>
          <w:szCs w:val="22"/>
        </w:rPr>
        <w:t xml:space="preserve"> a nonprofit entity.</w:t>
      </w:r>
      <w:r>
        <w:rPr>
          <w:rStyle w:val="FootnoteReference"/>
          <w:sz w:val="22"/>
          <w:szCs w:val="22"/>
        </w:rPr>
        <w:footnoteReference w:id="35"/>
      </w:r>
      <w:r w:rsidRPr="005933FC" w:rsidR="00230CB3">
        <w:rPr>
          <w:szCs w:val="22"/>
        </w:rPr>
        <w:t xml:space="preserve">  </w:t>
      </w:r>
      <w:r w:rsidR="00C335D6">
        <w:rPr>
          <w:szCs w:val="22"/>
        </w:rPr>
        <w:t>Lastly</w:t>
      </w:r>
      <w:r w:rsidRPr="005933FC" w:rsidR="00230CB3">
        <w:rPr>
          <w:szCs w:val="22"/>
        </w:rPr>
        <w:t xml:space="preserve">, </w:t>
      </w:r>
      <w:r w:rsidRPr="005933FC" w:rsidR="00461550">
        <w:rPr>
          <w:szCs w:val="22"/>
        </w:rPr>
        <w:t xml:space="preserve">MIM amended its application to include </w:t>
      </w:r>
      <w:r w:rsidRPr="005933FC" w:rsidR="00B60D87">
        <w:rPr>
          <w:szCs w:val="22"/>
        </w:rPr>
        <w:t>a</w:t>
      </w:r>
      <w:r w:rsidRPr="005933FC" w:rsidR="00934C24">
        <w:rPr>
          <w:szCs w:val="22"/>
        </w:rPr>
        <w:t xml:space="preserve"> significantly</w:t>
      </w:r>
      <w:r w:rsidRPr="005933FC" w:rsidR="00137EF0">
        <w:rPr>
          <w:szCs w:val="22"/>
        </w:rPr>
        <w:t xml:space="preserve"> longer </w:t>
      </w:r>
      <w:r w:rsidRPr="005933FC" w:rsidR="00957805">
        <w:rPr>
          <w:szCs w:val="22"/>
        </w:rPr>
        <w:t>description of its educational objectives</w:t>
      </w:r>
      <w:r w:rsidRPr="005933FC" w:rsidR="00934C24">
        <w:rPr>
          <w:szCs w:val="22"/>
        </w:rPr>
        <w:t xml:space="preserve"> and how it plans to advance educational programming.</w:t>
      </w:r>
      <w:r>
        <w:rPr>
          <w:rStyle w:val="FootnoteReference"/>
          <w:sz w:val="22"/>
          <w:szCs w:val="22"/>
        </w:rPr>
        <w:footnoteReference w:id="36"/>
      </w:r>
      <w:r w:rsidRPr="005933FC" w:rsidR="00A51BA4">
        <w:rPr>
          <w:szCs w:val="22"/>
        </w:rPr>
        <w:t xml:space="preserve">  Accordingly, </w:t>
      </w:r>
      <w:r w:rsidRPr="005933FC" w:rsidR="009E58D1">
        <w:rPr>
          <w:szCs w:val="22"/>
        </w:rPr>
        <w:t xml:space="preserve">we find that </w:t>
      </w:r>
      <w:r w:rsidRPr="005933FC" w:rsidR="00A51BA4">
        <w:rPr>
          <w:szCs w:val="22"/>
        </w:rPr>
        <w:t xml:space="preserve">MIM has </w:t>
      </w:r>
      <w:r w:rsidRPr="005933FC" w:rsidR="009E58D1">
        <w:rPr>
          <w:szCs w:val="22"/>
        </w:rPr>
        <w:t xml:space="preserve">demonstrated it is a nonprofit entity with an educational objective that will advance educational </w:t>
      </w:r>
      <w:r w:rsidRPr="008A29CC" w:rsidR="009E58D1">
        <w:rPr>
          <w:szCs w:val="22"/>
        </w:rPr>
        <w:t>programming.</w:t>
      </w:r>
    </w:p>
    <w:p w:rsidR="00280E2A" w:rsidRPr="008A29CC" w:rsidP="002A4A78" w14:paraId="1F496A55" w14:textId="476C1546">
      <w:pPr>
        <w:tabs>
          <w:tab w:val="left" w:pos="0"/>
        </w:tabs>
        <w:suppressAutoHyphens/>
        <w:spacing w:after="120"/>
        <w:outlineLvl w:val="0"/>
        <w:rPr>
          <w:b/>
          <w:bCs/>
          <w:sz w:val="22"/>
          <w:szCs w:val="22"/>
        </w:rPr>
      </w:pPr>
      <w:r w:rsidRPr="008A29CC">
        <w:rPr>
          <w:b/>
          <w:sz w:val="22"/>
          <w:szCs w:val="22"/>
        </w:rPr>
        <w:tab/>
        <w:t>Conclusion/Action.</w:t>
      </w:r>
      <w:r w:rsidRPr="008A29CC" w:rsidR="00BE6D02">
        <w:rPr>
          <w:b/>
          <w:sz w:val="22"/>
          <w:szCs w:val="22"/>
        </w:rPr>
        <w:t xml:space="preserve">  </w:t>
      </w:r>
      <w:r w:rsidRPr="008A29CC" w:rsidR="00BE6D02">
        <w:rPr>
          <w:sz w:val="22"/>
          <w:szCs w:val="22"/>
        </w:rPr>
        <w:t xml:space="preserve">For the reasons set forth above, </w:t>
      </w:r>
      <w:r w:rsidRPr="008A29CC" w:rsidR="00BE6D02">
        <w:rPr>
          <w:b/>
          <w:bCs/>
          <w:sz w:val="22"/>
          <w:szCs w:val="22"/>
        </w:rPr>
        <w:t>IT IS ORDERED</w:t>
      </w:r>
      <w:r w:rsidRPr="008A29CC" w:rsidR="00BE6D02">
        <w:rPr>
          <w:sz w:val="22"/>
          <w:szCs w:val="22"/>
        </w:rPr>
        <w:t xml:space="preserve"> that the </w:t>
      </w:r>
      <w:r w:rsidRPr="008A29CC" w:rsidR="00D14FA2">
        <w:rPr>
          <w:sz w:val="22"/>
          <w:szCs w:val="22"/>
        </w:rPr>
        <w:t>Petition to Deny</w:t>
      </w:r>
      <w:r w:rsidRPr="008A29CC" w:rsidR="00BE6D02">
        <w:rPr>
          <w:sz w:val="22"/>
          <w:szCs w:val="22"/>
        </w:rPr>
        <w:t xml:space="preserve">, filed by </w:t>
      </w:r>
      <w:r w:rsidRPr="008A29CC" w:rsidR="003F48A5">
        <w:rPr>
          <w:sz w:val="22"/>
          <w:szCs w:val="22"/>
        </w:rPr>
        <w:t xml:space="preserve">The Association for Community Education, Inc. </w:t>
      </w:r>
      <w:r w:rsidRPr="008A29CC" w:rsidR="00BE6D02">
        <w:rPr>
          <w:sz w:val="22"/>
          <w:szCs w:val="22"/>
        </w:rPr>
        <w:t xml:space="preserve">on </w:t>
      </w:r>
      <w:r w:rsidRPr="008A29CC" w:rsidR="006B7072">
        <w:rPr>
          <w:sz w:val="22"/>
          <w:szCs w:val="22"/>
        </w:rPr>
        <w:t>May 2, 2022</w:t>
      </w:r>
      <w:r w:rsidRPr="008A29CC" w:rsidR="00BE6D02">
        <w:rPr>
          <w:sz w:val="22"/>
          <w:szCs w:val="22"/>
        </w:rPr>
        <w:t xml:space="preserve">, </w:t>
      </w:r>
      <w:r w:rsidRPr="008A29CC" w:rsidR="00BE6D02">
        <w:rPr>
          <w:b/>
          <w:bCs/>
          <w:sz w:val="22"/>
          <w:szCs w:val="22"/>
        </w:rPr>
        <w:t xml:space="preserve">IS DENIED. </w:t>
      </w:r>
    </w:p>
    <w:p w:rsidR="00E340C6" w:rsidP="002A4A78" w14:paraId="7B9D8C45" w14:textId="4D665D8D">
      <w:pPr>
        <w:tabs>
          <w:tab w:val="left" w:pos="0"/>
        </w:tabs>
        <w:suppressAutoHyphens/>
        <w:spacing w:after="120"/>
        <w:outlineLvl w:val="0"/>
        <w:rPr>
          <w:sz w:val="22"/>
          <w:szCs w:val="22"/>
        </w:rPr>
      </w:pPr>
      <w:r w:rsidRPr="008A29CC">
        <w:rPr>
          <w:b/>
          <w:bCs/>
          <w:sz w:val="22"/>
          <w:szCs w:val="22"/>
        </w:rPr>
        <w:tab/>
      </w:r>
      <w:r w:rsidRPr="008A29CC" w:rsidR="00BE6D02">
        <w:rPr>
          <w:b/>
          <w:bCs/>
          <w:sz w:val="22"/>
          <w:szCs w:val="22"/>
        </w:rPr>
        <w:t>IT IS FURTHER ORDERED</w:t>
      </w:r>
      <w:r w:rsidRPr="008A29CC" w:rsidR="00BE6D02">
        <w:rPr>
          <w:sz w:val="22"/>
          <w:szCs w:val="22"/>
        </w:rPr>
        <w:t xml:space="preserve"> that the Application filed by </w:t>
      </w:r>
      <w:r w:rsidRPr="008A29CC" w:rsidR="001C11F9">
        <w:rPr>
          <w:sz w:val="22"/>
          <w:szCs w:val="22"/>
        </w:rPr>
        <w:t>Modesto Independent Media (</w:t>
      </w:r>
      <w:r w:rsidR="00476AF3">
        <w:rPr>
          <w:sz w:val="22"/>
          <w:szCs w:val="22"/>
        </w:rPr>
        <w:t xml:space="preserve">Application </w:t>
      </w:r>
      <w:r w:rsidRPr="008A29CC" w:rsidR="001C11F9">
        <w:rPr>
          <w:sz w:val="22"/>
          <w:szCs w:val="22"/>
        </w:rPr>
        <w:t xml:space="preserve">File No. </w:t>
      </w:r>
      <w:r w:rsidRPr="008A29CC" w:rsidR="008A29CC">
        <w:rPr>
          <w:sz w:val="22"/>
          <w:szCs w:val="22"/>
        </w:rPr>
        <w:t>0000</w:t>
      </w:r>
      <w:r w:rsidRPr="008A29CC" w:rsidR="001C11F9">
        <w:rPr>
          <w:sz w:val="22"/>
          <w:szCs w:val="22"/>
        </w:rPr>
        <w:t>167222)</w:t>
      </w:r>
      <w:r w:rsidRPr="008A29CC" w:rsidR="00BE6D02">
        <w:rPr>
          <w:sz w:val="22"/>
          <w:szCs w:val="22"/>
        </w:rPr>
        <w:t xml:space="preserve"> for a construction permit for a new NCE FM station in </w:t>
      </w:r>
      <w:r w:rsidR="008A29CC">
        <w:rPr>
          <w:sz w:val="22"/>
          <w:szCs w:val="22"/>
        </w:rPr>
        <w:t xml:space="preserve">Los </w:t>
      </w:r>
      <w:r w:rsidR="008A29CC">
        <w:rPr>
          <w:sz w:val="22"/>
          <w:szCs w:val="22"/>
        </w:rPr>
        <w:t>Banos</w:t>
      </w:r>
      <w:r w:rsidR="008A29CC">
        <w:rPr>
          <w:sz w:val="22"/>
          <w:szCs w:val="22"/>
        </w:rPr>
        <w:t>, California</w:t>
      </w:r>
      <w:r w:rsidRPr="008A29CC" w:rsidR="00BE6D02">
        <w:rPr>
          <w:sz w:val="22"/>
          <w:szCs w:val="22"/>
        </w:rPr>
        <w:t xml:space="preserve"> </w:t>
      </w:r>
      <w:r w:rsidRPr="008A29CC" w:rsidR="00BE6D02">
        <w:rPr>
          <w:b/>
          <w:bCs/>
          <w:sz w:val="22"/>
          <w:szCs w:val="22"/>
        </w:rPr>
        <w:t>IS GRANTED CONDITIONED UPON</w:t>
      </w:r>
      <w:r w:rsidRPr="008A29CC" w:rsidR="00BE6D02">
        <w:rPr>
          <w:sz w:val="22"/>
          <w:szCs w:val="22"/>
        </w:rPr>
        <w:t xml:space="preserve"> that selectee’s compliance with section 73.7002(c) of the Commission’s Rules, 47 CFR § 73.7002(c), which sets forth a four-year</w:t>
      </w:r>
      <w:r w:rsidRPr="005933FC" w:rsidR="00BE6D02">
        <w:rPr>
          <w:sz w:val="22"/>
          <w:szCs w:val="22"/>
        </w:rPr>
        <w:t xml:space="preserve"> period of on-air operations substantially as proposed. </w:t>
      </w:r>
    </w:p>
    <w:p w:rsidR="00825180" w:rsidRPr="005933FC" w:rsidP="003574D3" w14:paraId="57AA6E1E" w14:textId="6002AF98">
      <w:pPr>
        <w:tabs>
          <w:tab w:val="left" w:pos="0"/>
        </w:tabs>
        <w:suppressAutoHyphens/>
        <w:spacing w:after="120"/>
        <w:outlineLvl w:val="0"/>
        <w:rPr>
          <w:sz w:val="22"/>
          <w:szCs w:val="22"/>
        </w:rPr>
      </w:pPr>
      <w:r>
        <w:rPr>
          <w:sz w:val="22"/>
          <w:szCs w:val="22"/>
        </w:rPr>
        <w:tab/>
      </w:r>
      <w:r w:rsidRPr="00E340C6" w:rsidR="00BE6D02">
        <w:rPr>
          <w:b/>
          <w:bCs/>
          <w:sz w:val="22"/>
          <w:szCs w:val="22"/>
        </w:rPr>
        <w:t>IT IS FURTHER ORDERED</w:t>
      </w:r>
      <w:r w:rsidRPr="005933FC" w:rsidR="00BE6D02">
        <w:rPr>
          <w:sz w:val="22"/>
          <w:szCs w:val="22"/>
        </w:rPr>
        <w:t xml:space="preserve"> that the mutually exclusive applications of </w:t>
      </w:r>
      <w:r w:rsidRPr="003574D3" w:rsidR="003574D3">
        <w:rPr>
          <w:sz w:val="22"/>
          <w:szCs w:val="22"/>
        </w:rPr>
        <w:t>Remante</w:t>
      </w:r>
      <w:r w:rsidRPr="003574D3" w:rsidR="003574D3">
        <w:rPr>
          <w:sz w:val="22"/>
          <w:szCs w:val="22"/>
        </w:rPr>
        <w:t xml:space="preserve"> Broadcasting Network (</w:t>
      </w:r>
      <w:r w:rsidR="003A4704">
        <w:rPr>
          <w:sz w:val="22"/>
          <w:szCs w:val="22"/>
        </w:rPr>
        <w:t>Application</w:t>
      </w:r>
      <w:r w:rsidR="00476AF3">
        <w:rPr>
          <w:sz w:val="22"/>
          <w:szCs w:val="22"/>
        </w:rPr>
        <w:t xml:space="preserve"> </w:t>
      </w:r>
      <w:r w:rsidRPr="003574D3" w:rsidR="003574D3">
        <w:rPr>
          <w:sz w:val="22"/>
          <w:szCs w:val="22"/>
        </w:rPr>
        <w:t xml:space="preserve">File No. </w:t>
      </w:r>
      <w:r w:rsidR="00BA6B40">
        <w:rPr>
          <w:sz w:val="22"/>
          <w:szCs w:val="22"/>
        </w:rPr>
        <w:t>0000</w:t>
      </w:r>
      <w:r w:rsidRPr="003574D3" w:rsidR="003574D3">
        <w:rPr>
          <w:sz w:val="22"/>
          <w:szCs w:val="22"/>
        </w:rPr>
        <w:t xml:space="preserve">167143), </w:t>
      </w:r>
      <w:r w:rsidRPr="003574D3" w:rsidR="003574D3">
        <w:rPr>
          <w:sz w:val="22"/>
          <w:szCs w:val="22"/>
        </w:rPr>
        <w:t>Teleamerica</w:t>
      </w:r>
      <w:r w:rsidRPr="003574D3" w:rsidR="003574D3">
        <w:rPr>
          <w:sz w:val="22"/>
          <w:szCs w:val="22"/>
        </w:rPr>
        <w:t xml:space="preserve"> Communications West Palm Beach Corp. (</w:t>
      </w:r>
      <w:r w:rsidR="00476AF3">
        <w:rPr>
          <w:sz w:val="22"/>
          <w:szCs w:val="22"/>
        </w:rPr>
        <w:t xml:space="preserve">Application </w:t>
      </w:r>
      <w:r w:rsidRPr="003574D3" w:rsidR="003574D3">
        <w:rPr>
          <w:sz w:val="22"/>
          <w:szCs w:val="22"/>
        </w:rPr>
        <w:t xml:space="preserve">File No. </w:t>
      </w:r>
      <w:r w:rsidR="00BA6B40">
        <w:rPr>
          <w:sz w:val="22"/>
          <w:szCs w:val="22"/>
        </w:rPr>
        <w:t>0000</w:t>
      </w:r>
      <w:r w:rsidRPr="003574D3" w:rsidR="003574D3">
        <w:rPr>
          <w:sz w:val="22"/>
          <w:szCs w:val="22"/>
        </w:rPr>
        <w:t>167476),</w:t>
      </w:r>
      <w:r w:rsidR="003574D3">
        <w:rPr>
          <w:sz w:val="22"/>
          <w:szCs w:val="22"/>
        </w:rPr>
        <w:t xml:space="preserve"> </w:t>
      </w:r>
      <w:r w:rsidRPr="003574D3" w:rsidR="003574D3">
        <w:rPr>
          <w:sz w:val="22"/>
          <w:szCs w:val="22"/>
        </w:rPr>
        <w:t>The Association for Community Education, Inc. (</w:t>
      </w:r>
      <w:r w:rsidR="00476AF3">
        <w:rPr>
          <w:sz w:val="22"/>
          <w:szCs w:val="22"/>
        </w:rPr>
        <w:t xml:space="preserve">Application </w:t>
      </w:r>
      <w:r w:rsidRPr="003574D3" w:rsidR="003574D3">
        <w:rPr>
          <w:sz w:val="22"/>
          <w:szCs w:val="22"/>
        </w:rPr>
        <w:t xml:space="preserve">File No. </w:t>
      </w:r>
      <w:r w:rsidR="00BA6B40">
        <w:rPr>
          <w:sz w:val="22"/>
          <w:szCs w:val="22"/>
        </w:rPr>
        <w:t>0000</w:t>
      </w:r>
      <w:r w:rsidRPr="003574D3" w:rsidR="003574D3">
        <w:rPr>
          <w:sz w:val="22"/>
          <w:szCs w:val="22"/>
        </w:rPr>
        <w:t>167017), and Radio Vision (</w:t>
      </w:r>
      <w:r w:rsidR="00476AF3">
        <w:rPr>
          <w:sz w:val="22"/>
          <w:szCs w:val="22"/>
        </w:rPr>
        <w:t xml:space="preserve">Application </w:t>
      </w:r>
      <w:r w:rsidRPr="003574D3" w:rsidR="003574D3">
        <w:rPr>
          <w:sz w:val="22"/>
          <w:szCs w:val="22"/>
        </w:rPr>
        <w:t xml:space="preserve">File No. </w:t>
      </w:r>
      <w:r w:rsidR="00BA6B40">
        <w:rPr>
          <w:sz w:val="22"/>
          <w:szCs w:val="22"/>
        </w:rPr>
        <w:t>0000</w:t>
      </w:r>
      <w:r w:rsidRPr="003574D3" w:rsidR="003574D3">
        <w:rPr>
          <w:sz w:val="22"/>
          <w:szCs w:val="22"/>
        </w:rPr>
        <w:t>167164)</w:t>
      </w:r>
      <w:r w:rsidRPr="005933FC" w:rsidR="00BE6D02">
        <w:rPr>
          <w:sz w:val="22"/>
          <w:szCs w:val="22"/>
        </w:rPr>
        <w:t xml:space="preserve"> </w:t>
      </w:r>
      <w:r w:rsidRPr="00E340C6" w:rsidR="00BE6D02">
        <w:rPr>
          <w:b/>
          <w:bCs/>
          <w:sz w:val="22"/>
          <w:szCs w:val="22"/>
        </w:rPr>
        <w:t>ARE DISMISSED</w:t>
      </w:r>
      <w:r w:rsidRPr="005933FC" w:rsidR="00BE6D02">
        <w:rPr>
          <w:sz w:val="22"/>
          <w:szCs w:val="22"/>
        </w:rPr>
        <w:t>.</w:t>
      </w:r>
      <w:r w:rsidR="00433B27">
        <w:rPr>
          <w:sz w:val="22"/>
          <w:szCs w:val="22"/>
        </w:rPr>
        <w:t xml:space="preserve"> </w:t>
      </w:r>
    </w:p>
    <w:p w:rsidR="006A173A" w:rsidRPr="005933FC" w:rsidP="002A4A78" w14:paraId="1CF45C4A" w14:textId="77777777">
      <w:pPr>
        <w:keepNext/>
        <w:keepLines/>
        <w:tabs>
          <w:tab w:val="left" w:pos="-1440"/>
          <w:tab w:val="left" w:pos="-720"/>
          <w:tab w:val="left" w:pos="5040"/>
          <w:tab w:val="left" w:pos="5760"/>
          <w:tab w:val="right" w:pos="9360"/>
        </w:tabs>
        <w:suppressAutoHyphens/>
        <w:spacing w:after="120"/>
        <w:rPr>
          <w:sz w:val="22"/>
          <w:szCs w:val="22"/>
        </w:rPr>
      </w:pPr>
      <w:bookmarkStart w:id="4" w:name="_Hlk77597583"/>
      <w:r w:rsidRPr="005933FC">
        <w:rPr>
          <w:sz w:val="22"/>
          <w:szCs w:val="22"/>
        </w:rPr>
        <w:tab/>
      </w:r>
    </w:p>
    <w:p w:rsidR="00825180" w:rsidRPr="005933FC" w:rsidP="002A4A78" w14:paraId="1A5C01A1" w14:textId="5E9950FC">
      <w:pPr>
        <w:keepNext/>
        <w:keepLines/>
        <w:tabs>
          <w:tab w:val="left" w:pos="-1440"/>
          <w:tab w:val="left" w:pos="-720"/>
          <w:tab w:val="left" w:pos="5040"/>
          <w:tab w:val="left" w:pos="5760"/>
          <w:tab w:val="right" w:pos="9360"/>
        </w:tabs>
        <w:suppressAutoHyphens/>
        <w:spacing w:after="120"/>
        <w:rPr>
          <w:sz w:val="22"/>
          <w:szCs w:val="22"/>
        </w:rPr>
      </w:pPr>
      <w:r w:rsidRPr="005933FC">
        <w:rPr>
          <w:sz w:val="22"/>
          <w:szCs w:val="22"/>
        </w:rPr>
        <w:tab/>
      </w:r>
      <w:r w:rsidRPr="005933FC">
        <w:rPr>
          <w:sz w:val="22"/>
          <w:szCs w:val="22"/>
        </w:rPr>
        <w:t>Sincerely,</w:t>
      </w:r>
    </w:p>
    <w:p w:rsidR="00825180" w:rsidP="002A4A78" w14:paraId="6CA51655" w14:textId="5E489A72">
      <w:pPr>
        <w:keepNext/>
        <w:keepLines/>
        <w:tabs>
          <w:tab w:val="left" w:pos="-1440"/>
          <w:tab w:val="left" w:pos="-720"/>
          <w:tab w:val="left" w:pos="5040"/>
          <w:tab w:val="left" w:pos="5760"/>
          <w:tab w:val="right" w:pos="9360"/>
        </w:tabs>
        <w:suppressAutoHyphens/>
        <w:spacing w:after="120"/>
        <w:rPr>
          <w:sz w:val="22"/>
          <w:szCs w:val="22"/>
        </w:rPr>
      </w:pPr>
    </w:p>
    <w:p w:rsidR="00D301D5" w:rsidRPr="005933FC" w:rsidP="00D13AA7" w14:paraId="2259DFD5" w14:textId="77777777">
      <w:pPr>
        <w:keepNext/>
        <w:keepLines/>
        <w:tabs>
          <w:tab w:val="left" w:pos="-1440"/>
          <w:tab w:val="left" w:pos="-720"/>
          <w:tab w:val="left" w:pos="5040"/>
          <w:tab w:val="left" w:pos="5760"/>
          <w:tab w:val="right" w:pos="9360"/>
        </w:tabs>
        <w:suppressAutoHyphens/>
        <w:rPr>
          <w:sz w:val="22"/>
          <w:szCs w:val="22"/>
        </w:rPr>
      </w:pPr>
    </w:p>
    <w:p w:rsidR="00825180" w:rsidRPr="005933FC" w:rsidP="00D13AA7" w14:paraId="1456B89D"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 xml:space="preserve">Albert Shuldiner  </w:t>
      </w:r>
    </w:p>
    <w:p w:rsidR="00825180" w:rsidRPr="005933FC" w:rsidP="00D13AA7" w14:paraId="5DF50AB8"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Chief, Audio Division</w:t>
      </w:r>
    </w:p>
    <w:p w:rsidR="00825180" w:rsidRPr="005933FC" w:rsidP="00D13AA7" w14:paraId="1CA90AB7"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Media Bureau</w:t>
      </w:r>
    </w:p>
    <w:bookmarkEnd w:id="4"/>
    <w:p w:rsidR="00ED4C0E" w:rsidRPr="005933FC" w:rsidP="002A4A78" w14:paraId="0291EF67" w14:textId="77777777">
      <w:pPr>
        <w:spacing w:after="120"/>
        <w:rPr>
          <w:sz w:val="22"/>
          <w:szCs w:val="22"/>
        </w:rPr>
      </w:pPr>
    </w:p>
    <w:sectPr>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D12" w14:paraId="6493D8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D12" w14:paraId="61D927E8" w14:textId="46038683">
    <w:pPr>
      <w:pStyle w:val="Footer"/>
      <w:jc w:val="center"/>
    </w:pPr>
  </w:p>
  <w:p w:rsidR="00DA5D12" w14:paraId="0649C8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38CB" w14:paraId="0CB5C4C1" w14:textId="77777777">
      <w:r>
        <w:separator/>
      </w:r>
    </w:p>
  </w:footnote>
  <w:footnote w:type="continuationSeparator" w:id="1">
    <w:p w:rsidR="006E38CB" w14:paraId="0DD16A58" w14:textId="77777777">
      <w:r>
        <w:continuationSeparator/>
      </w:r>
    </w:p>
  </w:footnote>
  <w:footnote w:id="2">
    <w:p w:rsidR="00825FE6" w:rsidRPr="000B57E2" w:rsidP="00476826" w14:paraId="194AD408" w14:textId="106B3315">
      <w:pPr>
        <w:pStyle w:val="FootnoteText"/>
      </w:pPr>
      <w:r>
        <w:rPr>
          <w:rStyle w:val="FootnoteReference"/>
        </w:rPr>
        <w:footnoteRef/>
      </w:r>
      <w:r>
        <w:t xml:space="preserve"> </w:t>
      </w:r>
      <w:r>
        <w:rPr>
          <w:i/>
          <w:iCs/>
        </w:rPr>
        <w:t>Media Bureau Identifies Groups of Mutually Exclusive Applications Submitted in the November 2021, Filing Window for New Noncommercial Education</w:t>
      </w:r>
      <w:r w:rsidR="009B07EB">
        <w:rPr>
          <w:i/>
          <w:iCs/>
        </w:rPr>
        <w:t>al</w:t>
      </w:r>
      <w:r>
        <w:rPr>
          <w:i/>
          <w:iCs/>
        </w:rPr>
        <w:t xml:space="preserve"> Stations; Opens Window to Accept Settlements and Technical Amendments</w:t>
      </w:r>
      <w:r>
        <w:t xml:space="preserve">, </w:t>
      </w:r>
      <w:r w:rsidR="001E46BD">
        <w:t xml:space="preserve">MB Docket No. 20-343, </w:t>
      </w:r>
      <w:r>
        <w:t>Public Notice, DA 21-1476 (MB Nov. 29, 2021)</w:t>
      </w:r>
      <w:r w:rsidR="000B57E2">
        <w:t xml:space="preserve">; </w:t>
      </w:r>
      <w:r w:rsidR="000B57E2">
        <w:rPr>
          <w:i/>
          <w:iCs/>
        </w:rPr>
        <w:t>see also</w:t>
      </w:r>
      <w:r w:rsidR="000B57E2">
        <w:t xml:space="preserve"> </w:t>
      </w:r>
      <w:r w:rsidR="00F023D9">
        <w:t xml:space="preserve">Application </w:t>
      </w:r>
      <w:r w:rsidR="000B57E2">
        <w:t xml:space="preserve">File Nos. </w:t>
      </w:r>
      <w:r w:rsidRPr="002B48E5" w:rsidR="002B48E5">
        <w:t>0000167143</w:t>
      </w:r>
      <w:r w:rsidR="002B48E5">
        <w:t xml:space="preserve"> (RBN Application), </w:t>
      </w:r>
      <w:r w:rsidRPr="00420CCD" w:rsidR="00420CCD">
        <w:t>0000167476</w:t>
      </w:r>
      <w:r w:rsidR="00420CCD">
        <w:t xml:space="preserve"> (TCW Application), </w:t>
      </w:r>
      <w:r w:rsidRPr="00420CCD" w:rsidR="00420CCD">
        <w:t>0000167222</w:t>
      </w:r>
      <w:r w:rsidR="00420CCD">
        <w:t xml:space="preserve"> (MIM Application), </w:t>
      </w:r>
      <w:r w:rsidRPr="00420CCD" w:rsidR="00420CCD">
        <w:t>0000167017</w:t>
      </w:r>
      <w:r w:rsidR="00420CCD">
        <w:t xml:space="preserve"> (ACE Application), and </w:t>
      </w:r>
      <w:r w:rsidRPr="0037359B" w:rsidR="0037359B">
        <w:t>0000167164</w:t>
      </w:r>
      <w:r w:rsidR="0037359B">
        <w:t xml:space="preserve"> (RV Application). </w:t>
      </w:r>
    </w:p>
  </w:footnote>
  <w:footnote w:id="3">
    <w:p w:rsidR="00102848" w:rsidRPr="000B57E2" w:rsidP="00476826" w14:paraId="1AF21F7C" w14:textId="669EA16E">
      <w:pPr>
        <w:pStyle w:val="FootnoteText"/>
      </w:pPr>
      <w:r>
        <w:rPr>
          <w:rStyle w:val="FootnoteReference"/>
        </w:rPr>
        <w:footnoteRef/>
      </w:r>
      <w:r>
        <w:t xml:space="preserve"> </w:t>
      </w:r>
      <w:r w:rsidR="008D35F2">
        <w:rPr>
          <w:i/>
          <w:iCs/>
        </w:rPr>
        <w:t>Threshold Fair Distribution Analysis of 16 Groups of Mutually Exclusive Applications for Permits to Construct New Noncommercial Educational FM Stations</w:t>
      </w:r>
      <w:r w:rsidR="008D35F2">
        <w:t xml:space="preserve">, Memorandum Opinion and Order, DA 22-356 at </w:t>
      </w:r>
      <w:r w:rsidR="00961442">
        <w:t>5</w:t>
      </w:r>
      <w:r w:rsidR="00CB38E7">
        <w:t>, para. 1</w:t>
      </w:r>
      <w:r w:rsidR="00961442">
        <w:t>4</w:t>
      </w:r>
      <w:r w:rsidR="008D35F2">
        <w:t xml:space="preserve"> (MB Apr. 4, 2022) (</w:t>
      </w:r>
      <w:r w:rsidR="008D35F2">
        <w:rPr>
          <w:i/>
          <w:iCs/>
        </w:rPr>
        <w:t xml:space="preserve">Third Fair </w:t>
      </w:r>
      <w:r w:rsidR="00CB38E7">
        <w:rPr>
          <w:i/>
          <w:iCs/>
        </w:rPr>
        <w:t>Distribution</w:t>
      </w:r>
      <w:r w:rsidR="008D35F2">
        <w:t xml:space="preserve"> </w:t>
      </w:r>
      <w:r w:rsidR="008D35F2">
        <w:rPr>
          <w:i/>
          <w:iCs/>
        </w:rPr>
        <w:t>Order</w:t>
      </w:r>
      <w:r w:rsidR="008D35F2">
        <w:t>).</w:t>
      </w:r>
    </w:p>
  </w:footnote>
  <w:footnote w:id="4">
    <w:p w:rsidR="00825FE6" w:rsidP="00476826" w14:paraId="51AAEE86" w14:textId="2C75AC3C">
      <w:pPr>
        <w:pStyle w:val="FootnoteText"/>
      </w:pPr>
      <w:r>
        <w:rPr>
          <w:rStyle w:val="FootnoteReference"/>
        </w:rPr>
        <w:footnoteRef/>
      </w:r>
      <w:r>
        <w:t xml:space="preserve"> </w:t>
      </w:r>
      <w:r>
        <w:t xml:space="preserve">Pleading File No. </w:t>
      </w:r>
      <w:r w:rsidRPr="009C580D" w:rsidR="009C580D">
        <w:t xml:space="preserve">0000189912 </w:t>
      </w:r>
      <w:r>
        <w:t xml:space="preserve">(filed </w:t>
      </w:r>
      <w:r w:rsidR="009C580D">
        <w:t>May 2,</w:t>
      </w:r>
      <w:r>
        <w:t xml:space="preserve"> 2022).</w:t>
      </w:r>
    </w:p>
  </w:footnote>
  <w:footnote w:id="5">
    <w:p w:rsidR="007A3AC7" w:rsidP="00476826" w14:paraId="39AB31B9" w14:textId="503BFBDC">
      <w:pPr>
        <w:pStyle w:val="FootnoteText"/>
      </w:pPr>
      <w:r>
        <w:rPr>
          <w:rStyle w:val="FootnoteReference"/>
        </w:rPr>
        <w:footnoteRef/>
      </w:r>
      <w:r>
        <w:t xml:space="preserve"> </w:t>
      </w:r>
      <w:r>
        <w:t>MIM filed an Opposition to the Petition</w:t>
      </w:r>
      <w:r w:rsidR="004E6E79">
        <w:t>,</w:t>
      </w:r>
      <w:r>
        <w:t xml:space="preserve"> Pleading File No. </w:t>
      </w:r>
      <w:r w:rsidRPr="009D3F96" w:rsidR="009D3F96">
        <w:t xml:space="preserve">0000190841 </w:t>
      </w:r>
      <w:r>
        <w:t>(filed May 16, 2022)</w:t>
      </w:r>
      <w:r w:rsidR="00503E40">
        <w:t>.</w:t>
      </w:r>
      <w:r w:rsidR="004E6E79">
        <w:t xml:space="preserve">  ACE filed a Reply to the Opposition, Pleading File No. </w:t>
      </w:r>
      <w:r w:rsidRPr="00A9242D" w:rsidR="00A9242D">
        <w:t>0000191471</w:t>
      </w:r>
      <w:r w:rsidR="00A9242D">
        <w:t xml:space="preserve"> (filed May 24, 2022). </w:t>
      </w:r>
    </w:p>
  </w:footnote>
  <w:footnote w:id="6">
    <w:p w:rsidR="007D1990" w:rsidRPr="007D1990" w:rsidP="00476826" w14:paraId="4FFBD068" w14:textId="6FED0DE1">
      <w:pPr>
        <w:pStyle w:val="FootnoteText"/>
      </w:pPr>
      <w:r>
        <w:rPr>
          <w:rStyle w:val="FootnoteReference"/>
        </w:rPr>
        <w:footnoteRef/>
      </w:r>
      <w:r>
        <w:t xml:space="preserve"> </w:t>
      </w:r>
      <w:r>
        <w:rPr>
          <w:i/>
          <w:iCs/>
        </w:rPr>
        <w:t>Media Bureau Announces NCE FM New Station Application Filing Window; Window Open from November 2, 2021, to November 9, 2021</w:t>
      </w:r>
      <w:r>
        <w:t xml:space="preserve">, </w:t>
      </w:r>
      <w:r w:rsidR="001E46BD">
        <w:t xml:space="preserve">MB Docket No. 20-343, </w:t>
      </w:r>
      <w:r>
        <w:t>Public Notice</w:t>
      </w:r>
      <w:r w:rsidR="001E46BD">
        <w:t>,</w:t>
      </w:r>
      <w:r>
        <w:t xml:space="preserve"> </w:t>
      </w:r>
      <w:r w:rsidR="001E46BD">
        <w:t>36 FCC Rcd 7449</w:t>
      </w:r>
      <w:r>
        <w:t xml:space="preserve"> (MB 2021).</w:t>
      </w:r>
    </w:p>
  </w:footnote>
  <w:footnote w:id="7">
    <w:p w:rsidR="00DB6A89" w:rsidRPr="00DB6A89" w:rsidP="00476826" w14:paraId="5954FEC3" w14:textId="55688879">
      <w:pPr>
        <w:pStyle w:val="FootnoteText"/>
      </w:pPr>
      <w:r>
        <w:rPr>
          <w:rStyle w:val="FootnoteReference"/>
        </w:rPr>
        <w:footnoteRef/>
      </w:r>
      <w:r>
        <w:t xml:space="preserve"> </w:t>
      </w:r>
      <w:r>
        <w:rPr>
          <w:i/>
          <w:iCs/>
        </w:rPr>
        <w:t>See Third Fair Distribution Order</w:t>
      </w:r>
      <w:r>
        <w:t xml:space="preserve"> at 2-3, paras. 3-6.</w:t>
      </w:r>
    </w:p>
  </w:footnote>
  <w:footnote w:id="8">
    <w:p w:rsidR="00CB38E7" w:rsidRPr="00CB38E7" w:rsidP="00476826" w14:paraId="436EA609" w14:textId="0D9E9F4F">
      <w:pPr>
        <w:pStyle w:val="FootnoteText"/>
      </w:pPr>
      <w:r>
        <w:rPr>
          <w:rStyle w:val="FootnoteReference"/>
        </w:rPr>
        <w:footnoteRef/>
      </w:r>
      <w:r>
        <w:t xml:space="preserve"> </w:t>
      </w:r>
      <w:r>
        <w:rPr>
          <w:i/>
          <w:iCs/>
        </w:rPr>
        <w:t>Id</w:t>
      </w:r>
      <w:r>
        <w:t xml:space="preserve">. at </w:t>
      </w:r>
      <w:r w:rsidR="00BB79A6">
        <w:t>5</w:t>
      </w:r>
      <w:r>
        <w:t>, para. 1</w:t>
      </w:r>
      <w:r w:rsidR="00BB79A6">
        <w:t>4</w:t>
      </w:r>
      <w:r>
        <w:t>.</w:t>
      </w:r>
    </w:p>
  </w:footnote>
  <w:footnote w:id="9">
    <w:p w:rsidR="00503E40" w:rsidP="00476826" w14:paraId="38A77AA1" w14:textId="5F8BED96">
      <w:pPr>
        <w:pStyle w:val="FootnoteText"/>
      </w:pPr>
      <w:r>
        <w:rPr>
          <w:rStyle w:val="FootnoteReference"/>
        </w:rPr>
        <w:footnoteRef/>
      </w:r>
      <w:r>
        <w:t xml:space="preserve"> </w:t>
      </w:r>
      <w:r>
        <w:t>Petition at 1-2.</w:t>
      </w:r>
    </w:p>
  </w:footnote>
  <w:footnote w:id="10">
    <w:p w:rsidR="00503E40" w:rsidP="00476826" w14:paraId="4857A44C" w14:textId="69675DAB">
      <w:pPr>
        <w:pStyle w:val="FootnoteText"/>
      </w:pPr>
      <w:r>
        <w:rPr>
          <w:rStyle w:val="FootnoteReference"/>
        </w:rPr>
        <w:footnoteRef/>
      </w:r>
      <w:r>
        <w:t xml:space="preserve"> </w:t>
      </w:r>
      <w:r w:rsidR="00EA35E2">
        <w:rPr>
          <w:i/>
          <w:iCs/>
        </w:rPr>
        <w:t>Id.</w:t>
      </w:r>
      <w:r>
        <w:t xml:space="preserve"> at 3.</w:t>
      </w:r>
    </w:p>
  </w:footnote>
  <w:footnote w:id="11">
    <w:p w:rsidR="00811C7E" w:rsidP="00476826" w14:paraId="6ADF3F59" w14:textId="13816B2C">
      <w:pPr>
        <w:pStyle w:val="FootnoteText"/>
      </w:pPr>
      <w:r>
        <w:rPr>
          <w:rStyle w:val="FootnoteReference"/>
        </w:rPr>
        <w:footnoteRef/>
      </w:r>
      <w:r>
        <w:t xml:space="preserve"> </w:t>
      </w:r>
      <w:r w:rsidR="00B74A7F">
        <w:rPr>
          <w:i/>
          <w:iCs/>
        </w:rPr>
        <w:t>Id.</w:t>
      </w:r>
      <w:r>
        <w:t xml:space="preserve"> at 4</w:t>
      </w:r>
      <w:r w:rsidR="000308BD">
        <w:t>-5.</w:t>
      </w:r>
    </w:p>
  </w:footnote>
  <w:footnote w:id="12">
    <w:p w:rsidR="009969E0" w:rsidRPr="009969E0" w:rsidP="00476826" w14:paraId="1DE17F9E" w14:textId="66945047">
      <w:pPr>
        <w:pStyle w:val="FootnoteText"/>
      </w:pPr>
      <w:r>
        <w:rPr>
          <w:rStyle w:val="FootnoteReference"/>
        </w:rPr>
        <w:footnoteRef/>
      </w:r>
      <w:r>
        <w:t xml:space="preserve"> </w:t>
      </w:r>
      <w:r>
        <w:rPr>
          <w:i/>
          <w:iCs/>
        </w:rPr>
        <w:t>Id.</w:t>
      </w:r>
      <w:r>
        <w:t xml:space="preserve"> at </w:t>
      </w:r>
      <w:r w:rsidR="00992DDD">
        <w:t xml:space="preserve">4-6. </w:t>
      </w:r>
    </w:p>
  </w:footnote>
  <w:footnote w:id="13">
    <w:p w:rsidR="00486C28" w:rsidP="00476826" w14:paraId="57C198FF" w14:textId="26D3AF2D">
      <w:pPr>
        <w:pStyle w:val="FootnoteText"/>
      </w:pPr>
      <w:r>
        <w:rPr>
          <w:rStyle w:val="FootnoteReference"/>
        </w:rPr>
        <w:footnoteRef/>
      </w:r>
      <w:r>
        <w:t xml:space="preserve"> </w:t>
      </w:r>
      <w:r>
        <w:t>Opposition at 2</w:t>
      </w:r>
      <w:r w:rsidR="004A4097">
        <w:t xml:space="preserve">-3 </w:t>
      </w:r>
    </w:p>
  </w:footnote>
  <w:footnote w:id="14">
    <w:p w:rsidR="00486C28" w:rsidP="00476826" w14:paraId="44AA725E" w14:textId="0AAF293A">
      <w:pPr>
        <w:pStyle w:val="FootnoteText"/>
      </w:pPr>
      <w:r>
        <w:rPr>
          <w:rStyle w:val="FootnoteReference"/>
        </w:rPr>
        <w:footnoteRef/>
      </w:r>
      <w:r>
        <w:t xml:space="preserve"> </w:t>
      </w:r>
      <w:r w:rsidR="00C07FE0">
        <w:rPr>
          <w:i/>
          <w:iCs/>
        </w:rPr>
        <w:t>Id.</w:t>
      </w:r>
      <w:r>
        <w:t xml:space="preserve"> Attachment 1.</w:t>
      </w:r>
    </w:p>
  </w:footnote>
  <w:footnote w:id="15">
    <w:p w:rsidR="00EB7682" w:rsidRPr="00EB7682" w:rsidP="00476826" w14:paraId="04C618D6" w14:textId="0BD3DE9E">
      <w:pPr>
        <w:pStyle w:val="FootnoteText"/>
      </w:pPr>
      <w:r>
        <w:rPr>
          <w:rStyle w:val="FootnoteReference"/>
        </w:rPr>
        <w:footnoteRef/>
      </w:r>
      <w:r>
        <w:t xml:space="preserve"> </w:t>
      </w:r>
      <w:r>
        <w:rPr>
          <w:i/>
          <w:iCs/>
        </w:rPr>
        <w:t>Id.</w:t>
      </w:r>
      <w:r>
        <w:t xml:space="preserve"> at 4.</w:t>
      </w:r>
    </w:p>
  </w:footnote>
  <w:footnote w:id="16">
    <w:p w:rsidR="009D0B9A" w:rsidRPr="009D0B9A" w:rsidP="00476826" w14:paraId="4E9360EE" w14:textId="65E65ED4">
      <w:pPr>
        <w:pStyle w:val="FootnoteText"/>
      </w:pPr>
      <w:r>
        <w:rPr>
          <w:rStyle w:val="FootnoteReference"/>
        </w:rPr>
        <w:footnoteRef/>
      </w:r>
      <w:r>
        <w:t xml:space="preserve"> </w:t>
      </w:r>
      <w:r>
        <w:rPr>
          <w:i/>
          <w:iCs/>
        </w:rPr>
        <w:t>Id.</w:t>
      </w:r>
      <w:r>
        <w:t xml:space="preserve"> at </w:t>
      </w:r>
      <w:r w:rsidR="003812B2">
        <w:t>5.</w:t>
      </w:r>
    </w:p>
  </w:footnote>
  <w:footnote w:id="17">
    <w:p w:rsidR="00E0136F" w:rsidRPr="00E0136F" w:rsidP="00476826" w14:paraId="45CD99A0" w14:textId="2F956568">
      <w:pPr>
        <w:pStyle w:val="FootnoteText"/>
      </w:pPr>
      <w:r>
        <w:rPr>
          <w:rStyle w:val="FootnoteReference"/>
        </w:rPr>
        <w:footnoteRef/>
      </w:r>
      <w:r>
        <w:t xml:space="preserve"> </w:t>
      </w:r>
      <w:r>
        <w:rPr>
          <w:i/>
          <w:iCs/>
        </w:rPr>
        <w:t>Id.</w:t>
      </w:r>
      <w:r>
        <w:t xml:space="preserve"> at </w:t>
      </w:r>
      <w:r w:rsidR="00982F56">
        <w:t>6-</w:t>
      </w:r>
      <w:r w:rsidR="009C3682">
        <w:t>8</w:t>
      </w:r>
      <w:r w:rsidR="001C1CC2">
        <w:t xml:space="preserve"> and Attachments 2A, 2B, and 2C</w:t>
      </w:r>
      <w:r w:rsidR="009C3682">
        <w:t>.</w:t>
      </w:r>
    </w:p>
  </w:footnote>
  <w:footnote w:id="18">
    <w:p w:rsidR="00C157BC" w:rsidRPr="00C157BC" w:rsidP="00476826" w14:paraId="0EBA07DD" w14:textId="0665E42F">
      <w:pPr>
        <w:pStyle w:val="FootnoteText"/>
      </w:pPr>
      <w:r>
        <w:rPr>
          <w:rStyle w:val="FootnoteReference"/>
        </w:rPr>
        <w:footnoteRef/>
      </w:r>
      <w:r>
        <w:t xml:space="preserve"> </w:t>
      </w:r>
      <w:r>
        <w:rPr>
          <w:i/>
          <w:iCs/>
        </w:rPr>
        <w:t>Id.</w:t>
      </w:r>
      <w:r>
        <w:t xml:space="preserve"> at 8-</w:t>
      </w:r>
      <w:r w:rsidR="008213F1">
        <w:t>10.</w:t>
      </w:r>
    </w:p>
  </w:footnote>
  <w:footnote w:id="19">
    <w:p w:rsidR="00F76352" w:rsidRPr="00F76352" w:rsidP="00476826" w14:paraId="2FAC43B8" w14:textId="6EA22BB7">
      <w:pPr>
        <w:pStyle w:val="FootnoteText"/>
      </w:pPr>
      <w:r>
        <w:rPr>
          <w:rStyle w:val="FootnoteReference"/>
        </w:rPr>
        <w:footnoteRef/>
      </w:r>
      <w:r>
        <w:t xml:space="preserve"> </w:t>
      </w:r>
      <w:r>
        <w:rPr>
          <w:i/>
          <w:iCs/>
        </w:rPr>
        <w:t>Id.</w:t>
      </w:r>
      <w:r>
        <w:t xml:space="preserve"> at 10-1</w:t>
      </w:r>
      <w:r w:rsidR="002A2048">
        <w:t>2</w:t>
      </w:r>
      <w:r>
        <w:t xml:space="preserve">. </w:t>
      </w:r>
    </w:p>
  </w:footnote>
  <w:footnote w:id="20">
    <w:p w:rsidR="006402DB" w:rsidP="00476826" w14:paraId="4544B897" w14:textId="41554E0B">
      <w:pPr>
        <w:pStyle w:val="FootnoteText"/>
      </w:pPr>
      <w:r>
        <w:rPr>
          <w:rStyle w:val="FootnoteReference"/>
        </w:rPr>
        <w:footnoteRef/>
      </w:r>
      <w:r>
        <w:t xml:space="preserve"> </w:t>
      </w:r>
      <w:r>
        <w:t xml:space="preserve">Reply at 2. </w:t>
      </w:r>
    </w:p>
  </w:footnote>
  <w:footnote w:id="21">
    <w:p w:rsidR="009A6011" w:rsidRPr="009A6011" w:rsidP="00476826" w14:paraId="279A86EA" w14:textId="24A53E6E">
      <w:pPr>
        <w:pStyle w:val="FootnoteText"/>
        <w:rPr>
          <w:i/>
          <w:iCs/>
        </w:rPr>
      </w:pPr>
      <w:r>
        <w:rPr>
          <w:rStyle w:val="FootnoteReference"/>
        </w:rPr>
        <w:footnoteRef/>
      </w:r>
      <w:r>
        <w:t xml:space="preserve"> </w:t>
      </w:r>
      <w:r>
        <w:rPr>
          <w:i/>
          <w:iCs/>
        </w:rPr>
        <w:t>Id.</w:t>
      </w:r>
    </w:p>
  </w:footnote>
  <w:footnote w:id="22">
    <w:p w:rsidR="006D2A3E" w:rsidRPr="00D14507" w:rsidP="00476826" w14:paraId="2E91F55B" w14:textId="50A9DE11">
      <w:pPr>
        <w:pStyle w:val="FootnoteText"/>
      </w:pPr>
      <w:r>
        <w:rPr>
          <w:rStyle w:val="FootnoteReference"/>
        </w:rPr>
        <w:footnoteRef/>
      </w:r>
      <w:r>
        <w:t xml:space="preserve"> </w:t>
      </w:r>
      <w:r w:rsidR="00D14507">
        <w:rPr>
          <w:i/>
          <w:iCs/>
        </w:rPr>
        <w:t>Id.</w:t>
      </w:r>
      <w:r w:rsidR="00D14507">
        <w:t xml:space="preserve"> at 3-5. </w:t>
      </w:r>
    </w:p>
  </w:footnote>
  <w:footnote w:id="23">
    <w:p w:rsidR="003C7866" w:rsidRPr="00F26EAA" w:rsidP="00476826" w14:paraId="69AC4A2C" w14:textId="77777777">
      <w:pPr>
        <w:pStyle w:val="FootnoteText"/>
      </w:pPr>
      <w:r w:rsidRPr="00F26EAA">
        <w:rPr>
          <w:rStyle w:val="FootnoteReference"/>
        </w:rPr>
        <w:footnoteRef/>
      </w:r>
      <w:r w:rsidRPr="00F26EAA">
        <w:t xml:space="preserve"> </w:t>
      </w:r>
      <w:r w:rsidRPr="00F26EAA">
        <w:t>47 U.S.C. § 309(d).</w:t>
      </w:r>
    </w:p>
  </w:footnote>
  <w:footnote w:id="24">
    <w:p w:rsidR="003C7866" w:rsidRPr="00F26EAA" w:rsidP="00476826" w14:paraId="11A66D3A" w14:textId="77777777">
      <w:pPr>
        <w:pStyle w:val="FootnoteText"/>
      </w:pPr>
      <w:r w:rsidRPr="00F26EAA">
        <w:rPr>
          <w:rStyle w:val="FootnoteReference"/>
        </w:rPr>
        <w:footnoteRef/>
      </w:r>
      <w:r w:rsidRPr="00F26EAA">
        <w:t xml:space="preserve"> </w:t>
      </w:r>
      <w:r w:rsidRPr="00F26EAA">
        <w:rPr>
          <w:i/>
        </w:rPr>
        <w:t>See, e.g</w:t>
      </w:r>
      <w:r w:rsidRPr="00F26EAA">
        <w:t xml:space="preserve">., </w:t>
      </w:r>
      <w:r w:rsidRPr="00F26EAA">
        <w:rPr>
          <w:i/>
        </w:rPr>
        <w:t>WWOR-TV, Inc</w:t>
      </w:r>
      <w:r w:rsidRPr="00F26EAA">
        <w:t xml:space="preserve">., Memorandum Opinion and Order, 6 FCC Rcd 193, 197 n.10 (1990), </w:t>
      </w:r>
      <w:r w:rsidRPr="00F26EAA">
        <w:rPr>
          <w:i/>
        </w:rPr>
        <w:t>aff'd sub nom. Garden State Broad. L.P. v. FCC</w:t>
      </w:r>
      <w:r w:rsidRPr="00F26EAA">
        <w:t xml:space="preserve">, 996 F. 2d 386 (D.C. Cir. 1993), </w:t>
      </w:r>
      <w:r w:rsidRPr="00F26EAA">
        <w:rPr>
          <w:i/>
        </w:rPr>
        <w:t>rehearing denied</w:t>
      </w:r>
      <w:r w:rsidRPr="00F26EAA">
        <w:t xml:space="preserve"> (Sep. 10, 1993); </w:t>
      </w:r>
      <w:r w:rsidRPr="00F26EAA">
        <w:rPr>
          <w:i/>
          <w:iCs/>
        </w:rPr>
        <w:t>Gencom</w:t>
      </w:r>
      <w:r w:rsidRPr="00F26EAA">
        <w:rPr>
          <w:i/>
          <w:iCs/>
        </w:rPr>
        <w:t>, Inc. v. FCC</w:t>
      </w:r>
      <w:r w:rsidRPr="00F26EAA">
        <w:t xml:space="preserve">, 832 F.2d 171, 181 (D.C. Cir. 1987); </w:t>
      </w:r>
      <w:r w:rsidRPr="00F26EAA">
        <w:rPr>
          <w:i/>
        </w:rPr>
        <w:t>Area Christian Television, Inc</w:t>
      </w:r>
      <w:r w:rsidRPr="00F26EAA">
        <w:t xml:space="preserve">., Memorandum Opinion and Order, 60 RR 2d 862, 864, para. 6 (1986) (petitions to deny and informal objections must contain adequate and specific factual allegations sufficient to warrant the relief requested). </w:t>
      </w:r>
    </w:p>
  </w:footnote>
  <w:footnote w:id="25">
    <w:p w:rsidR="009A7228" w:rsidRPr="00717946" w:rsidP="009A7228" w14:paraId="10ED5EAE" w14:textId="6119E5BC">
      <w:pPr>
        <w:pStyle w:val="FootnoteText"/>
      </w:pPr>
      <w:r w:rsidRPr="00717946">
        <w:rPr>
          <w:rStyle w:val="FootnoteReference"/>
        </w:rPr>
        <w:footnoteRef/>
      </w:r>
      <w:r w:rsidRPr="00717946">
        <w:t xml:space="preserve"> </w:t>
      </w:r>
      <w:r w:rsidRPr="00717946">
        <w:rPr>
          <w:i/>
          <w:iCs/>
        </w:rPr>
        <w:t>See William F. Wallace and Anne K. Wallace</w:t>
      </w:r>
      <w:r w:rsidRPr="00717946">
        <w:t>, Memorandum Opinion and Order, 49 FCC 2d 1424, 1427, paras. 6-7 (1974) (Wallace); South Florida Broad. Co., Memorandum Opinion and Order, 99 FCC 2d 840, 842, para. 3 (1984).</w:t>
      </w:r>
      <w:r w:rsidR="00605C58">
        <w:t xml:space="preserve">  While applicants are not required to have a binding agreement or absolute assurance of a proposed site, a mere possibility that the site will be available is not sufficient.</w:t>
      </w:r>
    </w:p>
  </w:footnote>
  <w:footnote w:id="26">
    <w:p w:rsidR="00BC54C4" w:rsidP="00BC54C4" w14:paraId="734234AC" w14:textId="2B65E928">
      <w:pPr>
        <w:pStyle w:val="FootnoteText"/>
      </w:pPr>
      <w:r>
        <w:rPr>
          <w:rStyle w:val="FootnoteReference"/>
        </w:rPr>
        <w:footnoteRef/>
      </w:r>
      <w:r>
        <w:t xml:space="preserve"> </w:t>
      </w:r>
      <w:r w:rsidRPr="00E25392">
        <w:rPr>
          <w:i/>
          <w:iCs/>
        </w:rPr>
        <w:t>See</w:t>
      </w:r>
      <w:r>
        <w:t xml:space="preserve"> Form 2100, Schedule 340 Instructions at page 22; </w:t>
      </w:r>
      <w:r w:rsidRPr="00E25392">
        <w:rPr>
          <w:i/>
          <w:iCs/>
        </w:rPr>
        <w:t>see also</w:t>
      </w:r>
      <w:r>
        <w:t xml:space="preserve"> </w:t>
      </w:r>
      <w:r w:rsidRPr="00B26CE9" w:rsidR="00CB1C0E">
        <w:rPr>
          <w:i/>
          <w:iCs/>
        </w:rPr>
        <w:t>Reexamination of the Comparative Standards and Procedures for Licensing Noncommercial Educational Broadcast Stations and Low Power FM Stations</w:t>
      </w:r>
      <w:r w:rsidR="00CB1C0E">
        <w:t xml:space="preserve">, MB Docket No. 19-3, </w:t>
      </w:r>
      <w:r w:rsidR="00531FCD">
        <w:t>Report and Order</w:t>
      </w:r>
      <w:r w:rsidR="00CB1C0E">
        <w:t>,</w:t>
      </w:r>
      <w:r>
        <w:t xml:space="preserve"> 34 FCC Rcd </w:t>
      </w:r>
      <w:r w:rsidR="00531FCD">
        <w:t xml:space="preserve">12519, </w:t>
      </w:r>
      <w:r>
        <w:t>12542, para. 59</w:t>
      </w:r>
      <w:r w:rsidR="004D322F">
        <w:t xml:space="preserve"> (2019)</w:t>
      </w:r>
      <w:r>
        <w:t xml:space="preserve"> (directing the Bureau to update the Schedule 340 instructions to explain the requirement of obtaining reasonable site availability prior to the application filing and amend Schedule 340 to add a reasonable site assurance certification).</w:t>
      </w:r>
    </w:p>
  </w:footnote>
  <w:footnote w:id="27">
    <w:p w:rsidR="00D14DC5" w14:paraId="613D2573" w14:textId="18FEC662">
      <w:pPr>
        <w:pStyle w:val="FootnoteText"/>
      </w:pPr>
      <w:r>
        <w:rPr>
          <w:rStyle w:val="FootnoteReference"/>
        </w:rPr>
        <w:footnoteRef/>
      </w:r>
      <w:r>
        <w:t xml:space="preserve"> </w:t>
      </w:r>
      <w:r>
        <w:t xml:space="preserve">We will not allow applicants to amend their application to cure this fatal defect. </w:t>
      </w:r>
      <w:r w:rsidRPr="00B26CE9">
        <w:rPr>
          <w:i/>
          <w:iCs/>
        </w:rPr>
        <w:t>See, e.g., NCE MX Group 430 Marfa Public Radio</w:t>
      </w:r>
      <w:r>
        <w:t xml:space="preserve">, Memorandum Opinion and Order, 31 FCC Rcd 4241 (2016); </w:t>
      </w:r>
      <w:r w:rsidRPr="00B26CE9">
        <w:rPr>
          <w:i/>
          <w:iCs/>
        </w:rPr>
        <w:t>Mark Van Bergh, Esq.</w:t>
      </w:r>
      <w:r>
        <w:t>, Letter Order, 26 FCC Rcd 15135 (MB 2011)</w:t>
      </w:r>
      <w:r w:rsidR="00866A18">
        <w:t>.</w:t>
      </w:r>
    </w:p>
  </w:footnote>
  <w:footnote w:id="28">
    <w:p w:rsidR="00796D1E" w:rsidRPr="00796D1E" w14:paraId="304F0B92" w14:textId="243449ED">
      <w:pPr>
        <w:pStyle w:val="FootnoteText"/>
      </w:pPr>
      <w:r>
        <w:rPr>
          <w:rStyle w:val="FootnoteReference"/>
        </w:rPr>
        <w:footnoteRef/>
      </w:r>
      <w:r>
        <w:t xml:space="preserve"> </w:t>
      </w:r>
      <w:r>
        <w:t xml:space="preserve">Opposition at 14-15, Attachment 1. </w:t>
      </w:r>
    </w:p>
  </w:footnote>
  <w:footnote w:id="29">
    <w:p w:rsidR="00F016B0" w14:paraId="27364B6C" w14:textId="10B091C3">
      <w:pPr>
        <w:pStyle w:val="FootnoteText"/>
      </w:pPr>
      <w:r>
        <w:rPr>
          <w:rStyle w:val="FootnoteReference"/>
        </w:rPr>
        <w:footnoteRef/>
      </w:r>
      <w:r>
        <w:t xml:space="preserve"> </w:t>
      </w:r>
      <w:r w:rsidR="0004678E">
        <w:rPr>
          <w:i/>
          <w:iCs/>
        </w:rPr>
        <w:t>See</w:t>
      </w:r>
      <w:r w:rsidR="00F20D98">
        <w:rPr>
          <w:i/>
          <w:iCs/>
        </w:rPr>
        <w:t xml:space="preserve"> </w:t>
      </w:r>
      <w:r w:rsidR="00531FCD">
        <w:t xml:space="preserve">Amended </w:t>
      </w:r>
      <w:r w:rsidR="00F20D98">
        <w:t xml:space="preserve">MIM Application, </w:t>
      </w:r>
      <w:r w:rsidRPr="00A91D33" w:rsidR="00A91D33">
        <w:t>MIM Tower Representative Contact Addendum</w:t>
      </w:r>
      <w:r w:rsidR="00A91D33">
        <w:t xml:space="preserve"> Attachment</w:t>
      </w:r>
      <w:r w:rsidR="00651B72">
        <w:t xml:space="preserve">.  </w:t>
      </w:r>
      <w:r w:rsidR="000B49DA">
        <w:t xml:space="preserve"> </w:t>
      </w:r>
    </w:p>
  </w:footnote>
  <w:footnote w:id="30">
    <w:p w:rsidR="009E7D3C" w14:paraId="5F1456AC" w14:textId="7EC1883D">
      <w:pPr>
        <w:pStyle w:val="FootnoteText"/>
      </w:pPr>
      <w:r>
        <w:rPr>
          <w:rStyle w:val="FootnoteReference"/>
        </w:rPr>
        <w:footnoteRef/>
      </w:r>
      <w:r>
        <w:t xml:space="preserve"> </w:t>
      </w:r>
      <w:r>
        <w:rPr>
          <w:i/>
          <w:iCs/>
        </w:rPr>
        <w:t xml:space="preserve">Compare </w:t>
      </w:r>
      <w:r w:rsidRPr="003A4704">
        <w:rPr>
          <w:i/>
          <w:iCs/>
          <w:szCs w:val="22"/>
        </w:rPr>
        <w:t>Christian Charities Deliverance Church et. al</w:t>
      </w:r>
      <w:r>
        <w:rPr>
          <w:szCs w:val="22"/>
        </w:rPr>
        <w:t xml:space="preserve">., Memorandum Opinion and Order, 30 FCC Rcd 10548 (2015) (affirming dismissal of LPFM applications that violated section 73.807 of the </w:t>
      </w:r>
      <w:r w:rsidR="00D95823">
        <w:rPr>
          <w:szCs w:val="22"/>
        </w:rPr>
        <w:t>r</w:t>
      </w:r>
      <w:r>
        <w:rPr>
          <w:szCs w:val="22"/>
        </w:rPr>
        <w:t xml:space="preserve">ules </w:t>
      </w:r>
      <w:r w:rsidR="00E26932">
        <w:rPr>
          <w:szCs w:val="22"/>
        </w:rPr>
        <w:t xml:space="preserve">(minimum distance separations) </w:t>
      </w:r>
      <w:r>
        <w:rPr>
          <w:szCs w:val="22"/>
        </w:rPr>
        <w:t>without opportunity to cure</w:t>
      </w:r>
      <w:r w:rsidR="00E26932">
        <w:rPr>
          <w:szCs w:val="22"/>
        </w:rPr>
        <w:t>,</w:t>
      </w:r>
      <w:r>
        <w:rPr>
          <w:szCs w:val="22"/>
        </w:rPr>
        <w:t xml:space="preserve"> because section 73.870(c) of the </w:t>
      </w:r>
      <w:r w:rsidR="00D95823">
        <w:rPr>
          <w:szCs w:val="22"/>
        </w:rPr>
        <w:t>r</w:t>
      </w:r>
      <w:r>
        <w:rPr>
          <w:szCs w:val="22"/>
        </w:rPr>
        <w:t xml:space="preserve">ules explicitly provided that no curative amendments would be permitted for such violations).  </w:t>
      </w:r>
      <w:r>
        <w:t xml:space="preserve">Thus, had </w:t>
      </w:r>
      <w:r w:rsidR="00D95823">
        <w:t xml:space="preserve">the </w:t>
      </w:r>
      <w:r>
        <w:t>Bureau dismissed the MIM Application for failing to provide the information required in Schedule 340, MIM would have been entitled to file a curative amendment providing that information</w:t>
      </w:r>
      <w:r w:rsidR="004C25B9">
        <w:t>.</w:t>
      </w:r>
      <w:r>
        <w:t xml:space="preserve">  Dismissed applicants are permitted to submit one minor modification amendment to cure certain application deficiencies.  </w:t>
      </w:r>
      <w:r>
        <w:rPr>
          <w:i/>
          <w:iCs/>
        </w:rPr>
        <w:t>See</w:t>
      </w:r>
      <w:r>
        <w:t xml:space="preserve"> 47 CFR </w:t>
      </w:r>
      <w:r w:rsidRPr="00985226">
        <w:t>§</w:t>
      </w:r>
      <w:r>
        <w:t xml:space="preserve"> 73.3522(a)(2); </w:t>
      </w:r>
      <w:r w:rsidRPr="003A4704">
        <w:rPr>
          <w:i/>
          <w:iCs/>
        </w:rPr>
        <w:t>Commission States Future Policy on Incomplete and Patently Defective AM and FM Construction Permit</w:t>
      </w:r>
      <w:r>
        <w:rPr>
          <w:i/>
          <w:iCs/>
        </w:rPr>
        <w:t xml:space="preserve"> </w:t>
      </w:r>
      <w:r w:rsidRPr="003A4704">
        <w:rPr>
          <w:i/>
          <w:iCs/>
        </w:rPr>
        <w:t>Applications</w:t>
      </w:r>
      <w:r>
        <w:t xml:space="preserve">, Public Notice, 56 RR 2d 776 (1984).  </w:t>
      </w:r>
    </w:p>
  </w:footnote>
  <w:footnote w:id="31">
    <w:p w:rsidR="00985226" w:rsidRPr="00C53F51" w:rsidP="00476826" w14:paraId="760CD51F" w14:textId="23FA1DD6">
      <w:pPr>
        <w:pStyle w:val="FootnoteText"/>
      </w:pPr>
      <w:r>
        <w:rPr>
          <w:rStyle w:val="FootnoteReference"/>
        </w:rPr>
        <w:footnoteRef/>
      </w:r>
      <w:r>
        <w:t xml:space="preserve"> </w:t>
      </w:r>
      <w:r w:rsidRPr="00985226">
        <w:t>47 U.S.C. § 73.503(a)</w:t>
      </w:r>
      <w:r>
        <w:t xml:space="preserve">; </w:t>
      </w:r>
      <w:r>
        <w:rPr>
          <w:i/>
          <w:iCs/>
        </w:rPr>
        <w:t xml:space="preserve">see also </w:t>
      </w:r>
      <w:r w:rsidRPr="00C53F51" w:rsidR="00C53F51">
        <w:rPr>
          <w:i/>
          <w:iCs/>
        </w:rPr>
        <w:t>Music Ministries, Inc</w:t>
      </w:r>
      <w:r w:rsidRPr="00C53F51" w:rsidR="00C53F51">
        <w:t>., Hearing Designation Order, 9 FCC Rcd 3628 (MMB 1994).</w:t>
      </w:r>
    </w:p>
  </w:footnote>
  <w:footnote w:id="32">
    <w:p w:rsidR="00AC6957" w:rsidRPr="00865ACB" w:rsidP="00476826" w14:paraId="701DB42E" w14:textId="4E5E5971">
      <w:pPr>
        <w:shd w:val="clear" w:color="auto" w:fill="FFFFFF"/>
        <w:spacing w:after="120"/>
        <w:textAlignment w:val="baseline"/>
        <w:rPr>
          <w:i/>
          <w:iCs/>
          <w:color w:val="000000"/>
        </w:rPr>
      </w:pPr>
      <w:r>
        <w:rPr>
          <w:rStyle w:val="FootnoteReference"/>
        </w:rPr>
        <w:footnoteRef/>
      </w:r>
      <w:r>
        <w:t xml:space="preserve"> </w:t>
      </w:r>
      <w:r w:rsidR="00F46D71">
        <w:rPr>
          <w:i/>
          <w:iCs/>
        </w:rPr>
        <w:t xml:space="preserve">See </w:t>
      </w:r>
      <w:r w:rsidRPr="00AC6957" w:rsidR="00F46D71">
        <w:rPr>
          <w:i/>
          <w:iCs/>
          <w:color w:val="000000"/>
          <w:bdr w:val="none" w:sz="0" w:space="0" w:color="auto" w:frame="1"/>
        </w:rPr>
        <w:t>Hisp</w:t>
      </w:r>
      <w:r w:rsidRPr="00AC6957" w:rsidR="00F46D71">
        <w:rPr>
          <w:i/>
          <w:iCs/>
          <w:color w:val="000000"/>
          <w:bdr w:val="none" w:sz="0" w:space="0" w:color="auto" w:frame="1"/>
        </w:rPr>
        <w:t>. Arts of Tampa, Inc.</w:t>
      </w:r>
      <w:r w:rsidRPr="00AC6957" w:rsidR="00F46D71">
        <w:rPr>
          <w:color w:val="000000"/>
        </w:rPr>
        <w:t xml:space="preserve">, </w:t>
      </w:r>
      <w:r w:rsidR="001C2798">
        <w:rPr>
          <w:color w:val="000000"/>
        </w:rPr>
        <w:t xml:space="preserve">Order, </w:t>
      </w:r>
      <w:r w:rsidRPr="00AC6957" w:rsidR="00F46D71">
        <w:rPr>
          <w:color w:val="000000"/>
        </w:rPr>
        <w:t>32 FCC Rcd 1804</w:t>
      </w:r>
      <w:r w:rsidR="0044576D">
        <w:rPr>
          <w:color w:val="000000"/>
        </w:rPr>
        <w:t>, n.11</w:t>
      </w:r>
      <w:r w:rsidRPr="00AC6957" w:rsidR="00F46D71">
        <w:rPr>
          <w:color w:val="000000"/>
        </w:rPr>
        <w:t xml:space="preserve"> (</w:t>
      </w:r>
      <w:r w:rsidR="0044576D">
        <w:rPr>
          <w:color w:val="000000"/>
        </w:rPr>
        <w:t xml:space="preserve">MB </w:t>
      </w:r>
      <w:r w:rsidRPr="00AC6957" w:rsidR="00F46D71">
        <w:rPr>
          <w:color w:val="000000"/>
        </w:rPr>
        <w:t>2017)</w:t>
      </w:r>
      <w:r w:rsidR="00000187">
        <w:rPr>
          <w:color w:val="000000"/>
        </w:rPr>
        <w:t xml:space="preserve"> (“</w:t>
      </w:r>
      <w:r w:rsidRPr="00F46D71">
        <w:rPr>
          <w:color w:val="000000"/>
          <w:bdr w:val="none" w:sz="0" w:space="0" w:color="auto" w:frame="1"/>
          <w:shd w:val="clear" w:color="auto" w:fill="FFFFFF"/>
        </w:rPr>
        <w:t>As stated in its articles of</w:t>
      </w:r>
      <w:r w:rsidR="00000187">
        <w:rPr>
          <w:color w:val="000000"/>
          <w:bdr w:val="none" w:sz="0" w:space="0" w:color="auto" w:frame="1"/>
          <w:shd w:val="clear" w:color="auto" w:fill="FFFFFF"/>
        </w:rPr>
        <w:t xml:space="preserve"> </w:t>
      </w:r>
      <w:r w:rsidRPr="00F46D71">
        <w:rPr>
          <w:color w:val="000000"/>
          <w:bdr w:val="none" w:sz="0" w:space="0" w:color="auto" w:frame="1"/>
          <w:shd w:val="clear" w:color="auto" w:fill="FFFFFF"/>
        </w:rPr>
        <w:t xml:space="preserve">incorporation, the specific purpose for which Hispanic Arts is organized in Florida as a not-for-profit corporation is </w:t>
      </w:r>
      <w:r w:rsidR="00000187">
        <w:rPr>
          <w:color w:val="000000"/>
          <w:bdr w:val="none" w:sz="0" w:space="0" w:color="auto" w:frame="1"/>
          <w:shd w:val="clear" w:color="auto" w:fill="FFFFFF"/>
        </w:rPr>
        <w:t>‘</w:t>
      </w:r>
      <w:r w:rsidRPr="00F46D71">
        <w:rPr>
          <w:color w:val="000000"/>
          <w:bdr w:val="none" w:sz="0" w:space="0" w:color="auto" w:frame="1"/>
          <w:shd w:val="clear" w:color="auto" w:fill="FFFFFF"/>
        </w:rPr>
        <w:t>to provide cultural awareness of Tampa's rich Hispanic history, through arts, entertainment, events, and media.</w:t>
      </w:r>
      <w:r w:rsidR="00000187">
        <w:rPr>
          <w:color w:val="000000"/>
          <w:bdr w:val="none" w:sz="0" w:space="0" w:color="auto" w:frame="1"/>
          <w:shd w:val="clear" w:color="auto" w:fill="FFFFFF"/>
        </w:rPr>
        <w:t>’</w:t>
      </w:r>
      <w:r w:rsidR="003E58DE">
        <w:rPr>
          <w:color w:val="000000"/>
          <w:bdr w:val="none" w:sz="0" w:space="0" w:color="auto" w:frame="1"/>
          <w:shd w:val="clear" w:color="auto" w:fill="FFFFFF"/>
        </w:rPr>
        <w:t>”).</w:t>
      </w:r>
      <w:r w:rsidR="000C3C58">
        <w:rPr>
          <w:color w:val="000000"/>
          <w:bdr w:val="none" w:sz="0" w:space="0" w:color="auto" w:frame="1"/>
          <w:shd w:val="clear" w:color="auto" w:fill="FFFFFF"/>
        </w:rPr>
        <w:t xml:space="preserve">  </w:t>
      </w:r>
      <w:r w:rsidR="000C3C58">
        <w:rPr>
          <w:i/>
          <w:iCs/>
          <w:color w:val="000000"/>
          <w:bdr w:val="none" w:sz="0" w:space="0" w:color="auto" w:frame="1"/>
          <w:shd w:val="clear" w:color="auto" w:fill="FFFFFF"/>
        </w:rPr>
        <w:t xml:space="preserve">See also </w:t>
      </w:r>
      <w:r w:rsidR="00102311">
        <w:rPr>
          <w:i/>
          <w:iCs/>
          <w:color w:val="000000"/>
          <w:bdr w:val="none" w:sz="0" w:space="0" w:color="auto" w:frame="1"/>
          <w:shd w:val="clear" w:color="auto" w:fill="FFFFFF"/>
        </w:rPr>
        <w:t>NCE Reserved Allotment Group 7</w:t>
      </w:r>
      <w:r w:rsidR="00605E05">
        <w:rPr>
          <w:color w:val="000000"/>
          <w:bdr w:val="none" w:sz="0" w:space="0" w:color="auto" w:frame="1"/>
          <w:shd w:val="clear" w:color="auto" w:fill="FFFFFF"/>
        </w:rPr>
        <w:t>, Letter</w:t>
      </w:r>
      <w:r w:rsidR="00102311">
        <w:rPr>
          <w:color w:val="000000"/>
          <w:bdr w:val="none" w:sz="0" w:space="0" w:color="auto" w:frame="1"/>
          <w:shd w:val="clear" w:color="auto" w:fill="FFFFFF"/>
        </w:rPr>
        <w:t xml:space="preserve"> Order</w:t>
      </w:r>
      <w:r w:rsidR="00605E05">
        <w:rPr>
          <w:color w:val="000000"/>
          <w:bdr w:val="none" w:sz="0" w:space="0" w:color="auto" w:frame="1"/>
          <w:shd w:val="clear" w:color="auto" w:fill="FFFFFF"/>
        </w:rPr>
        <w:t>,</w:t>
      </w:r>
      <w:r w:rsidRPr="000C3C58" w:rsidR="000C3C58">
        <w:rPr>
          <w:i/>
          <w:iCs/>
          <w:color w:val="000000"/>
          <w:bdr w:val="none" w:sz="0" w:space="0" w:color="auto" w:frame="1"/>
          <w:shd w:val="clear" w:color="auto" w:fill="FFFFFF"/>
        </w:rPr>
        <w:t xml:space="preserve"> </w:t>
      </w:r>
      <w:r w:rsidRPr="00605E05" w:rsidR="000C3C58">
        <w:rPr>
          <w:color w:val="000000"/>
          <w:bdr w:val="none" w:sz="0" w:space="0" w:color="auto" w:frame="1"/>
          <w:shd w:val="clear" w:color="auto" w:fill="FFFFFF"/>
        </w:rPr>
        <w:t>27 FCC Rcd 11218, 11220–21 (</w:t>
      </w:r>
      <w:r w:rsidR="00605E05">
        <w:rPr>
          <w:color w:val="000000"/>
          <w:bdr w:val="none" w:sz="0" w:space="0" w:color="auto" w:frame="1"/>
          <w:shd w:val="clear" w:color="auto" w:fill="FFFFFF"/>
        </w:rPr>
        <w:t xml:space="preserve">MB </w:t>
      </w:r>
      <w:r w:rsidRPr="00605E05" w:rsidR="000C3C58">
        <w:rPr>
          <w:color w:val="000000"/>
          <w:bdr w:val="none" w:sz="0" w:space="0" w:color="auto" w:frame="1"/>
          <w:shd w:val="clear" w:color="auto" w:fill="FFFFFF"/>
        </w:rPr>
        <w:t>2012)</w:t>
      </w:r>
      <w:r w:rsidR="00C72AA6">
        <w:rPr>
          <w:color w:val="000000"/>
          <w:bdr w:val="none" w:sz="0" w:space="0" w:color="auto" w:frame="1"/>
          <w:shd w:val="clear" w:color="auto" w:fill="FFFFFF"/>
        </w:rPr>
        <w:t xml:space="preserve"> (</w:t>
      </w:r>
      <w:r w:rsidR="000146C5">
        <w:rPr>
          <w:color w:val="000000"/>
          <w:bdr w:val="none" w:sz="0" w:space="0" w:color="auto" w:frame="1"/>
          <w:shd w:val="clear" w:color="auto" w:fill="FFFFFF"/>
        </w:rPr>
        <w:t xml:space="preserve">finding that </w:t>
      </w:r>
      <w:r w:rsidR="007E662A">
        <w:rPr>
          <w:color w:val="000000"/>
          <w:bdr w:val="none" w:sz="0" w:space="0" w:color="auto" w:frame="1"/>
          <w:shd w:val="clear" w:color="auto" w:fill="FFFFFF"/>
        </w:rPr>
        <w:t>an applicant’s bylaws specifying a noncommercial educational objective</w:t>
      </w:r>
      <w:r w:rsidR="000146C5">
        <w:rPr>
          <w:color w:val="000000"/>
          <w:bdr w:val="none" w:sz="0" w:space="0" w:color="auto" w:frame="1"/>
          <w:shd w:val="clear" w:color="auto" w:fill="FFFFFF"/>
        </w:rPr>
        <w:t xml:space="preserve"> satisfied the Commission’s NCE requirements and qualification</w:t>
      </w:r>
      <w:r w:rsidR="00305846">
        <w:rPr>
          <w:color w:val="000000"/>
          <w:bdr w:val="none" w:sz="0" w:space="0" w:color="auto" w:frame="1"/>
          <w:shd w:val="clear" w:color="auto" w:fill="FFFFFF"/>
        </w:rPr>
        <w:t xml:space="preserve">s). </w:t>
      </w:r>
    </w:p>
  </w:footnote>
  <w:footnote w:id="33">
    <w:p w:rsidR="00865ACB" w:rsidRPr="00D56461" w:rsidP="00476826" w14:paraId="24F9DD43" w14:textId="76BBD690">
      <w:pPr>
        <w:shd w:val="clear" w:color="auto" w:fill="FFFFFF"/>
        <w:spacing w:after="120"/>
        <w:textAlignment w:val="baseline"/>
        <w:rPr>
          <w:rFonts w:ascii="Source Sans Pro" w:hAnsi="Source Sans Pro"/>
          <w:color w:val="000000"/>
          <w:sz w:val="24"/>
          <w:szCs w:val="24"/>
        </w:rPr>
      </w:pPr>
      <w:r>
        <w:rPr>
          <w:rStyle w:val="FootnoteReference"/>
        </w:rPr>
        <w:footnoteRef/>
      </w:r>
      <w:r>
        <w:t xml:space="preserve"> </w:t>
      </w:r>
      <w:r w:rsidR="007A6C33">
        <w:rPr>
          <w:i/>
          <w:iCs/>
        </w:rPr>
        <w:t xml:space="preserve">See </w:t>
      </w:r>
      <w:r w:rsidRPr="007A6C33" w:rsidR="007A6C33">
        <w:rPr>
          <w:i/>
          <w:iCs/>
        </w:rPr>
        <w:t xml:space="preserve">Denny Hazen </w:t>
      </w:r>
      <w:r w:rsidR="00B62C04">
        <w:rPr>
          <w:i/>
          <w:iCs/>
        </w:rPr>
        <w:t xml:space="preserve">and </w:t>
      </w:r>
      <w:r w:rsidRPr="007A6C33" w:rsidR="007A6C33">
        <w:rPr>
          <w:i/>
          <w:iCs/>
        </w:rPr>
        <w:t>Cary S. Tepper, Esq</w:t>
      </w:r>
      <w:r w:rsidR="007A6C33">
        <w:t xml:space="preserve">., </w:t>
      </w:r>
      <w:r w:rsidR="003B1FFE">
        <w:t>Letter</w:t>
      </w:r>
      <w:r w:rsidR="00F023D9">
        <w:t xml:space="preserve"> Order</w:t>
      </w:r>
      <w:r w:rsidR="003B1FFE">
        <w:t xml:space="preserve">, </w:t>
      </w:r>
      <w:r w:rsidR="007A6C33">
        <w:t xml:space="preserve">23 </w:t>
      </w:r>
      <w:r w:rsidR="003B1FFE">
        <w:t>F</w:t>
      </w:r>
      <w:r w:rsidR="007A6C33">
        <w:t>CC</w:t>
      </w:r>
      <w:r w:rsidR="003B1FFE">
        <w:t xml:space="preserve"> </w:t>
      </w:r>
      <w:r w:rsidR="007A6C33">
        <w:t>Rcd 11579, 11581–82</w:t>
      </w:r>
      <w:r w:rsidR="0028689F">
        <w:t>, n.25</w:t>
      </w:r>
      <w:r w:rsidR="007A6C33">
        <w:t xml:space="preserve"> (</w:t>
      </w:r>
      <w:r w:rsidR="003B1FFE">
        <w:t xml:space="preserve">MB </w:t>
      </w:r>
      <w:r w:rsidR="007A6C33">
        <w:t>2008)</w:t>
      </w:r>
      <w:r w:rsidR="003B1FFE">
        <w:t xml:space="preserve"> (finding that applicant’s </w:t>
      </w:r>
      <w:r w:rsidR="008911DC">
        <w:t xml:space="preserve">amendment of its </w:t>
      </w:r>
      <w:r w:rsidRPr="00D56461" w:rsidR="008911DC">
        <w:t>articles of incorporation and</w:t>
      </w:r>
      <w:r w:rsidRPr="00D56461" w:rsidR="003428B8">
        <w:t xml:space="preserve"> </w:t>
      </w:r>
      <w:r w:rsidRPr="00D56461" w:rsidR="00970558">
        <w:t xml:space="preserve">new NCE </w:t>
      </w:r>
      <w:r w:rsidRPr="00D56461" w:rsidR="008911DC">
        <w:t>application to includ</w:t>
      </w:r>
      <w:r w:rsidRPr="00D56461" w:rsidR="00F93F29">
        <w:t>e an educational programming description</w:t>
      </w:r>
      <w:r w:rsidRPr="00D56461" w:rsidR="004A4D2D">
        <w:t xml:space="preserve"> demonstrate “i</w:t>
      </w:r>
      <w:r w:rsidRPr="00D56461" w:rsidR="007A6C33">
        <w:t>t is a nonprofit educational organization, with distinct educational objectives, and that it will use its station's programming to further those objectives.</w:t>
      </w:r>
      <w:r w:rsidRPr="00D56461" w:rsidR="004A4D2D">
        <w:t xml:space="preserve">”). </w:t>
      </w:r>
    </w:p>
  </w:footnote>
  <w:footnote w:id="34">
    <w:p w:rsidR="00D730B1" w14:paraId="61C8A1DD" w14:textId="7BBE311F">
      <w:pPr>
        <w:pStyle w:val="FootnoteText"/>
      </w:pPr>
      <w:r>
        <w:rPr>
          <w:rStyle w:val="FootnoteReference"/>
        </w:rPr>
        <w:footnoteRef/>
      </w:r>
      <w:r>
        <w:t xml:space="preserve"> </w:t>
      </w:r>
      <w:r>
        <w:rPr>
          <w:i/>
          <w:iCs/>
        </w:rPr>
        <w:t xml:space="preserve">See </w:t>
      </w:r>
      <w:r>
        <w:t>MIM Application, MIM Articles State of California.</w:t>
      </w:r>
    </w:p>
  </w:footnote>
  <w:footnote w:id="35">
    <w:p w:rsidR="009F67FE" w:rsidRPr="00BD6FDA" w:rsidP="00476826" w14:paraId="12BB27CD" w14:textId="42CD1B2E">
      <w:pPr>
        <w:pStyle w:val="FootnoteText"/>
      </w:pPr>
      <w:r>
        <w:rPr>
          <w:rStyle w:val="FootnoteReference"/>
        </w:rPr>
        <w:footnoteRef/>
      </w:r>
      <w:r>
        <w:t xml:space="preserve"> </w:t>
      </w:r>
      <w:r w:rsidR="00D730B1">
        <w:rPr>
          <w:i/>
          <w:iCs/>
        </w:rPr>
        <w:t>Id.</w:t>
      </w:r>
      <w:r w:rsidR="00FF097D">
        <w:t>,</w:t>
      </w:r>
      <w:r w:rsidR="00DB3B19">
        <w:t xml:space="preserve"> </w:t>
      </w:r>
      <w:r w:rsidRPr="00DB3B19" w:rsidR="00DB3B19">
        <w:t>MIM California Nonprofit Corporation Number C4802124</w:t>
      </w:r>
      <w:r w:rsidR="00DB3B19">
        <w:t xml:space="preserve"> </w:t>
      </w:r>
      <w:r>
        <w:t>Attachment</w:t>
      </w:r>
      <w:r w:rsidR="00DB3B19">
        <w:t xml:space="preserve">. </w:t>
      </w:r>
    </w:p>
  </w:footnote>
  <w:footnote w:id="36">
    <w:p w:rsidR="00934C24" w:rsidRPr="004E2CD3" w14:paraId="1B20CF35" w14:textId="51989917">
      <w:pPr>
        <w:pStyle w:val="FootnoteText"/>
      </w:pPr>
      <w:r>
        <w:rPr>
          <w:rStyle w:val="FootnoteReference"/>
        </w:rPr>
        <w:footnoteRef/>
      </w:r>
      <w:r>
        <w:t xml:space="preserve"> </w:t>
      </w:r>
      <w:r w:rsidR="004E2CD3">
        <w:rPr>
          <w:i/>
          <w:iCs/>
        </w:rPr>
        <w:t xml:space="preserve">See </w:t>
      </w:r>
      <w:r w:rsidR="00CB1C0E">
        <w:t xml:space="preserve">Amended </w:t>
      </w:r>
      <w:r w:rsidR="004E2CD3">
        <w:t xml:space="preserve">MIM Application, </w:t>
      </w:r>
      <w:r w:rsidRPr="0045150B" w:rsidR="0045150B">
        <w:t>MIM Advancement of Educational Program Addendum</w:t>
      </w:r>
      <w:r w:rsidR="0045150B">
        <w:t xml:space="preserve"> Attachment.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1AF4D9A" w14:textId="5EE2A839">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D40E7D6"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E0ABCE1" w14:textId="77777777">
    <w:pPr>
      <w:pStyle w:val="Header"/>
      <w:tabs>
        <w:tab w:val="clear" w:pos="4320"/>
      </w:tabs>
      <w:jc w:val="center"/>
      <w:rPr>
        <w:sz w:val="22"/>
      </w:rPr>
    </w:pPr>
  </w:p>
  <w:p w:rsidR="002B54DB" w14:paraId="5CFCF028" w14:textId="77777777">
    <w:pPr>
      <w:pStyle w:val="Header"/>
      <w:tabs>
        <w:tab w:val="clear" w:pos="4320"/>
      </w:tabs>
      <w:jc w:val="center"/>
      <w:rPr>
        <w:sz w:val="22"/>
      </w:rPr>
    </w:pPr>
  </w:p>
  <w:p w:rsidR="002B54DB" w14:paraId="6E96285D" w14:textId="5732DD2C">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652224">
      <w:rPr>
        <w:noProof/>
        <w:sz w:val="24"/>
      </w:rPr>
      <w:t>August 22,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87"/>
    <w:rsid w:val="0000398A"/>
    <w:rsid w:val="00003A52"/>
    <w:rsid w:val="000060C8"/>
    <w:rsid w:val="00007818"/>
    <w:rsid w:val="0001170D"/>
    <w:rsid w:val="00013B77"/>
    <w:rsid w:val="000146C5"/>
    <w:rsid w:val="000220F2"/>
    <w:rsid w:val="00023A4E"/>
    <w:rsid w:val="000308BD"/>
    <w:rsid w:val="0003173F"/>
    <w:rsid w:val="00035EA3"/>
    <w:rsid w:val="00035F8D"/>
    <w:rsid w:val="00037AB0"/>
    <w:rsid w:val="00045370"/>
    <w:rsid w:val="0004678E"/>
    <w:rsid w:val="00047C83"/>
    <w:rsid w:val="0005260F"/>
    <w:rsid w:val="00060035"/>
    <w:rsid w:val="000674C2"/>
    <w:rsid w:val="0008355B"/>
    <w:rsid w:val="00090BF5"/>
    <w:rsid w:val="000B16B0"/>
    <w:rsid w:val="000B405E"/>
    <w:rsid w:val="000B49DA"/>
    <w:rsid w:val="000B57E2"/>
    <w:rsid w:val="000B6407"/>
    <w:rsid w:val="000B6786"/>
    <w:rsid w:val="000C3C58"/>
    <w:rsid w:val="000C4153"/>
    <w:rsid w:val="000D55C6"/>
    <w:rsid w:val="000D581E"/>
    <w:rsid w:val="000E1FB5"/>
    <w:rsid w:val="000E600C"/>
    <w:rsid w:val="000E79CF"/>
    <w:rsid w:val="000F06CE"/>
    <w:rsid w:val="000F1312"/>
    <w:rsid w:val="000F4E0E"/>
    <w:rsid w:val="00102311"/>
    <w:rsid w:val="001023B6"/>
    <w:rsid w:val="00102848"/>
    <w:rsid w:val="00103C3E"/>
    <w:rsid w:val="00104499"/>
    <w:rsid w:val="001051D6"/>
    <w:rsid w:val="00106F96"/>
    <w:rsid w:val="00110E8D"/>
    <w:rsid w:val="00110EED"/>
    <w:rsid w:val="00113041"/>
    <w:rsid w:val="00131132"/>
    <w:rsid w:val="00131EEF"/>
    <w:rsid w:val="001333F1"/>
    <w:rsid w:val="00136FC3"/>
    <w:rsid w:val="00137A41"/>
    <w:rsid w:val="00137EF0"/>
    <w:rsid w:val="00146DD0"/>
    <w:rsid w:val="001560CF"/>
    <w:rsid w:val="00162529"/>
    <w:rsid w:val="00177975"/>
    <w:rsid w:val="001A0901"/>
    <w:rsid w:val="001A609B"/>
    <w:rsid w:val="001C11F9"/>
    <w:rsid w:val="001C1CC2"/>
    <w:rsid w:val="001C2798"/>
    <w:rsid w:val="001C3168"/>
    <w:rsid w:val="001C51AF"/>
    <w:rsid w:val="001D69DC"/>
    <w:rsid w:val="001E46BD"/>
    <w:rsid w:val="001F22FE"/>
    <w:rsid w:val="00200541"/>
    <w:rsid w:val="00203312"/>
    <w:rsid w:val="00204CE3"/>
    <w:rsid w:val="00213760"/>
    <w:rsid w:val="00224447"/>
    <w:rsid w:val="00230CB3"/>
    <w:rsid w:val="002322D6"/>
    <w:rsid w:val="00241D85"/>
    <w:rsid w:val="002441A8"/>
    <w:rsid w:val="0026099B"/>
    <w:rsid w:val="00280E2A"/>
    <w:rsid w:val="002835C0"/>
    <w:rsid w:val="0028689F"/>
    <w:rsid w:val="00286EFA"/>
    <w:rsid w:val="002A2048"/>
    <w:rsid w:val="002A4A78"/>
    <w:rsid w:val="002A7D7A"/>
    <w:rsid w:val="002B48E5"/>
    <w:rsid w:val="002B54DB"/>
    <w:rsid w:val="002C0384"/>
    <w:rsid w:val="002C2E69"/>
    <w:rsid w:val="002D3367"/>
    <w:rsid w:val="002D41FB"/>
    <w:rsid w:val="002F6E39"/>
    <w:rsid w:val="003056C6"/>
    <w:rsid w:val="00305846"/>
    <w:rsid w:val="00305AEE"/>
    <w:rsid w:val="00306F0B"/>
    <w:rsid w:val="00310CB5"/>
    <w:rsid w:val="00320C29"/>
    <w:rsid w:val="00321FFC"/>
    <w:rsid w:val="00326F34"/>
    <w:rsid w:val="00327036"/>
    <w:rsid w:val="00327EA5"/>
    <w:rsid w:val="00327FE3"/>
    <w:rsid w:val="00332EB7"/>
    <w:rsid w:val="00340FD6"/>
    <w:rsid w:val="003428B8"/>
    <w:rsid w:val="00344128"/>
    <w:rsid w:val="00344A39"/>
    <w:rsid w:val="00346A7F"/>
    <w:rsid w:val="00356251"/>
    <w:rsid w:val="003574D3"/>
    <w:rsid w:val="003726FE"/>
    <w:rsid w:val="0037359B"/>
    <w:rsid w:val="0037378C"/>
    <w:rsid w:val="00374641"/>
    <w:rsid w:val="003760AA"/>
    <w:rsid w:val="003812B2"/>
    <w:rsid w:val="00387BD4"/>
    <w:rsid w:val="003921D0"/>
    <w:rsid w:val="00392746"/>
    <w:rsid w:val="003930CF"/>
    <w:rsid w:val="003968C1"/>
    <w:rsid w:val="003A3EC8"/>
    <w:rsid w:val="003A4704"/>
    <w:rsid w:val="003A5E37"/>
    <w:rsid w:val="003A75BF"/>
    <w:rsid w:val="003B1FFE"/>
    <w:rsid w:val="003B2364"/>
    <w:rsid w:val="003B7E1F"/>
    <w:rsid w:val="003B7F34"/>
    <w:rsid w:val="003C2E51"/>
    <w:rsid w:val="003C7866"/>
    <w:rsid w:val="003D0C15"/>
    <w:rsid w:val="003E01A1"/>
    <w:rsid w:val="003E1829"/>
    <w:rsid w:val="003E58DE"/>
    <w:rsid w:val="003F48A5"/>
    <w:rsid w:val="00414AC3"/>
    <w:rsid w:val="00420CCD"/>
    <w:rsid w:val="00431984"/>
    <w:rsid w:val="00433B27"/>
    <w:rsid w:val="004424A2"/>
    <w:rsid w:val="004431D9"/>
    <w:rsid w:val="0044576D"/>
    <w:rsid w:val="00450331"/>
    <w:rsid w:val="0045150B"/>
    <w:rsid w:val="00454002"/>
    <w:rsid w:val="0045642F"/>
    <w:rsid w:val="00461550"/>
    <w:rsid w:val="00461A68"/>
    <w:rsid w:val="004633C9"/>
    <w:rsid w:val="00467BB5"/>
    <w:rsid w:val="0047480D"/>
    <w:rsid w:val="00476826"/>
    <w:rsid w:val="00476AF3"/>
    <w:rsid w:val="00484220"/>
    <w:rsid w:val="00486C28"/>
    <w:rsid w:val="004937FF"/>
    <w:rsid w:val="00494E03"/>
    <w:rsid w:val="004A2765"/>
    <w:rsid w:val="004A4097"/>
    <w:rsid w:val="004A4D2D"/>
    <w:rsid w:val="004A6189"/>
    <w:rsid w:val="004B100C"/>
    <w:rsid w:val="004B1633"/>
    <w:rsid w:val="004B532F"/>
    <w:rsid w:val="004C25B9"/>
    <w:rsid w:val="004D1C7F"/>
    <w:rsid w:val="004D2134"/>
    <w:rsid w:val="004D322F"/>
    <w:rsid w:val="004D3B53"/>
    <w:rsid w:val="004D4B61"/>
    <w:rsid w:val="004E064A"/>
    <w:rsid w:val="004E2CD3"/>
    <w:rsid w:val="004E4C5E"/>
    <w:rsid w:val="004E6E79"/>
    <w:rsid w:val="00502939"/>
    <w:rsid w:val="00503DBD"/>
    <w:rsid w:val="00503E40"/>
    <w:rsid w:val="00505E39"/>
    <w:rsid w:val="00506B56"/>
    <w:rsid w:val="00510DDB"/>
    <w:rsid w:val="00513310"/>
    <w:rsid w:val="005221DA"/>
    <w:rsid w:val="00523915"/>
    <w:rsid w:val="00531FCD"/>
    <w:rsid w:val="00534CD6"/>
    <w:rsid w:val="00543402"/>
    <w:rsid w:val="00544000"/>
    <w:rsid w:val="005512FE"/>
    <w:rsid w:val="00556DE2"/>
    <w:rsid w:val="00584239"/>
    <w:rsid w:val="00590917"/>
    <w:rsid w:val="0059121F"/>
    <w:rsid w:val="005933FC"/>
    <w:rsid w:val="005A22F3"/>
    <w:rsid w:val="005A2A27"/>
    <w:rsid w:val="005A3FC4"/>
    <w:rsid w:val="005A717E"/>
    <w:rsid w:val="005C50F6"/>
    <w:rsid w:val="005C780E"/>
    <w:rsid w:val="005D4CF1"/>
    <w:rsid w:val="005E1278"/>
    <w:rsid w:val="005E3548"/>
    <w:rsid w:val="005E370F"/>
    <w:rsid w:val="005E4464"/>
    <w:rsid w:val="005E488B"/>
    <w:rsid w:val="005F36B6"/>
    <w:rsid w:val="005F718C"/>
    <w:rsid w:val="0060384A"/>
    <w:rsid w:val="00605C58"/>
    <w:rsid w:val="00605E05"/>
    <w:rsid w:val="00613EED"/>
    <w:rsid w:val="0061562A"/>
    <w:rsid w:val="0061778B"/>
    <w:rsid w:val="00631FE2"/>
    <w:rsid w:val="006402DB"/>
    <w:rsid w:val="00641476"/>
    <w:rsid w:val="006421F1"/>
    <w:rsid w:val="00651B72"/>
    <w:rsid w:val="00651BE4"/>
    <w:rsid w:val="00652224"/>
    <w:rsid w:val="006528D9"/>
    <w:rsid w:val="0065290D"/>
    <w:rsid w:val="006678CD"/>
    <w:rsid w:val="00670619"/>
    <w:rsid w:val="0067306E"/>
    <w:rsid w:val="006736C4"/>
    <w:rsid w:val="00674965"/>
    <w:rsid w:val="00682801"/>
    <w:rsid w:val="00682A29"/>
    <w:rsid w:val="00682D7D"/>
    <w:rsid w:val="006923C7"/>
    <w:rsid w:val="006A173A"/>
    <w:rsid w:val="006B7072"/>
    <w:rsid w:val="006C0A3F"/>
    <w:rsid w:val="006C7164"/>
    <w:rsid w:val="006C7EFB"/>
    <w:rsid w:val="006D0046"/>
    <w:rsid w:val="006D278E"/>
    <w:rsid w:val="006D2A3E"/>
    <w:rsid w:val="006E2434"/>
    <w:rsid w:val="006E38CB"/>
    <w:rsid w:val="006E6E7B"/>
    <w:rsid w:val="006F0EC0"/>
    <w:rsid w:val="006F1763"/>
    <w:rsid w:val="006F3C7A"/>
    <w:rsid w:val="006F59EA"/>
    <w:rsid w:val="006F5C10"/>
    <w:rsid w:val="0071123B"/>
    <w:rsid w:val="0071393F"/>
    <w:rsid w:val="007143F2"/>
    <w:rsid w:val="00717946"/>
    <w:rsid w:val="00723B49"/>
    <w:rsid w:val="00724819"/>
    <w:rsid w:val="007302EA"/>
    <w:rsid w:val="00733E4D"/>
    <w:rsid w:val="00743164"/>
    <w:rsid w:val="00752D0D"/>
    <w:rsid w:val="00776A84"/>
    <w:rsid w:val="00785DCD"/>
    <w:rsid w:val="0079099F"/>
    <w:rsid w:val="00790D8D"/>
    <w:rsid w:val="00794A5A"/>
    <w:rsid w:val="00794F15"/>
    <w:rsid w:val="00796D1E"/>
    <w:rsid w:val="007A13DE"/>
    <w:rsid w:val="007A3AC7"/>
    <w:rsid w:val="007A6C33"/>
    <w:rsid w:val="007B5136"/>
    <w:rsid w:val="007B6697"/>
    <w:rsid w:val="007B6899"/>
    <w:rsid w:val="007C0312"/>
    <w:rsid w:val="007C5EDD"/>
    <w:rsid w:val="007D17FC"/>
    <w:rsid w:val="007D1990"/>
    <w:rsid w:val="007D20D0"/>
    <w:rsid w:val="007D2789"/>
    <w:rsid w:val="007D7AEF"/>
    <w:rsid w:val="007E4C10"/>
    <w:rsid w:val="007E662A"/>
    <w:rsid w:val="007E6B65"/>
    <w:rsid w:val="007F22DE"/>
    <w:rsid w:val="007F5B3B"/>
    <w:rsid w:val="007F60CD"/>
    <w:rsid w:val="008023B4"/>
    <w:rsid w:val="00811C7E"/>
    <w:rsid w:val="0081409D"/>
    <w:rsid w:val="00820624"/>
    <w:rsid w:val="008213F1"/>
    <w:rsid w:val="00821D41"/>
    <w:rsid w:val="00825180"/>
    <w:rsid w:val="00825FE6"/>
    <w:rsid w:val="0082663B"/>
    <w:rsid w:val="0084640C"/>
    <w:rsid w:val="008540D2"/>
    <w:rsid w:val="00863567"/>
    <w:rsid w:val="00863A96"/>
    <w:rsid w:val="00865ACB"/>
    <w:rsid w:val="00866A18"/>
    <w:rsid w:val="008678D3"/>
    <w:rsid w:val="008911DC"/>
    <w:rsid w:val="00897F19"/>
    <w:rsid w:val="008A29CC"/>
    <w:rsid w:val="008B27EB"/>
    <w:rsid w:val="008C0288"/>
    <w:rsid w:val="008C1257"/>
    <w:rsid w:val="008C27DC"/>
    <w:rsid w:val="008D35F2"/>
    <w:rsid w:val="008D3A84"/>
    <w:rsid w:val="008D5227"/>
    <w:rsid w:val="008E6A00"/>
    <w:rsid w:val="00901A44"/>
    <w:rsid w:val="00903DC2"/>
    <w:rsid w:val="00934C24"/>
    <w:rsid w:val="00937DA3"/>
    <w:rsid w:val="0095222B"/>
    <w:rsid w:val="00957805"/>
    <w:rsid w:val="00961442"/>
    <w:rsid w:val="0096396C"/>
    <w:rsid w:val="00965519"/>
    <w:rsid w:val="00970558"/>
    <w:rsid w:val="00982247"/>
    <w:rsid w:val="00982F56"/>
    <w:rsid w:val="00983AFF"/>
    <w:rsid w:val="00985226"/>
    <w:rsid w:val="0098756E"/>
    <w:rsid w:val="009876AC"/>
    <w:rsid w:val="00990B94"/>
    <w:rsid w:val="00991AFC"/>
    <w:rsid w:val="00992DDD"/>
    <w:rsid w:val="0099389B"/>
    <w:rsid w:val="00995EA7"/>
    <w:rsid w:val="009969E0"/>
    <w:rsid w:val="009A6011"/>
    <w:rsid w:val="009A7228"/>
    <w:rsid w:val="009B07EB"/>
    <w:rsid w:val="009B3593"/>
    <w:rsid w:val="009B6C6D"/>
    <w:rsid w:val="009B7180"/>
    <w:rsid w:val="009C3682"/>
    <w:rsid w:val="009C580D"/>
    <w:rsid w:val="009D0B9A"/>
    <w:rsid w:val="009D3887"/>
    <w:rsid w:val="009D3F96"/>
    <w:rsid w:val="009E58D1"/>
    <w:rsid w:val="009E7D3C"/>
    <w:rsid w:val="009F4035"/>
    <w:rsid w:val="009F5D54"/>
    <w:rsid w:val="009F67FE"/>
    <w:rsid w:val="009F7EE4"/>
    <w:rsid w:val="00A0078B"/>
    <w:rsid w:val="00A079C5"/>
    <w:rsid w:val="00A10A5B"/>
    <w:rsid w:val="00A20383"/>
    <w:rsid w:val="00A24580"/>
    <w:rsid w:val="00A305AC"/>
    <w:rsid w:val="00A358C8"/>
    <w:rsid w:val="00A41FD4"/>
    <w:rsid w:val="00A51BA4"/>
    <w:rsid w:val="00A57E58"/>
    <w:rsid w:val="00A62ED5"/>
    <w:rsid w:val="00A64942"/>
    <w:rsid w:val="00A65C0C"/>
    <w:rsid w:val="00A83D4D"/>
    <w:rsid w:val="00A866AB"/>
    <w:rsid w:val="00A91D33"/>
    <w:rsid w:val="00A9242D"/>
    <w:rsid w:val="00A925E2"/>
    <w:rsid w:val="00A94854"/>
    <w:rsid w:val="00A94E0B"/>
    <w:rsid w:val="00A96C15"/>
    <w:rsid w:val="00AA2D04"/>
    <w:rsid w:val="00AB4AE6"/>
    <w:rsid w:val="00AC408C"/>
    <w:rsid w:val="00AC6957"/>
    <w:rsid w:val="00AD634B"/>
    <w:rsid w:val="00AE0121"/>
    <w:rsid w:val="00AE0AC6"/>
    <w:rsid w:val="00AE5A88"/>
    <w:rsid w:val="00AE5F4E"/>
    <w:rsid w:val="00AE6607"/>
    <w:rsid w:val="00AF0BB9"/>
    <w:rsid w:val="00AF3A72"/>
    <w:rsid w:val="00AF555A"/>
    <w:rsid w:val="00AF6898"/>
    <w:rsid w:val="00AF7A03"/>
    <w:rsid w:val="00B015EB"/>
    <w:rsid w:val="00B10C39"/>
    <w:rsid w:val="00B13939"/>
    <w:rsid w:val="00B16556"/>
    <w:rsid w:val="00B20A78"/>
    <w:rsid w:val="00B2180A"/>
    <w:rsid w:val="00B21E1F"/>
    <w:rsid w:val="00B24DEB"/>
    <w:rsid w:val="00B26CE9"/>
    <w:rsid w:val="00B36276"/>
    <w:rsid w:val="00B45BD1"/>
    <w:rsid w:val="00B60D87"/>
    <w:rsid w:val="00B623A1"/>
    <w:rsid w:val="00B62C04"/>
    <w:rsid w:val="00B74A7F"/>
    <w:rsid w:val="00B7605B"/>
    <w:rsid w:val="00B80D06"/>
    <w:rsid w:val="00B96AE2"/>
    <w:rsid w:val="00BA6B40"/>
    <w:rsid w:val="00BA7CDE"/>
    <w:rsid w:val="00BB040A"/>
    <w:rsid w:val="00BB300A"/>
    <w:rsid w:val="00BB6D1A"/>
    <w:rsid w:val="00BB79A6"/>
    <w:rsid w:val="00BC16DA"/>
    <w:rsid w:val="00BC54C4"/>
    <w:rsid w:val="00BD077B"/>
    <w:rsid w:val="00BD3C00"/>
    <w:rsid w:val="00BD6FDA"/>
    <w:rsid w:val="00BE1324"/>
    <w:rsid w:val="00BE62EA"/>
    <w:rsid w:val="00BE6D02"/>
    <w:rsid w:val="00BF544E"/>
    <w:rsid w:val="00BF5836"/>
    <w:rsid w:val="00C06211"/>
    <w:rsid w:val="00C07FE0"/>
    <w:rsid w:val="00C10AC1"/>
    <w:rsid w:val="00C13073"/>
    <w:rsid w:val="00C157BC"/>
    <w:rsid w:val="00C175F1"/>
    <w:rsid w:val="00C20619"/>
    <w:rsid w:val="00C212A3"/>
    <w:rsid w:val="00C24E35"/>
    <w:rsid w:val="00C26838"/>
    <w:rsid w:val="00C30A34"/>
    <w:rsid w:val="00C31230"/>
    <w:rsid w:val="00C335D6"/>
    <w:rsid w:val="00C468E0"/>
    <w:rsid w:val="00C53D57"/>
    <w:rsid w:val="00C53F51"/>
    <w:rsid w:val="00C612C5"/>
    <w:rsid w:val="00C63984"/>
    <w:rsid w:val="00C72AA6"/>
    <w:rsid w:val="00C8227C"/>
    <w:rsid w:val="00C8453D"/>
    <w:rsid w:val="00C854DD"/>
    <w:rsid w:val="00C90A83"/>
    <w:rsid w:val="00C929FD"/>
    <w:rsid w:val="00C941D3"/>
    <w:rsid w:val="00CB1C0E"/>
    <w:rsid w:val="00CB38E7"/>
    <w:rsid w:val="00CD42CB"/>
    <w:rsid w:val="00CF0C52"/>
    <w:rsid w:val="00CF5E53"/>
    <w:rsid w:val="00D13AA7"/>
    <w:rsid w:val="00D14507"/>
    <w:rsid w:val="00D14ACC"/>
    <w:rsid w:val="00D14DC5"/>
    <w:rsid w:val="00D14FA2"/>
    <w:rsid w:val="00D301D5"/>
    <w:rsid w:val="00D37257"/>
    <w:rsid w:val="00D46B20"/>
    <w:rsid w:val="00D5126C"/>
    <w:rsid w:val="00D52115"/>
    <w:rsid w:val="00D55654"/>
    <w:rsid w:val="00D56461"/>
    <w:rsid w:val="00D72698"/>
    <w:rsid w:val="00D730B1"/>
    <w:rsid w:val="00D77187"/>
    <w:rsid w:val="00D80493"/>
    <w:rsid w:val="00D93981"/>
    <w:rsid w:val="00D942F6"/>
    <w:rsid w:val="00D95823"/>
    <w:rsid w:val="00DA211A"/>
    <w:rsid w:val="00DA5D12"/>
    <w:rsid w:val="00DA6CE8"/>
    <w:rsid w:val="00DA74B0"/>
    <w:rsid w:val="00DB0070"/>
    <w:rsid w:val="00DB3B19"/>
    <w:rsid w:val="00DB6A89"/>
    <w:rsid w:val="00DB73A6"/>
    <w:rsid w:val="00DD68E8"/>
    <w:rsid w:val="00DE4AC3"/>
    <w:rsid w:val="00DE5D4E"/>
    <w:rsid w:val="00E0136F"/>
    <w:rsid w:val="00E033D0"/>
    <w:rsid w:val="00E10B1A"/>
    <w:rsid w:val="00E21464"/>
    <w:rsid w:val="00E25392"/>
    <w:rsid w:val="00E26932"/>
    <w:rsid w:val="00E31DCC"/>
    <w:rsid w:val="00E340C6"/>
    <w:rsid w:val="00E34EFE"/>
    <w:rsid w:val="00E3537C"/>
    <w:rsid w:val="00E40460"/>
    <w:rsid w:val="00E45FA4"/>
    <w:rsid w:val="00E6551C"/>
    <w:rsid w:val="00E674C9"/>
    <w:rsid w:val="00E770DD"/>
    <w:rsid w:val="00E81EF7"/>
    <w:rsid w:val="00E858DD"/>
    <w:rsid w:val="00E86FC1"/>
    <w:rsid w:val="00E87CAF"/>
    <w:rsid w:val="00E946BF"/>
    <w:rsid w:val="00E979B2"/>
    <w:rsid w:val="00EA35E2"/>
    <w:rsid w:val="00EA4DE1"/>
    <w:rsid w:val="00EB1EA0"/>
    <w:rsid w:val="00EB7682"/>
    <w:rsid w:val="00EB7DAE"/>
    <w:rsid w:val="00ED2DFC"/>
    <w:rsid w:val="00ED3C89"/>
    <w:rsid w:val="00ED3EDC"/>
    <w:rsid w:val="00ED4458"/>
    <w:rsid w:val="00ED467C"/>
    <w:rsid w:val="00ED4C0E"/>
    <w:rsid w:val="00EE5915"/>
    <w:rsid w:val="00EE599B"/>
    <w:rsid w:val="00EE5EEF"/>
    <w:rsid w:val="00F00DAB"/>
    <w:rsid w:val="00F016B0"/>
    <w:rsid w:val="00F023D9"/>
    <w:rsid w:val="00F02E97"/>
    <w:rsid w:val="00F10E2A"/>
    <w:rsid w:val="00F13496"/>
    <w:rsid w:val="00F13ABE"/>
    <w:rsid w:val="00F17700"/>
    <w:rsid w:val="00F20D98"/>
    <w:rsid w:val="00F21B84"/>
    <w:rsid w:val="00F24EF7"/>
    <w:rsid w:val="00F26BD5"/>
    <w:rsid w:val="00F26EAA"/>
    <w:rsid w:val="00F31F62"/>
    <w:rsid w:val="00F3375A"/>
    <w:rsid w:val="00F35410"/>
    <w:rsid w:val="00F41A72"/>
    <w:rsid w:val="00F426A3"/>
    <w:rsid w:val="00F4596A"/>
    <w:rsid w:val="00F46D71"/>
    <w:rsid w:val="00F47080"/>
    <w:rsid w:val="00F60327"/>
    <w:rsid w:val="00F7081A"/>
    <w:rsid w:val="00F72A7A"/>
    <w:rsid w:val="00F74CD0"/>
    <w:rsid w:val="00F76352"/>
    <w:rsid w:val="00F80C6C"/>
    <w:rsid w:val="00F84028"/>
    <w:rsid w:val="00F93F29"/>
    <w:rsid w:val="00F94158"/>
    <w:rsid w:val="00F956F4"/>
    <w:rsid w:val="00FA2D70"/>
    <w:rsid w:val="00FA3D11"/>
    <w:rsid w:val="00FA4656"/>
    <w:rsid w:val="00FA5527"/>
    <w:rsid w:val="00FB2526"/>
    <w:rsid w:val="00FB4BAA"/>
    <w:rsid w:val="00FB4BF3"/>
    <w:rsid w:val="00FD15EC"/>
    <w:rsid w:val="00FD2ECD"/>
    <w:rsid w:val="00FE2E45"/>
    <w:rsid w:val="00FE2ED3"/>
    <w:rsid w:val="00FF097D"/>
    <w:rsid w:val="00FF1DBC"/>
    <w:rsid w:val="00FF4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224"/>
  </w:style>
  <w:style w:type="character" w:default="1" w:styleId="DefaultParagraphFont">
    <w:name w:val="Default Paragraph Font"/>
    <w:semiHidden/>
    <w:rsid w:val="006522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2224"/>
  </w:style>
  <w:style w:type="paragraph" w:styleId="Header">
    <w:name w:val="header"/>
    <w:basedOn w:val="Normal"/>
    <w:semiHidden/>
    <w:rsid w:val="00652224"/>
    <w:pPr>
      <w:tabs>
        <w:tab w:val="center" w:pos="4320"/>
        <w:tab w:val="right" w:pos="8640"/>
      </w:tabs>
    </w:pPr>
  </w:style>
  <w:style w:type="paragraph" w:styleId="Footer">
    <w:name w:val="footer"/>
    <w:basedOn w:val="Normal"/>
    <w:link w:val="FooterChar"/>
    <w:rsid w:val="00652224"/>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uiPriority w:val="99"/>
    <w:qFormat/>
    <w:rsid w:val="00340FD6"/>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 Char Char Char1"/>
    <w:basedOn w:val="DefaultParagraphFont"/>
    <w:link w:val="FootnoteText"/>
    <w:uiPriority w:val="99"/>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styleId="UnresolvedMention">
    <w:name w:val="Unresolved Mention"/>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 w:type="character" w:styleId="Emphasis">
    <w:name w:val="Emphasis"/>
    <w:basedOn w:val="DefaultParagraphFont"/>
    <w:uiPriority w:val="20"/>
    <w:qFormat/>
    <w:rsid w:val="0082663B"/>
    <w:rPr>
      <w:i/>
      <w:iCs/>
    </w:rPr>
  </w:style>
  <w:style w:type="character" w:customStyle="1" w:styleId="cohl">
    <w:name w:val="co_hl"/>
    <w:basedOn w:val="DefaultParagraphFont"/>
    <w:rsid w:val="00110EED"/>
  </w:style>
  <w:style w:type="character" w:customStyle="1" w:styleId="FooterChar">
    <w:name w:val="Footer Char"/>
    <w:basedOn w:val="DefaultParagraphFont"/>
    <w:link w:val="Footer"/>
    <w:rsid w:val="00DA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sneely@yahoo.com" TargetMode="External" /><Relationship Id="rId6" Type="http://schemas.openxmlformats.org/officeDocument/2006/relationships/hyperlink" Target="mailto:sherrylovesmkay1024@gmail.com" TargetMode="External" /><Relationship Id="rId7" Type="http://schemas.openxmlformats.org/officeDocument/2006/relationships/hyperlink" Target="mailto:DJA@COMMLAW.T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