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141EF" w14:paraId="5F5119CE" w14:textId="77777777">
      <w:pPr>
        <w:jc w:val="right"/>
        <w:rPr>
          <w:sz w:val="24"/>
        </w:rPr>
      </w:pPr>
    </w:p>
    <w:p w:rsidR="003141EF" w14:paraId="57B05288" w14:textId="2C44544F">
      <w:pPr>
        <w:jc w:val="right"/>
        <w:rPr>
          <w:b/>
          <w:sz w:val="24"/>
        </w:rPr>
      </w:pPr>
      <w:r>
        <w:rPr>
          <w:b/>
          <w:sz w:val="24"/>
        </w:rPr>
        <w:t>DA</w:t>
      </w:r>
      <w:r w:rsidR="00A90AD6">
        <w:rPr>
          <w:b/>
          <w:sz w:val="24"/>
        </w:rPr>
        <w:t xml:space="preserve"> 22-</w:t>
      </w:r>
      <w:r w:rsidR="005270FF">
        <w:rPr>
          <w:b/>
          <w:sz w:val="24"/>
        </w:rPr>
        <w:t>876</w:t>
      </w:r>
    </w:p>
    <w:p w:rsidR="003141EF" w14:paraId="225B0F70" w14:textId="0D91F68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</w:t>
      </w:r>
      <w:r w:rsidR="00871673">
        <w:rPr>
          <w:b/>
          <w:sz w:val="24"/>
        </w:rPr>
        <w:t xml:space="preserve">  August 22, 2022</w:t>
      </w:r>
    </w:p>
    <w:p w:rsidR="003141EF" w14:paraId="1A6C01F9" w14:textId="77777777">
      <w:pPr>
        <w:jc w:val="right"/>
        <w:rPr>
          <w:sz w:val="24"/>
        </w:rPr>
      </w:pPr>
    </w:p>
    <w:p w:rsidR="003141EF" w:rsidRPr="00A90AD6" w14:paraId="3C946F78" w14:textId="7FCEC98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C012E5">
        <w:rPr>
          <w:b/>
          <w:sz w:val="24"/>
          <w:szCs w:val="24"/>
        </w:rPr>
        <w:t>WIRELINE</w:t>
      </w:r>
      <w:r w:rsidRPr="009D24B6">
        <w:rPr>
          <w:b/>
          <w:sz w:val="24"/>
          <w:szCs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 xml:space="preserve">Competition Bureau Announces </w:t>
      </w:r>
      <w:r w:rsidR="0049423A">
        <w:rPr>
          <w:rFonts w:ascii="Times New Roman Bold" w:hAnsi="Times New Roman Bold"/>
          <w:b/>
          <w:caps/>
          <w:sz w:val="24"/>
        </w:rPr>
        <w:t xml:space="preserve">compliance dates for </w:t>
      </w:r>
      <w:r>
        <w:rPr>
          <w:rFonts w:ascii="Times New Roman Bold" w:hAnsi="Times New Roman Bold"/>
          <w:b/>
          <w:caps/>
          <w:sz w:val="24"/>
        </w:rPr>
        <w:t xml:space="preserve">rules adopted in the </w:t>
      </w:r>
      <w:r>
        <w:rPr>
          <w:rFonts w:ascii="Times New Roman Bold" w:hAnsi="Times New Roman Bold"/>
          <w:b/>
          <w:i/>
          <w:iCs/>
          <w:caps/>
          <w:sz w:val="24"/>
        </w:rPr>
        <w:t>2022 mte order</w:t>
      </w:r>
    </w:p>
    <w:p w:rsidR="00A90AD6" w:rsidRPr="005E6ADE" w:rsidP="005E6ADE" w14:paraId="5C650452" w14:textId="12495296">
      <w:pPr>
        <w:jc w:val="center"/>
        <w:rPr>
          <w:b/>
          <w:sz w:val="24"/>
        </w:rPr>
      </w:pPr>
      <w:r>
        <w:rPr>
          <w:b/>
          <w:sz w:val="24"/>
        </w:rPr>
        <w:t>GN Docket No. 17-142</w:t>
      </w:r>
    </w:p>
    <w:p w:rsidR="005E6ADE" w:rsidP="00A90AD6" w14:paraId="324D24B3" w14:textId="77777777">
      <w:pPr>
        <w:spacing w:after="120"/>
        <w:ind w:left="-15" w:firstLine="735"/>
      </w:pPr>
    </w:p>
    <w:p w:rsidR="00A90AD6" w:rsidP="00A90AD6" w14:paraId="58823AF8" w14:textId="05627E7C">
      <w:pPr>
        <w:spacing w:after="120"/>
        <w:ind w:left="-15" w:firstLine="735"/>
      </w:pPr>
      <w:r>
        <w:t xml:space="preserve">By this Public Notice, the Wireline Competition Bureau (Bureau) announces </w:t>
      </w:r>
      <w:r w:rsidR="00790C4F">
        <w:t>compliance dates for</w:t>
      </w:r>
      <w:r>
        <w:t xml:space="preserve"> </w:t>
      </w:r>
      <w:r w:rsidR="002308CF">
        <w:t xml:space="preserve">certain </w:t>
      </w:r>
      <w:r>
        <w:t xml:space="preserve">requirements adopted in the </w:t>
      </w:r>
      <w:r>
        <w:rPr>
          <w:i/>
        </w:rPr>
        <w:t>2022 Multiple Tenant Environments (MTE) Order</w:t>
      </w:r>
      <w:r w:rsidR="002308CF">
        <w:rPr>
          <w:iCs/>
        </w:rPr>
        <w:t>:</w:t>
      </w:r>
      <w:r w:rsidRPr="00C012E5">
        <w:rPr>
          <w:iCs/>
        </w:rPr>
        <w:t xml:space="preserve"> </w:t>
      </w:r>
      <w:r w:rsidR="0049423A">
        <w:t xml:space="preserve">the prohibition on enforcement of </w:t>
      </w:r>
      <w:r w:rsidR="002308CF">
        <w:t xml:space="preserve">existing exclusive and graduated </w:t>
      </w:r>
      <w:r w:rsidR="0049423A">
        <w:t xml:space="preserve">revenue sharing agreements and the </w:t>
      </w:r>
      <w:r>
        <w:t xml:space="preserve">disclosure of </w:t>
      </w:r>
      <w:r w:rsidR="002308CF">
        <w:t xml:space="preserve">new existing </w:t>
      </w:r>
      <w:r>
        <w:t>exclusive marketing arrangements</w:t>
      </w:r>
      <w:r w:rsidRPr="005A4007">
        <w:t>.</w:t>
      </w:r>
      <w:r>
        <w:rPr>
          <w:vertAlign w:val="superscript"/>
        </w:rPr>
        <w:footnoteReference w:id="3"/>
      </w:r>
      <w:r>
        <w:t xml:space="preserve">  </w:t>
      </w:r>
      <w:r w:rsidR="00790C4F">
        <w:t xml:space="preserve">Compliance with the Commission’s </w:t>
      </w:r>
      <w:r w:rsidR="0049423A">
        <w:t xml:space="preserve">prohibition on enforcing </w:t>
      </w:r>
      <w:r w:rsidR="004D7CF3">
        <w:t xml:space="preserve">these </w:t>
      </w:r>
      <w:r w:rsidR="00790C4F">
        <w:t>existing</w:t>
      </w:r>
      <w:r w:rsidR="009D24B6">
        <w:t xml:space="preserve"> </w:t>
      </w:r>
      <w:r w:rsidR="00790C4F">
        <w:t>revenue sharing agreements is required by September 2</w:t>
      </w:r>
      <w:r w:rsidR="00C012E5">
        <w:t>6</w:t>
      </w:r>
      <w:r w:rsidR="00790C4F">
        <w:t xml:space="preserve">, 2022.  </w:t>
      </w:r>
      <w:r>
        <w:t>Compliance with the Commission’s disclosure rules for new exclusive marketing arrangements is required immediately; compliance with its disclosure rules for existing exclusive marketing arrangements is required by September 26, 2022.</w:t>
      </w:r>
    </w:p>
    <w:p w:rsidR="00A614DB" w:rsidRPr="00C012E5" w:rsidP="00E678C2" w14:paraId="0CFA5042" w14:textId="352C04D9">
      <w:pPr>
        <w:spacing w:after="120"/>
        <w:ind w:left="-15" w:firstLine="735"/>
        <w:rPr>
          <w:rFonts w:ascii="TimesNewRomanPSMT" w:hAnsi="TimesNewRomanPSMT" w:cs="TimesNewRomanPSMT"/>
        </w:rPr>
      </w:pPr>
      <w:r>
        <w:t xml:space="preserve">In the </w:t>
      </w:r>
      <w:r>
        <w:rPr>
          <w:i/>
        </w:rPr>
        <w:t>2022 MTE Order</w:t>
      </w:r>
      <w:r>
        <w:t>, the Commission adopted rules</w:t>
      </w:r>
      <w:r w:rsidR="00A64BCE">
        <w:t xml:space="preserve"> </w:t>
      </w:r>
      <w:r>
        <w:t>prohibiting</w:t>
      </w:r>
      <w:r w:rsidR="00ED729C">
        <w:t xml:space="preserve"> providers from</w:t>
      </w:r>
      <w:r>
        <w:t xml:space="preserve"> </w:t>
      </w:r>
      <w:r>
        <w:t>entering into</w:t>
      </w:r>
      <w:r>
        <w:t xml:space="preserve"> or enforcing exclusive and graduated revenue sharing agreements</w:t>
      </w:r>
      <w:r w:rsidR="00ED729C">
        <w:t xml:space="preserve"> with MTE owners</w:t>
      </w:r>
      <w:r>
        <w:t>.</w:t>
      </w:r>
      <w:r>
        <w:rPr>
          <w:rStyle w:val="FootnoteReference"/>
        </w:rPr>
        <w:footnoteReference w:id="4"/>
      </w:r>
      <w:r>
        <w:t xml:space="preserve">  </w:t>
      </w:r>
      <w:r w:rsidR="006A4318">
        <w:t xml:space="preserve">The Commission stated that </w:t>
      </w:r>
      <w:r w:rsidR="00E678C2">
        <w:t>the rules regarding</w:t>
      </w:r>
      <w:r w:rsidR="00B04F89">
        <w:t xml:space="preserve"> entering into</w:t>
      </w:r>
      <w:r w:rsidR="00E678C2">
        <w:t xml:space="preserve"> new revenue sharing agreements </w:t>
      </w:r>
      <w:r w:rsidR="006A4318">
        <w:t xml:space="preserve">would </w:t>
      </w:r>
      <w:r w:rsidR="00E678C2">
        <w:t>bec</w:t>
      </w:r>
      <w:r w:rsidR="006A4318">
        <w:t>o</w:t>
      </w:r>
      <w:r w:rsidR="00E678C2">
        <w:t xml:space="preserve">me effective </w:t>
      </w:r>
      <w:r w:rsidRPr="00CE2C68">
        <w:t xml:space="preserve">30 days after the </w:t>
      </w:r>
      <w:r w:rsidRPr="00CE2C68">
        <w:rPr>
          <w:i/>
          <w:iCs/>
        </w:rPr>
        <w:t>2022 MTE Order</w:t>
      </w:r>
      <w:r w:rsidRPr="00CE2C68">
        <w:t>’s publication in the Federal Register</w:t>
      </w:r>
      <w:r w:rsidR="006A4318">
        <w:t>;</w:t>
      </w:r>
      <w:r>
        <w:rPr>
          <w:rStyle w:val="FootnoteReference"/>
        </w:rPr>
        <w:footnoteReference w:id="5"/>
      </w:r>
      <w:r w:rsidR="004D7CF3">
        <w:t xml:space="preserve"> </w:t>
      </w:r>
      <w:r w:rsidR="006A4318">
        <w:t xml:space="preserve">accordingly </w:t>
      </w:r>
      <w:r w:rsidR="004D7CF3">
        <w:t>compliance w</w:t>
      </w:r>
      <w:r w:rsidR="006A4318">
        <w:t>ould be</w:t>
      </w:r>
      <w:r w:rsidR="004D7CF3">
        <w:t xml:space="preserve"> required on that date</w:t>
      </w:r>
      <w:r>
        <w:t xml:space="preserve">.  </w:t>
      </w:r>
      <w:r w:rsidR="004D7CF3">
        <w:t>While the rules regarding existing revenue sharing agreements became effective on that same date, t</w:t>
      </w:r>
      <w:r w:rsidR="00E678C2">
        <w:t>he</w:t>
      </w:r>
      <w:r>
        <w:t xml:space="preserve"> </w:t>
      </w:r>
      <w:r w:rsidR="00D85457">
        <w:t xml:space="preserve">Commission delayed the </w:t>
      </w:r>
      <w:r>
        <w:t xml:space="preserve">compliance date for </w:t>
      </w:r>
      <w:r w:rsidR="004D7CF3">
        <w:t>these</w:t>
      </w:r>
      <w:r>
        <w:t xml:space="preserve"> agreements</w:t>
      </w:r>
      <w:r w:rsidR="00B04F89">
        <w:t xml:space="preserve"> to 180 days after publication in the Federal Register,</w:t>
      </w:r>
      <w:r>
        <w:t xml:space="preserve"> </w:t>
      </w:r>
      <w:r w:rsidR="00A07645">
        <w:t>to allow time for providers to conduct contract renegotiations</w:t>
      </w:r>
      <w:r w:rsidR="009F46AD">
        <w:t>,</w:t>
      </w:r>
      <w:r w:rsidR="00806C3A">
        <w:t xml:space="preserve"> and directed the Wireline Competition Bureau to release a Public Notice announcing the delayed compliance date</w:t>
      </w:r>
      <w:r w:rsidR="00A07645">
        <w:t>.</w:t>
      </w:r>
      <w:r>
        <w:rPr>
          <w:rStyle w:val="FootnoteReference"/>
        </w:rPr>
        <w:footnoteReference w:id="6"/>
      </w:r>
      <w:r w:rsidR="00A07645">
        <w:t xml:space="preserve"> </w:t>
      </w:r>
      <w:r w:rsidR="00806C3A">
        <w:t xml:space="preserve"> </w:t>
      </w:r>
      <w:r w:rsidR="00B04F89">
        <w:t xml:space="preserve">Because these rules were published in the Federal Register on </w:t>
      </w:r>
      <w:r w:rsidR="00704094">
        <w:t>April 27, 2022,</w:t>
      </w:r>
      <w:r>
        <w:rPr>
          <w:rStyle w:val="FootnoteReference"/>
        </w:rPr>
        <w:footnoteReference w:id="7"/>
      </w:r>
      <w:r w:rsidR="00B04F89">
        <w:t xml:space="preserve"> new exclusive and graduated revenue sharing agreements </w:t>
      </w:r>
      <w:r w:rsidR="00E545C4">
        <w:t xml:space="preserve">were </w:t>
      </w:r>
      <w:r w:rsidR="00B04F89">
        <w:t>required</w:t>
      </w:r>
      <w:r w:rsidR="00E545C4">
        <w:t xml:space="preserve"> to be in compliance</w:t>
      </w:r>
      <w:r w:rsidR="00B04F89">
        <w:t xml:space="preserve"> </w:t>
      </w:r>
      <w:r w:rsidR="006A4318">
        <w:t>as of</w:t>
      </w:r>
      <w:r w:rsidR="00B04F89">
        <w:t xml:space="preserve"> April 27, 2022, and compliance regarding </w:t>
      </w:r>
      <w:r w:rsidR="000D4B54">
        <w:t xml:space="preserve">existing </w:t>
      </w:r>
      <w:r>
        <w:t>agreements is required by</w:t>
      </w:r>
      <w:r w:rsidRPr="00CE2C68">
        <w:t xml:space="preserve"> </w:t>
      </w:r>
      <w:r>
        <w:t>September 2</w:t>
      </w:r>
      <w:r w:rsidR="00C012E5">
        <w:t>6</w:t>
      </w:r>
      <w:r>
        <w:t>, 2022</w:t>
      </w:r>
      <w:r w:rsidRPr="00CE2C68">
        <w:t>.</w:t>
      </w:r>
    </w:p>
    <w:p w:rsidR="00A90AD6" w:rsidRPr="00A90AD6" w:rsidP="00A90AD6" w14:paraId="171D1423" w14:textId="0D814BFE">
      <w:pPr>
        <w:spacing w:after="120"/>
        <w:ind w:left="-15" w:firstLine="735"/>
        <w:rPr>
          <w:rFonts w:ascii="TimesNewRomanPSMT" w:hAnsi="TimesNewRomanPSMT" w:cs="TimesNewRomanPSMT"/>
        </w:rPr>
      </w:pPr>
      <w:r>
        <w:t xml:space="preserve">In the </w:t>
      </w:r>
      <w:r w:rsidRPr="00C012E5">
        <w:rPr>
          <w:i/>
          <w:iCs/>
        </w:rPr>
        <w:t>2022 MTE Order</w:t>
      </w:r>
      <w:r>
        <w:t xml:space="preserve">, the Commission also adopted rules </w:t>
      </w:r>
      <w:r w:rsidR="00ED729C">
        <w:t xml:space="preserve">requiring providers to disclose the existence of </w:t>
      </w:r>
      <w:r w:rsidRPr="00373AF2" w:rsidR="00ED729C">
        <w:t xml:space="preserve">exclusive marketing </w:t>
      </w:r>
      <w:r w:rsidR="00ED729C">
        <w:t>arrangements</w:t>
      </w:r>
      <w:r w:rsidRPr="00373AF2" w:rsidR="00ED729C">
        <w:t xml:space="preserve"> </w:t>
      </w:r>
      <w:r w:rsidR="00ED729C">
        <w:t>in MTEs.</w:t>
      </w:r>
      <w:r>
        <w:rPr>
          <w:rStyle w:val="FootnoteReference"/>
        </w:rPr>
        <w:footnoteReference w:id="8"/>
      </w:r>
      <w:r w:rsidR="00ED729C">
        <w:t xml:space="preserve">  These rules required </w:t>
      </w:r>
      <w:r>
        <w:t>approval by the O</w:t>
      </w:r>
      <w:r w:rsidR="00ED729C">
        <w:t xml:space="preserve">ffice of </w:t>
      </w:r>
      <w:r>
        <w:t>M</w:t>
      </w:r>
      <w:r w:rsidR="00ED729C">
        <w:t xml:space="preserve">anagement and </w:t>
      </w:r>
      <w:r>
        <w:t>B</w:t>
      </w:r>
      <w:r w:rsidR="00ED729C">
        <w:t>udget</w:t>
      </w:r>
      <w:r w:rsidR="00423EDE">
        <w:t xml:space="preserve"> (OMB)</w:t>
      </w:r>
      <w:r>
        <w:t xml:space="preserve"> under the Paperwork Reduction Act of 1995 (PRA).  The </w:t>
      </w:r>
      <w:r w:rsidRPr="00373AF2">
        <w:t>Commission stated that</w:t>
      </w:r>
      <w:r w:rsidR="006A4318">
        <w:t xml:space="preserve"> these rules would become effective </w:t>
      </w:r>
      <w:r w:rsidR="00423EDE">
        <w:t xml:space="preserve">30 days after the </w:t>
      </w:r>
      <w:r w:rsidR="00423EDE">
        <w:rPr>
          <w:i/>
          <w:iCs/>
        </w:rPr>
        <w:t>2022 MTE Order</w:t>
      </w:r>
      <w:r w:rsidR="00423EDE">
        <w:t>’s publication in the Federal Register, and delayed compliance as follows:</w:t>
      </w:r>
      <w:r>
        <w:t xml:space="preserve"> </w:t>
      </w:r>
      <w:r w:rsidR="00423EDE">
        <w:t xml:space="preserve"> F</w:t>
      </w:r>
      <w:r>
        <w:t xml:space="preserve">or new contracts, compliance would be required </w:t>
      </w:r>
      <w:r>
        <w:t>after OMB completed its review pursuant to the PRA;</w:t>
      </w:r>
      <w:r>
        <w:rPr>
          <w:rStyle w:val="FootnoteReference"/>
        </w:rPr>
        <w:footnoteReference w:id="9"/>
      </w:r>
      <w:r w:rsidR="00F24451">
        <w:t xml:space="preserve"> </w:t>
      </w:r>
      <w:r>
        <w:t xml:space="preserve">for existing contracts, compliance would be required on the later of (1) 180 days after publication of the </w:t>
      </w:r>
      <w:r w:rsidRPr="002E7777">
        <w:rPr>
          <w:i/>
          <w:iCs/>
        </w:rPr>
        <w:t>2022 MTE Order</w:t>
      </w:r>
      <w:r>
        <w:t xml:space="preserve"> in the Federal Register or (2) </w:t>
      </w:r>
      <w:r w:rsidRPr="00A90AD6">
        <w:rPr>
          <w:rFonts w:ascii="TimesNewRomanPSMT" w:hAnsi="TimesNewRomanPSMT" w:cs="TimesNewRomanPSMT"/>
        </w:rPr>
        <w:t>OMB completing its review of the new requirements pursuant to the PRA.</w:t>
      </w:r>
      <w:r>
        <w:rPr>
          <w:rStyle w:val="FootnoteReference"/>
          <w:rFonts w:ascii="TimesNewRomanPSMT" w:hAnsi="TimesNewRomanPSMT" w:cs="TimesNewRomanPSMT"/>
        </w:rPr>
        <w:footnoteReference w:id="10"/>
      </w:r>
      <w:r w:rsidRPr="00A90AD6">
        <w:rPr>
          <w:rFonts w:ascii="TimesNewRomanPSMT" w:hAnsi="TimesNewRomanPSMT" w:cs="TimesNewRomanPSMT"/>
        </w:rPr>
        <w:t xml:space="preserve">  </w:t>
      </w:r>
      <w:r w:rsidR="00423EDE">
        <w:rPr>
          <w:rFonts w:ascii="TimesNewRomanPSMT" w:hAnsi="TimesNewRomanPSMT" w:cs="TimesNewRomanPSMT"/>
        </w:rPr>
        <w:t>The Commission directed the Bureau to revise the rules to reflect these compliance dates once they were established.</w:t>
      </w:r>
      <w:r>
        <w:rPr>
          <w:rStyle w:val="FootnoteReference"/>
          <w:rFonts w:cs="TimesNewRomanPSMT"/>
        </w:rPr>
        <w:footnoteReference w:id="11"/>
      </w:r>
    </w:p>
    <w:p w:rsidR="00A90AD6" w:rsidP="00A90AD6" w14:paraId="519A4699" w14:textId="1E8B926A">
      <w:pPr>
        <w:spacing w:after="120"/>
        <w:ind w:left="-15" w:firstLine="735"/>
      </w:pPr>
      <w:r w:rsidRPr="00D61030">
        <w:t>The information collection was submitted to OMB for review under the PRA and was approved on</w:t>
      </w:r>
      <w:r>
        <w:t xml:space="preserve"> July 25, 2022.</w:t>
      </w:r>
      <w:r>
        <w:rPr>
          <w:vertAlign w:val="superscript"/>
        </w:rPr>
        <w:footnoteReference w:id="12"/>
      </w:r>
      <w:r w:rsidRPr="00D61030">
        <w:t xml:space="preserve">  On </w:t>
      </w:r>
      <w:r w:rsidR="00C51F64">
        <w:t>August 22, 2022</w:t>
      </w:r>
      <w:r w:rsidRPr="00D61030">
        <w:t xml:space="preserve">, the Federal Register published a notice </w:t>
      </w:r>
      <w:r>
        <w:t xml:space="preserve">announcing OMB’s approval and </w:t>
      </w:r>
      <w:r w:rsidR="00423EDE">
        <w:t>revising the rules to reflect the appropriate compliance dates</w:t>
      </w:r>
      <w:r w:rsidRPr="00D61030">
        <w:t>.</w:t>
      </w:r>
      <w:r>
        <w:rPr>
          <w:vertAlign w:val="superscript"/>
        </w:rPr>
        <w:footnoteReference w:id="13"/>
      </w:r>
      <w:r>
        <w:t xml:space="preserve">  For new contracts with exclusive marketing arrangements, compliance is required immediately.  For existing contracts, </w:t>
      </w:r>
      <w:r w:rsidR="001C3E18">
        <w:t xml:space="preserve">because </w:t>
      </w:r>
      <w:r w:rsidR="006D4923">
        <w:t xml:space="preserve">OMB completed its review prior to 180 days after publication of the </w:t>
      </w:r>
      <w:r w:rsidR="006D4923">
        <w:rPr>
          <w:i/>
          <w:iCs/>
        </w:rPr>
        <w:t xml:space="preserve">2022 MTE Order </w:t>
      </w:r>
      <w:r w:rsidR="006D4923">
        <w:t xml:space="preserve">in the Federal Register, </w:t>
      </w:r>
      <w:r>
        <w:t xml:space="preserve">compliance is required by </w:t>
      </w:r>
      <w:r w:rsidR="006D4923">
        <w:t xml:space="preserve">that date: </w:t>
      </w:r>
      <w:r>
        <w:t>September 26, 2022.</w:t>
      </w:r>
    </w:p>
    <w:p w:rsidR="00A90AD6" w:rsidP="00A90AD6" w14:paraId="53A19BA1" w14:textId="7FD017C5">
      <w:pPr>
        <w:ind w:firstLine="720"/>
      </w:pPr>
      <w:r>
        <w:t xml:space="preserve">For additional information regarding this matter, contact Jesse Goodwin, Wireline Competition Division, Wireline Competition Bureau, (202) 418-0958, or email </w:t>
      </w:r>
      <w:hyperlink r:id="rId5" w:history="1">
        <w:r w:rsidRPr="00616DE6" w:rsidR="006D4923">
          <w:rPr>
            <w:rStyle w:val="Hyperlink"/>
          </w:rPr>
          <w:t>Benjamin.Goodwin@fcc.gov</w:t>
        </w:r>
      </w:hyperlink>
      <w:r>
        <w:t>.</w:t>
      </w:r>
    </w:p>
    <w:p w:rsidR="00E4674D" w:rsidP="00A90AD6" w14:paraId="6D2CE1BE" w14:textId="77777777">
      <w:pPr>
        <w:ind w:firstLine="720"/>
      </w:pPr>
    </w:p>
    <w:p w:rsidR="00E4674D" w:rsidP="00E4674D" w14:paraId="7E089ABA" w14:textId="2981B33E"/>
    <w:p w:rsidR="00E4674D" w:rsidRPr="00E4674D" w:rsidP="00E4674D" w14:paraId="6FC62BF6" w14:textId="295D6A9F">
      <w:pPr>
        <w:jc w:val="center"/>
        <w:rPr>
          <w:b/>
          <w:bCs/>
          <w:sz w:val="24"/>
        </w:rPr>
      </w:pPr>
      <w:r w:rsidRPr="00E4674D">
        <w:rPr>
          <w:b/>
          <w:bCs/>
        </w:rPr>
        <w:t>-FCC-</w:t>
      </w:r>
    </w:p>
    <w:p w:rsidR="003141EF" w14:paraId="099F9F9C" w14:textId="77777777">
      <w:bookmarkStart w:id="0" w:name="TOChere"/>
    </w:p>
    <w:p w:rsidR="003141EF" w14:paraId="4BBAD068" w14:textId="77777777"/>
    <w:p w:rsidR="003141EF" w14:paraId="58D9F59E" w14:textId="77777777"/>
    <w:bookmarkEnd w:id="0"/>
    <w:p w:rsidR="00A90AD6" w14:paraId="3CB089A9" w14:textId="77777777"/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F" w14:paraId="538176E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141EF" w14:paraId="28BACE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F" w14:paraId="48DA043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F" w14:paraId="4DCAB07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D4109" w14:paraId="4466A543" w14:textId="77777777">
      <w:r>
        <w:separator/>
      </w:r>
    </w:p>
  </w:footnote>
  <w:footnote w:type="continuationSeparator" w:id="1">
    <w:p w:rsidR="00DD4109" w14:paraId="6CD0B7F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D4109" w14:paraId="7EDE6279" w14:textId="77777777">
      <w:pPr>
        <w:jc w:val="right"/>
        <w:rPr>
          <w:sz w:val="20"/>
        </w:rPr>
      </w:pPr>
      <w:r>
        <w:rPr>
          <w:sz w:val="20"/>
        </w:rPr>
        <w:t>(</w:t>
      </w:r>
      <w:r>
        <w:rPr>
          <w:sz w:val="20"/>
        </w:rPr>
        <w:t>continued</w:t>
      </w:r>
      <w:r>
        <w:rPr>
          <w:sz w:val="20"/>
        </w:rPr>
        <w:t>….)</w:t>
      </w:r>
    </w:p>
  </w:footnote>
  <w:footnote w:id="3">
    <w:p w:rsidR="00A90AD6" w:rsidRPr="00AE7A97" w:rsidP="00A90AD6" w14:paraId="31322EF7" w14:textId="411E1727">
      <w:pPr>
        <w:pStyle w:val="footnotedescription"/>
        <w:spacing w:after="120" w:line="240" w:lineRule="auto"/>
        <w:rPr>
          <w:szCs w:val="20"/>
        </w:rPr>
      </w:pPr>
      <w:r w:rsidRPr="00AE7A97">
        <w:rPr>
          <w:rStyle w:val="footnotemark"/>
          <w:szCs w:val="20"/>
        </w:rPr>
        <w:footnoteRef/>
      </w:r>
      <w:r w:rsidRPr="00AE7A97">
        <w:rPr>
          <w:szCs w:val="20"/>
        </w:rPr>
        <w:t xml:space="preserve"> </w:t>
      </w:r>
      <w:r w:rsidRPr="00AE7A97">
        <w:rPr>
          <w:i/>
          <w:szCs w:val="20"/>
        </w:rPr>
        <w:t>Improving Competitive Broadband Access to Multiple Tenant Environments</w:t>
      </w:r>
      <w:r w:rsidRPr="00AE7A97">
        <w:rPr>
          <w:szCs w:val="20"/>
        </w:rPr>
        <w:t xml:space="preserve">, GN Docket No. 17-142, Report and Order and Declaratory Ruling, </w:t>
      </w:r>
      <w:r w:rsidRPr="00AE7A97" w:rsidR="006C2404">
        <w:rPr>
          <w:szCs w:val="20"/>
        </w:rPr>
        <w:t>FCC 22-12</w:t>
      </w:r>
      <w:r w:rsidRPr="00AE7A97">
        <w:rPr>
          <w:szCs w:val="20"/>
        </w:rPr>
        <w:t xml:space="preserve"> (</w:t>
      </w:r>
      <w:r w:rsidRPr="00AE7A97" w:rsidR="006C2404">
        <w:rPr>
          <w:szCs w:val="20"/>
        </w:rPr>
        <w:t xml:space="preserve">rel. Feb. 15, </w:t>
      </w:r>
      <w:r w:rsidRPr="00AE7A97">
        <w:rPr>
          <w:szCs w:val="20"/>
        </w:rPr>
        <w:t>2022) (</w:t>
      </w:r>
      <w:r w:rsidRPr="00AE7A97">
        <w:rPr>
          <w:i/>
          <w:szCs w:val="20"/>
        </w:rPr>
        <w:t>2022 MTE Order</w:t>
      </w:r>
      <w:r w:rsidRPr="00AE7A97">
        <w:rPr>
          <w:szCs w:val="20"/>
        </w:rPr>
        <w:t>)</w:t>
      </w:r>
      <w:r w:rsidRPr="00AE7A97" w:rsidR="00680348">
        <w:rPr>
          <w:szCs w:val="20"/>
        </w:rPr>
        <w:t>.</w:t>
      </w:r>
    </w:p>
  </w:footnote>
  <w:footnote w:id="4">
    <w:p w:rsidR="00A614DB" w:rsidRPr="00AE7A97" w:rsidP="00A614DB" w14:paraId="6BF1234C" w14:textId="770042E1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 w:rsidR="00B35085">
        <w:rPr>
          <w:i/>
          <w:iCs/>
        </w:rPr>
        <w:t>Id.</w:t>
      </w:r>
      <w:r w:rsidRPr="00AE7A97">
        <w:t xml:space="preserve"> at Appx. A, §§ 64.2500(c)(2)(ii), 76.2000(b)(2)(ii), 76.2000(c)(2).</w:t>
      </w:r>
    </w:p>
  </w:footnote>
  <w:footnote w:id="5">
    <w:p w:rsidR="000D4B54" w:rsidRPr="00AE7A97" w14:paraId="59A2D657" w14:textId="2C26A352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 w:rsidR="00486C2E">
        <w:rPr>
          <w:i/>
          <w:iCs/>
        </w:rPr>
        <w:t>Id.</w:t>
      </w:r>
      <w:r w:rsidRPr="00AE7A97">
        <w:rPr>
          <w:i/>
          <w:iCs/>
        </w:rPr>
        <w:t xml:space="preserve"> </w:t>
      </w:r>
      <w:r w:rsidRPr="00AE7A97" w:rsidR="003339C5">
        <w:t>at 30, para. 68.</w:t>
      </w:r>
    </w:p>
  </w:footnote>
  <w:footnote w:id="6">
    <w:p w:rsidR="00EE2C7C" w:rsidRPr="00AE7A97" w14:paraId="273834EC" w14:textId="3F182403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>
        <w:rPr>
          <w:i/>
          <w:iCs/>
        </w:rPr>
        <w:t>Id.</w:t>
      </w:r>
      <w:r w:rsidRPr="00AE7A97">
        <w:t xml:space="preserve"> at </w:t>
      </w:r>
      <w:r w:rsidRPr="00AE7A97" w:rsidR="006C2404">
        <w:t xml:space="preserve">16, 30, </w:t>
      </w:r>
      <w:r w:rsidRPr="00AE7A97">
        <w:t>para</w:t>
      </w:r>
      <w:r w:rsidRPr="00AE7A97" w:rsidR="006F4CF7">
        <w:t>s</w:t>
      </w:r>
      <w:r w:rsidRPr="00AE7A97">
        <w:t>. 32</w:t>
      </w:r>
      <w:r w:rsidRPr="00AE7A97" w:rsidR="006F4CF7">
        <w:t>, 68</w:t>
      </w:r>
      <w:r w:rsidRPr="00AE7A97">
        <w:t>.</w:t>
      </w:r>
    </w:p>
  </w:footnote>
  <w:footnote w:id="7">
    <w:p w:rsidR="003339C5" w:rsidRPr="00AE7A97" w14:paraId="78FF9645" w14:textId="56B29303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 w:rsidR="00F21536">
        <w:t>Federal Communications Commission, Improving Competitive Broadband Access to Multiple Tenant Environments, 87 Fed. Reg. 17181 (Apr. 27, 2022).</w:t>
      </w:r>
    </w:p>
  </w:footnote>
  <w:footnote w:id="8">
    <w:p w:rsidR="00ED729C" w:rsidRPr="00AE7A97" w:rsidP="00ED729C" w14:paraId="24B46862" w14:textId="77777777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>
        <w:rPr>
          <w:i/>
          <w:iCs/>
        </w:rPr>
        <w:t>2022 MTE Order</w:t>
      </w:r>
      <w:r w:rsidRPr="00AE7A97">
        <w:t xml:space="preserve"> at Appx. A, §§ 64.2500(e), 76.2000(d).</w:t>
      </w:r>
    </w:p>
  </w:footnote>
  <w:footnote w:id="9">
    <w:p w:rsidR="003339C5" w:rsidRPr="00AE7A97" w14:paraId="0E204B33" w14:textId="39A2DC8B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 w:rsidR="00F31369">
        <w:rPr>
          <w:i/>
          <w:iCs/>
        </w:rPr>
        <w:t>Id.</w:t>
      </w:r>
      <w:r w:rsidRPr="00AE7A97">
        <w:t xml:space="preserve"> at 30, para. 68.</w:t>
      </w:r>
    </w:p>
  </w:footnote>
  <w:footnote w:id="10">
    <w:p w:rsidR="00A90AD6" w:rsidRPr="00AE7A97" w:rsidP="00A90AD6" w14:paraId="5EB838BF" w14:textId="1B83052F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>
        <w:rPr>
          <w:i/>
          <w:iCs/>
        </w:rPr>
        <w:t>Id.</w:t>
      </w:r>
      <w:r w:rsidRPr="00AE7A97">
        <w:t xml:space="preserve"> at </w:t>
      </w:r>
      <w:r w:rsidRPr="00AE7A97" w:rsidR="00F31369">
        <w:t>21, 30</w:t>
      </w:r>
      <w:r w:rsidRPr="00AE7A97">
        <w:t>, paras. 41, 68.</w:t>
      </w:r>
    </w:p>
  </w:footnote>
  <w:footnote w:id="11">
    <w:p w:rsidR="003339C5" w:rsidRPr="00AE7A97" w14:paraId="7B964700" w14:textId="75FBE091">
      <w:pPr>
        <w:pStyle w:val="FootnoteText"/>
      </w:pPr>
      <w:r w:rsidRPr="00AE7A97">
        <w:rPr>
          <w:rStyle w:val="FootnoteReference"/>
          <w:sz w:val="20"/>
        </w:rPr>
        <w:footnoteRef/>
      </w:r>
      <w:r w:rsidRPr="00AE7A97">
        <w:t xml:space="preserve"> </w:t>
      </w:r>
      <w:r w:rsidRPr="00AE7A97" w:rsidR="00F31369">
        <w:rPr>
          <w:i/>
          <w:iCs/>
        </w:rPr>
        <w:t>Id.</w:t>
      </w:r>
      <w:r w:rsidRPr="00AE7A97">
        <w:t xml:space="preserve"> at 30, para. 68.</w:t>
      </w:r>
    </w:p>
  </w:footnote>
  <w:footnote w:id="12">
    <w:p w:rsidR="00BB0FB6" w:rsidRPr="00AE7A97" w:rsidP="00AE7A97" w14:paraId="5950FC90" w14:textId="4D5032C4">
      <w:pPr>
        <w:pStyle w:val="footnotedescription"/>
        <w:spacing w:after="120" w:line="240" w:lineRule="auto"/>
        <w:rPr>
          <w:szCs w:val="20"/>
        </w:rPr>
      </w:pPr>
      <w:r w:rsidRPr="00AE7A97">
        <w:rPr>
          <w:rStyle w:val="footnotemark"/>
          <w:szCs w:val="20"/>
        </w:rPr>
        <w:footnoteRef/>
      </w:r>
      <w:r w:rsidRPr="00AE7A97">
        <w:rPr>
          <w:szCs w:val="20"/>
        </w:rPr>
        <w:t xml:space="preserve"> </w:t>
      </w:r>
      <w:r w:rsidRPr="00AE7A97" w:rsidR="00D727C4">
        <w:rPr>
          <w:i/>
          <w:iCs/>
          <w:szCs w:val="20"/>
        </w:rPr>
        <w:t xml:space="preserve">See </w:t>
      </w:r>
      <w:r w:rsidRPr="00AE7A97">
        <w:rPr>
          <w:szCs w:val="20"/>
        </w:rPr>
        <w:t xml:space="preserve">Notice of Office of Management and Budget Action for OMB Control No. 3060-1305 (approved July 25, 2022), </w:t>
      </w:r>
      <w:hyperlink r:id="rId1" w:history="1">
        <w:r w:rsidRPr="00AE7A97">
          <w:rPr>
            <w:rStyle w:val="Hyperlink"/>
            <w:szCs w:val="20"/>
          </w:rPr>
          <w:t>https://www.reginfo.gov/public/do/PRAViewICR?ref_nbr=202205-3060-016</w:t>
        </w:r>
      </w:hyperlink>
      <w:r w:rsidRPr="00AE7A97">
        <w:rPr>
          <w:szCs w:val="20"/>
        </w:rPr>
        <w:t>.</w:t>
      </w:r>
    </w:p>
  </w:footnote>
  <w:footnote w:id="13">
    <w:p w:rsidR="00A90AD6" w:rsidRPr="00AE7A97" w:rsidP="00A90AD6" w14:paraId="4D8ABC87" w14:textId="155808CB">
      <w:pPr>
        <w:pStyle w:val="footnotedescription"/>
        <w:spacing w:after="120" w:line="240" w:lineRule="auto"/>
        <w:rPr>
          <w:szCs w:val="20"/>
        </w:rPr>
      </w:pPr>
      <w:r w:rsidRPr="00AE7A97">
        <w:rPr>
          <w:rStyle w:val="footnotemark"/>
          <w:szCs w:val="20"/>
        </w:rPr>
        <w:footnoteRef/>
      </w:r>
      <w:r w:rsidRPr="00AE7A97">
        <w:rPr>
          <w:szCs w:val="20"/>
        </w:rPr>
        <w:t xml:space="preserve"> </w:t>
      </w:r>
      <w:r w:rsidR="00C51F64">
        <w:rPr>
          <w:szCs w:val="20"/>
        </w:rPr>
        <w:t xml:space="preserve">Federal Communications Commission, </w:t>
      </w:r>
      <w:r w:rsidRPr="00D97C2A" w:rsidR="00D97C2A">
        <w:rPr>
          <w:szCs w:val="20"/>
        </w:rPr>
        <w:t>Improving Competitive Broadband Access to Multiple Tenant Environments</w:t>
      </w:r>
      <w:r w:rsidR="00D97C2A">
        <w:rPr>
          <w:szCs w:val="20"/>
        </w:rPr>
        <w:t>, 87 Fed. Reg. 51267 (Aug. 22, 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F" w14:paraId="7697AC2B" w14:textId="68A4C535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9F46AD">
      <w:rPr>
        <w:b/>
      </w:rPr>
      <w:t xml:space="preserve">DA </w:t>
    </w:r>
    <w:r w:rsidR="005270FF">
      <w:rPr>
        <w:b/>
      </w:rPr>
      <w:t>22-876</w:t>
    </w:r>
  </w:p>
  <w:p w:rsidR="003141EF" w14:paraId="33B4F551" w14:textId="562894C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141EF" w14:paraId="4033FC7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1EF" w14:paraId="2632CED5" w14:textId="5EA558E2">
    <w:pPr>
      <w:pStyle w:val="Header"/>
    </w:pPr>
    <w:r>
      <w:rPr>
        <w:noProof/>
        <w:snapToGrid/>
      </w:rPr>
      <w:drawing>
        <wp:inline distT="0" distB="0" distL="0" distR="0">
          <wp:extent cx="5943600" cy="141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9332239"/>
    <w:multiLevelType w:val="hybridMultilevel"/>
    <w:tmpl w:val="E42E75E0"/>
    <w:lvl w:ilvl="0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D6"/>
    <w:rsid w:val="000D4B54"/>
    <w:rsid w:val="000D761F"/>
    <w:rsid w:val="001A1335"/>
    <w:rsid w:val="001C3E18"/>
    <w:rsid w:val="002308CF"/>
    <w:rsid w:val="002B3459"/>
    <w:rsid w:val="002E7777"/>
    <w:rsid w:val="003141EF"/>
    <w:rsid w:val="00317370"/>
    <w:rsid w:val="003339C5"/>
    <w:rsid w:val="003464A5"/>
    <w:rsid w:val="00373AF2"/>
    <w:rsid w:val="003B6532"/>
    <w:rsid w:val="003D3270"/>
    <w:rsid w:val="0041095E"/>
    <w:rsid w:val="00423EDE"/>
    <w:rsid w:val="00486C2E"/>
    <w:rsid w:val="0049423A"/>
    <w:rsid w:val="004B0022"/>
    <w:rsid w:val="004D7CF3"/>
    <w:rsid w:val="005073F2"/>
    <w:rsid w:val="00510F3D"/>
    <w:rsid w:val="005270FF"/>
    <w:rsid w:val="005A4007"/>
    <w:rsid w:val="005E6ADE"/>
    <w:rsid w:val="00606076"/>
    <w:rsid w:val="00616DE6"/>
    <w:rsid w:val="00680348"/>
    <w:rsid w:val="0068325E"/>
    <w:rsid w:val="00683F4D"/>
    <w:rsid w:val="00696213"/>
    <w:rsid w:val="006A4318"/>
    <w:rsid w:val="006C2404"/>
    <w:rsid w:val="006D4923"/>
    <w:rsid w:val="006F4CF7"/>
    <w:rsid w:val="00704094"/>
    <w:rsid w:val="00790C4F"/>
    <w:rsid w:val="00806C3A"/>
    <w:rsid w:val="008523F7"/>
    <w:rsid w:val="00871673"/>
    <w:rsid w:val="00886D15"/>
    <w:rsid w:val="008C3D05"/>
    <w:rsid w:val="009449C0"/>
    <w:rsid w:val="009D24B6"/>
    <w:rsid w:val="009F46AD"/>
    <w:rsid w:val="00A07645"/>
    <w:rsid w:val="00A614DB"/>
    <w:rsid w:val="00A64BCE"/>
    <w:rsid w:val="00A90AD6"/>
    <w:rsid w:val="00A9653C"/>
    <w:rsid w:val="00AE7A97"/>
    <w:rsid w:val="00B04F89"/>
    <w:rsid w:val="00B35085"/>
    <w:rsid w:val="00BB0FB6"/>
    <w:rsid w:val="00C012E5"/>
    <w:rsid w:val="00C51F64"/>
    <w:rsid w:val="00CE2C68"/>
    <w:rsid w:val="00CF494B"/>
    <w:rsid w:val="00D61030"/>
    <w:rsid w:val="00D727C4"/>
    <w:rsid w:val="00D85457"/>
    <w:rsid w:val="00D97C2A"/>
    <w:rsid w:val="00DB4873"/>
    <w:rsid w:val="00DD4109"/>
    <w:rsid w:val="00E4674D"/>
    <w:rsid w:val="00E53034"/>
    <w:rsid w:val="00E545C4"/>
    <w:rsid w:val="00E678C2"/>
    <w:rsid w:val="00ED729C"/>
    <w:rsid w:val="00EE2C7C"/>
    <w:rsid w:val="00F21536"/>
    <w:rsid w:val="00F24451"/>
    <w:rsid w:val="00F31369"/>
    <w:rsid w:val="00F42443"/>
    <w:rsid w:val="00FE7604"/>
    <w:rsid w:val="00FF02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6A93AD5"/>
  <w15:chartTrackingRefBased/>
  <w15:docId w15:val="{B4312A8F-1B88-4BD4-ABA9-D4AAE28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A90AD6"/>
    <w:pPr>
      <w:spacing w:after="131"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A90AD6"/>
    <w:rPr>
      <w:color w:val="000000"/>
      <w:szCs w:val="22"/>
    </w:rPr>
  </w:style>
  <w:style w:type="character" w:customStyle="1" w:styleId="footnotemark">
    <w:name w:val="footnote mark"/>
    <w:hidden/>
    <w:rsid w:val="00A90AD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A90AD6"/>
  </w:style>
  <w:style w:type="character" w:styleId="CommentReference">
    <w:name w:val="annotation reference"/>
    <w:uiPriority w:val="99"/>
    <w:semiHidden/>
    <w:unhideWhenUsed/>
    <w:rsid w:val="00A9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AD6"/>
    <w:pPr>
      <w:widowControl/>
      <w:spacing w:after="111"/>
      <w:ind w:firstLine="710"/>
    </w:pPr>
    <w:rPr>
      <w:snapToGrid/>
      <w:color w:val="000000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AD6"/>
    <w:rPr>
      <w:color w:val="000000"/>
    </w:rPr>
  </w:style>
  <w:style w:type="paragraph" w:styleId="Revision">
    <w:name w:val="Revision"/>
    <w:hidden/>
    <w:uiPriority w:val="99"/>
    <w:semiHidden/>
    <w:rsid w:val="00790C4F"/>
    <w:rPr>
      <w:snapToGrid w:val="0"/>
      <w:kern w:val="28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F7"/>
    <w:pPr>
      <w:widowControl w:val="0"/>
      <w:spacing w:after="0"/>
      <w:ind w:firstLine="0"/>
    </w:pPr>
    <w:rPr>
      <w:b/>
      <w:bCs/>
      <w:snapToGrid w:val="0"/>
      <w:color w:val="auto"/>
      <w:kern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3F7"/>
    <w:rPr>
      <w:b/>
      <w:bCs/>
      <w:snapToGrid w:val="0"/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B0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Benjamin.Goodwi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ginfo.gov/public/do/PRAViewICR?ref_nbr=202205-3060-016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M:\forms\OS Process\Public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