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P="00C82B6B" w14:paraId="39675127" w14:textId="77777777">
      <w:pPr>
        <w:jc w:val="right"/>
        <w:rPr>
          <w:sz w:val="24"/>
        </w:rPr>
      </w:pPr>
    </w:p>
    <w:p w:rsidR="005614FA" w:rsidP="005614FA" w14:paraId="4BA119E9" w14:textId="523CA06A">
      <w:pPr>
        <w:widowControl/>
        <w:suppressAutoHyphens/>
        <w:jc w:val="right"/>
        <w:rPr>
          <w:b/>
          <w:color w:val="000000"/>
        </w:rPr>
      </w:pPr>
      <w:r>
        <w:rPr>
          <w:b/>
          <w:color w:val="000000"/>
        </w:rPr>
        <w:t>DA 2</w:t>
      </w:r>
      <w:r w:rsidR="001155B5">
        <w:rPr>
          <w:b/>
          <w:color w:val="000000"/>
        </w:rPr>
        <w:t>2-</w:t>
      </w:r>
      <w:r w:rsidR="003E5C72">
        <w:rPr>
          <w:b/>
          <w:color w:val="000000"/>
        </w:rPr>
        <w:t>880</w:t>
      </w:r>
    </w:p>
    <w:p w:rsidR="005614FA" w:rsidP="005614FA" w14:paraId="7E6BEA30" w14:textId="5E91FF01">
      <w:pPr>
        <w:widowControl/>
        <w:suppressAutoHyphens/>
        <w:spacing w:after="240"/>
        <w:jc w:val="right"/>
        <w:rPr>
          <w:b/>
          <w:color w:val="000000"/>
        </w:rPr>
      </w:pPr>
      <w:r>
        <w:rPr>
          <w:b/>
          <w:color w:val="000000"/>
        </w:rPr>
        <w:t xml:space="preserve">Released: </w:t>
      </w:r>
      <w:r w:rsidR="001D11C0">
        <w:rPr>
          <w:b/>
          <w:color w:val="000000"/>
        </w:rPr>
        <w:t xml:space="preserve"> </w:t>
      </w:r>
      <w:r w:rsidR="00AF7DA5">
        <w:rPr>
          <w:b/>
          <w:color w:val="000000"/>
        </w:rPr>
        <w:t xml:space="preserve">August </w:t>
      </w:r>
      <w:r w:rsidR="00CC4541">
        <w:rPr>
          <w:b/>
          <w:color w:val="000000"/>
        </w:rPr>
        <w:t>23</w:t>
      </w:r>
      <w:r w:rsidR="001155B5">
        <w:rPr>
          <w:b/>
          <w:color w:val="000000"/>
        </w:rPr>
        <w:t>, 2022</w:t>
      </w:r>
    </w:p>
    <w:p w:rsidR="00F46CE7" w:rsidRPr="00F46CE7" w:rsidP="00F46CE7" w14:paraId="4E4EC276" w14:textId="2A9557D3">
      <w:pPr>
        <w:autoSpaceDE w:val="0"/>
        <w:autoSpaceDN w:val="0"/>
        <w:adjustRightInd w:val="0"/>
        <w:jc w:val="center"/>
        <w:rPr>
          <w:rFonts w:ascii="Times New Roman Bold" w:hAnsi="Times New Roman Bold"/>
          <w:b/>
          <w:bCs/>
          <w:caps/>
          <w:szCs w:val="22"/>
        </w:rPr>
      </w:pPr>
      <w:r>
        <w:rPr>
          <w:b/>
          <w:szCs w:val="22"/>
        </w:rPr>
        <w:t xml:space="preserve">DOMESTIC SECTION 214 </w:t>
      </w:r>
      <w:r w:rsidRPr="00307030" w:rsidR="005614FA">
        <w:rPr>
          <w:b/>
          <w:szCs w:val="22"/>
        </w:rPr>
        <w:t xml:space="preserve">APPLICATION </w:t>
      </w:r>
      <w:r w:rsidR="005614FA">
        <w:rPr>
          <w:b/>
          <w:szCs w:val="22"/>
        </w:rPr>
        <w:t>GRANTED</w:t>
      </w:r>
      <w:r w:rsidRPr="00307030" w:rsidR="005614FA">
        <w:rPr>
          <w:b/>
          <w:szCs w:val="22"/>
        </w:rPr>
        <w:t xml:space="preserve"> FOR THE TRANSFER OF CONTROL </w:t>
      </w:r>
      <w:r w:rsidRPr="00F46CE7">
        <w:rPr>
          <w:rFonts w:ascii="Times New Roman Bold" w:hAnsi="Times New Roman Bold"/>
          <w:b/>
          <w:bCs/>
          <w:caps/>
          <w:szCs w:val="22"/>
        </w:rPr>
        <w:t>OF</w:t>
      </w:r>
      <w:bookmarkStart w:id="0" w:name="_Hlk83973973"/>
      <w:r w:rsidRPr="00F46CE7">
        <w:rPr>
          <w:rFonts w:ascii="Times New Roman Bold" w:hAnsi="Times New Roman Bold"/>
          <w:b/>
          <w:bCs/>
          <w:caps/>
          <w:szCs w:val="22"/>
        </w:rPr>
        <w:t xml:space="preserve"> SUBSIDIARIES OF GCX HOLDINGS LIMITED TO REEF BIDCO LIMITED </w:t>
      </w:r>
      <w:bookmarkEnd w:id="0"/>
    </w:p>
    <w:p w:rsidR="005614FA" w:rsidRPr="00307030" w:rsidP="00BE6279" w14:paraId="76ED18EC" w14:textId="77777777">
      <w:pPr>
        <w:autoSpaceDE w:val="0"/>
        <w:autoSpaceDN w:val="0"/>
        <w:adjustRightInd w:val="0"/>
        <w:rPr>
          <w:b/>
          <w:szCs w:val="22"/>
        </w:rPr>
      </w:pPr>
    </w:p>
    <w:p w:rsidR="005614FA" w:rsidP="005614FA" w14:paraId="00E2181D" w14:textId="323C7F4B">
      <w:pPr>
        <w:autoSpaceDE w:val="0"/>
        <w:autoSpaceDN w:val="0"/>
        <w:adjustRightInd w:val="0"/>
        <w:jc w:val="center"/>
        <w:rPr>
          <w:b/>
          <w:szCs w:val="22"/>
        </w:rPr>
      </w:pPr>
      <w:r w:rsidRPr="00307030">
        <w:rPr>
          <w:b/>
          <w:szCs w:val="22"/>
        </w:rPr>
        <w:t xml:space="preserve">WC Docket No. </w:t>
      </w:r>
      <w:r w:rsidR="00BE6279">
        <w:rPr>
          <w:b/>
          <w:szCs w:val="22"/>
        </w:rPr>
        <w:t>2</w:t>
      </w:r>
      <w:r w:rsidR="00642AA4">
        <w:rPr>
          <w:b/>
          <w:szCs w:val="22"/>
        </w:rPr>
        <w:t>1-4</w:t>
      </w:r>
      <w:r w:rsidR="00F46CE7">
        <w:rPr>
          <w:b/>
          <w:szCs w:val="22"/>
        </w:rPr>
        <w:t>63</w:t>
      </w:r>
      <w:r>
        <w:rPr>
          <w:b/>
          <w:szCs w:val="22"/>
        </w:rPr>
        <w:t xml:space="preserve"> </w:t>
      </w:r>
    </w:p>
    <w:p w:rsidR="001A3500" w:rsidP="00C0742F" w14:paraId="7CC3C61B" w14:textId="77777777">
      <w:pPr>
        <w:autoSpaceDE w:val="0"/>
        <w:autoSpaceDN w:val="0"/>
        <w:adjustRightInd w:val="0"/>
        <w:spacing w:after="120"/>
        <w:rPr>
          <w:color w:val="000000"/>
        </w:rPr>
      </w:pPr>
    </w:p>
    <w:p w:rsidR="00642AA4" w:rsidRPr="00642AA4" w:rsidP="003C3B92" w14:paraId="1F1B9B7C" w14:textId="3B4C35C5">
      <w:pPr>
        <w:autoSpaceDE w:val="0"/>
        <w:autoSpaceDN w:val="0"/>
        <w:adjustRightInd w:val="0"/>
        <w:spacing w:after="120"/>
        <w:ind w:firstLine="720"/>
        <w:rPr>
          <w:color w:val="231F20"/>
          <w:szCs w:val="22"/>
        </w:rPr>
      </w:pPr>
      <w:r w:rsidRPr="00DF1B24">
        <w:rPr>
          <w:color w:val="000000"/>
        </w:rPr>
        <w:t xml:space="preserve">By this Public Notice, </w:t>
      </w:r>
      <w:r>
        <w:rPr>
          <w:szCs w:val="22"/>
        </w:rPr>
        <w:t>the Wireline Competition Bureau</w:t>
      </w:r>
      <w:r w:rsidR="007F2FED">
        <w:rPr>
          <w:szCs w:val="22"/>
        </w:rPr>
        <w:t xml:space="preserve"> </w:t>
      </w:r>
      <w:r w:rsidR="00F70514">
        <w:rPr>
          <w:szCs w:val="22"/>
        </w:rPr>
        <w:t xml:space="preserve">(Bureau) </w:t>
      </w:r>
      <w:r>
        <w:rPr>
          <w:color w:val="000000"/>
        </w:rPr>
        <w:t>grant</w:t>
      </w:r>
      <w:r w:rsidR="00E80C5A">
        <w:rPr>
          <w:color w:val="000000"/>
        </w:rPr>
        <w:t>s</w:t>
      </w:r>
      <w:r w:rsidR="004D22C3">
        <w:rPr>
          <w:color w:val="000000"/>
        </w:rPr>
        <w:t>, as conditioned,</w:t>
      </w:r>
      <w:r w:rsidRPr="00DF1B24">
        <w:rPr>
          <w:color w:val="000000"/>
        </w:rPr>
        <w:t xml:space="preserve"> </w:t>
      </w:r>
      <w:r>
        <w:rPr>
          <w:color w:val="000000"/>
        </w:rPr>
        <w:t xml:space="preserve">the </w:t>
      </w:r>
      <w:r w:rsidRPr="00DF1B24">
        <w:rPr>
          <w:color w:val="000000"/>
        </w:rPr>
        <w:t xml:space="preserve">application </w:t>
      </w:r>
      <w:r w:rsidR="007F2FED">
        <w:rPr>
          <w:color w:val="000000"/>
        </w:rPr>
        <w:t>f</w:t>
      </w:r>
      <w:r w:rsidRPr="00DF1B24">
        <w:rPr>
          <w:color w:val="000000"/>
        </w:rPr>
        <w:t>iled</w:t>
      </w:r>
      <w:r w:rsidRPr="00A93453">
        <w:rPr>
          <w:color w:val="231F20"/>
          <w:szCs w:val="22"/>
        </w:rPr>
        <w:t xml:space="preserve"> </w:t>
      </w:r>
      <w:r w:rsidRPr="00642AA4">
        <w:rPr>
          <w:color w:val="231F20"/>
          <w:szCs w:val="22"/>
        </w:rPr>
        <w:t>by</w:t>
      </w:r>
      <w:r w:rsidR="00F46CE7">
        <w:rPr>
          <w:color w:val="231F20"/>
          <w:szCs w:val="22"/>
        </w:rPr>
        <w:t xml:space="preserve"> </w:t>
      </w:r>
      <w:bookmarkStart w:id="1" w:name="_Hlk73713070"/>
      <w:bookmarkStart w:id="2" w:name="_Hlk67917977"/>
      <w:r w:rsidRPr="00F46CE7" w:rsidR="00F46CE7">
        <w:rPr>
          <w:color w:val="231F20"/>
          <w:szCs w:val="22"/>
        </w:rPr>
        <w:t>GCX Holdings Limited (GCX), Vanco US, LLC (Vanco US), Vanco Solutions, Inc. (Vanco Solutions), Reliance Globalcom Services, Inc. (RGSI) (Vanco US, Vanco Solutions, and RGSI, collectively Licensees), and Reef Bidco Limited (RBL) (GCX, Licensees, and RBL, collectively, Applicants), pursuant to section 214 of the Communications Act of 1934, as amended, and sections 63.03-04 of the Commission’s rules, requesting consent to transfer control of the Licensees to RB</w:t>
      </w:r>
      <w:bookmarkStart w:id="3" w:name="_Hlk72758776"/>
      <w:bookmarkEnd w:id="1"/>
      <w:bookmarkEnd w:id="2"/>
      <w:r w:rsidRPr="00F46CE7" w:rsidR="00F46CE7">
        <w:rPr>
          <w:color w:val="231F20"/>
          <w:szCs w:val="22"/>
        </w:rPr>
        <w:t>L.</w:t>
      </w:r>
      <w:r>
        <w:rPr>
          <w:color w:val="231F20"/>
          <w:szCs w:val="22"/>
          <w:vertAlign w:val="superscript"/>
        </w:rPr>
        <w:footnoteReference w:id="3"/>
      </w:r>
      <w:bookmarkEnd w:id="3"/>
    </w:p>
    <w:p w:rsidR="00CE29E4" w:rsidP="00390848" w14:paraId="294C397C" w14:textId="4E3710EC">
      <w:pPr>
        <w:autoSpaceDE w:val="0"/>
        <w:autoSpaceDN w:val="0"/>
        <w:adjustRightInd w:val="0"/>
        <w:spacing w:after="120"/>
        <w:ind w:firstLine="720"/>
        <w:rPr>
          <w:color w:val="000000"/>
          <w:szCs w:val="24"/>
        </w:rPr>
      </w:pPr>
      <w:r w:rsidRPr="00390848">
        <w:rPr>
          <w:color w:val="000000"/>
          <w:szCs w:val="24"/>
        </w:rPr>
        <w:t xml:space="preserve">On </w:t>
      </w:r>
      <w:r w:rsidR="003C3B92">
        <w:rPr>
          <w:color w:val="000000"/>
          <w:szCs w:val="24"/>
        </w:rPr>
        <w:t>December 21</w:t>
      </w:r>
      <w:r w:rsidRPr="00390848">
        <w:rPr>
          <w:color w:val="000000"/>
          <w:szCs w:val="24"/>
        </w:rPr>
        <w:t>, 202</w:t>
      </w:r>
      <w:r>
        <w:rPr>
          <w:color w:val="000000"/>
          <w:szCs w:val="24"/>
        </w:rPr>
        <w:t>1</w:t>
      </w:r>
      <w:r w:rsidRPr="00390848">
        <w:rPr>
          <w:color w:val="000000"/>
          <w:szCs w:val="24"/>
        </w:rPr>
        <w:t>, the Bureau released a public notice seeking comment in this proceeding and did not receive comments or petitions in opposition to the Application.</w:t>
      </w:r>
      <w:bookmarkStart w:id="6" w:name="co_fnRef_FN_F4_ID0EMH_1"/>
      <w:bookmarkEnd w:id="6"/>
      <w:r>
        <w:rPr>
          <w:rStyle w:val="FootnoteReference"/>
          <w:szCs w:val="24"/>
        </w:rPr>
        <w:footnoteReference w:id="4"/>
      </w:r>
      <w:r>
        <w:rPr>
          <w:color w:val="000000"/>
          <w:szCs w:val="24"/>
        </w:rPr>
        <w:t xml:space="preserve"> </w:t>
      </w:r>
      <w:r w:rsidRPr="00390848">
        <w:rPr>
          <w:color w:val="000000"/>
          <w:szCs w:val="24"/>
        </w:rPr>
        <w:t xml:space="preserve"> </w:t>
      </w:r>
    </w:p>
    <w:p w:rsidR="00390848" w:rsidRPr="00390848" w:rsidP="00390848" w14:paraId="1DAEEC14" w14:textId="24F44640">
      <w:pPr>
        <w:autoSpaceDE w:val="0"/>
        <w:autoSpaceDN w:val="0"/>
        <w:adjustRightInd w:val="0"/>
        <w:spacing w:after="120"/>
        <w:ind w:firstLine="720"/>
        <w:rPr>
          <w:b/>
          <w:bCs/>
          <w:color w:val="000000"/>
          <w:szCs w:val="24"/>
        </w:rPr>
      </w:pPr>
      <w:r w:rsidRPr="00390848">
        <w:rPr>
          <w:color w:val="000000"/>
          <w:szCs w:val="24"/>
        </w:rPr>
        <w:t xml:space="preserve">On </w:t>
      </w:r>
      <w:r w:rsidR="003D03B3">
        <w:rPr>
          <w:color w:val="000000"/>
          <w:szCs w:val="24"/>
        </w:rPr>
        <w:t xml:space="preserve">August </w:t>
      </w:r>
      <w:r w:rsidR="002B133F">
        <w:rPr>
          <w:color w:val="000000"/>
          <w:szCs w:val="24"/>
        </w:rPr>
        <w:t>9</w:t>
      </w:r>
      <w:r>
        <w:rPr>
          <w:color w:val="000000"/>
          <w:szCs w:val="24"/>
        </w:rPr>
        <w:t>,</w:t>
      </w:r>
      <w:r w:rsidRPr="00390848">
        <w:rPr>
          <w:color w:val="000000"/>
          <w:szCs w:val="24"/>
        </w:rPr>
        <w:t xml:space="preserve"> 202</w:t>
      </w:r>
      <w:r w:rsidR="00B01C96">
        <w:rPr>
          <w:color w:val="000000"/>
          <w:szCs w:val="24"/>
        </w:rPr>
        <w:t>2</w:t>
      </w:r>
      <w:r w:rsidRPr="00390848">
        <w:rPr>
          <w:color w:val="000000"/>
          <w:szCs w:val="24"/>
        </w:rPr>
        <w:t xml:space="preserve">, </w:t>
      </w:r>
      <w:r w:rsidRPr="00797B66">
        <w:rPr>
          <w:color w:val="000000"/>
          <w:szCs w:val="24"/>
        </w:rPr>
        <w:t>the National Telecommunications and Information Administration (NTIA), on behalf of the Commi</w:t>
      </w:r>
      <w:r w:rsidRPr="00390848">
        <w:rPr>
          <w:color w:val="000000"/>
          <w:szCs w:val="24"/>
        </w:rPr>
        <w:t>ttee for the Assessment of Foreign Participation in the United States Telecommunications Services Sector (Committee), submitted a Petition to Adopt Conditions to Authorization</w:t>
      </w:r>
      <w:r w:rsidR="00A12718">
        <w:rPr>
          <w:color w:val="000000"/>
          <w:szCs w:val="24"/>
        </w:rPr>
        <w:t xml:space="preserve"> and License </w:t>
      </w:r>
      <w:r w:rsidRPr="00390848">
        <w:rPr>
          <w:color w:val="000000"/>
          <w:szCs w:val="24"/>
        </w:rPr>
        <w:t>(Committee Petition).</w:t>
      </w:r>
      <w:bookmarkStart w:id="7" w:name="co_fnRef_FN_F5_ID0EKAAC_1"/>
      <w:bookmarkEnd w:id="7"/>
      <w:r>
        <w:rPr>
          <w:rStyle w:val="FootnoteReference"/>
          <w:szCs w:val="24"/>
        </w:rPr>
        <w:footnoteReference w:id="5"/>
      </w:r>
      <w:r w:rsidRPr="00390848">
        <w:rPr>
          <w:color w:val="000000"/>
          <w:szCs w:val="24"/>
        </w:rPr>
        <w:t xml:space="preserve"> </w:t>
      </w:r>
      <w:r w:rsidR="00BD1492">
        <w:rPr>
          <w:color w:val="000000"/>
          <w:szCs w:val="24"/>
        </w:rPr>
        <w:t xml:space="preserve"> </w:t>
      </w:r>
      <w:r w:rsidRPr="00390848">
        <w:rPr>
          <w:color w:val="000000"/>
          <w:szCs w:val="24"/>
        </w:rPr>
        <w:t>We grant the Committee Petition and condition grant of the Application on compliance by the Applicants with the commitments and undertakings set out in the Letter</w:t>
      </w:r>
      <w:r w:rsidR="006B4D75">
        <w:rPr>
          <w:color w:val="000000"/>
          <w:szCs w:val="24"/>
        </w:rPr>
        <w:t>s</w:t>
      </w:r>
      <w:r w:rsidRPr="00390848">
        <w:rPr>
          <w:color w:val="000000"/>
          <w:szCs w:val="24"/>
        </w:rPr>
        <w:t xml:space="preserve"> of Agreement filed with the Committee Petition.</w:t>
      </w:r>
      <w:bookmarkStart w:id="8" w:name="co_fnRef_FN_F6_ID0E5AAC_1"/>
      <w:bookmarkEnd w:id="8"/>
      <w:r w:rsidRPr="00390848" w:rsidR="00BD1492">
        <w:rPr>
          <w:b/>
          <w:bCs/>
          <w:color w:val="000000"/>
          <w:szCs w:val="24"/>
        </w:rPr>
        <w:t xml:space="preserve"> </w:t>
      </w:r>
    </w:p>
    <w:p w:rsidR="00370BE9" w:rsidRPr="00370BE9" w:rsidP="00370BE9" w14:paraId="2A97FCC1" w14:textId="77777777">
      <w:pPr>
        <w:autoSpaceDE w:val="0"/>
        <w:autoSpaceDN w:val="0"/>
        <w:adjustRightInd w:val="0"/>
        <w:spacing w:after="120"/>
        <w:rPr>
          <w:szCs w:val="22"/>
        </w:rPr>
      </w:pPr>
      <w:r>
        <w:rPr>
          <w:szCs w:val="22"/>
        </w:rPr>
        <w:tab/>
      </w:r>
      <w:r w:rsidRPr="00370BE9">
        <w:rPr>
          <w:szCs w:val="22"/>
        </w:rPr>
        <w:t>When analyzing a transfer of control or assignment application that includes foreign investment, we also consider public interest issues related to national security, law enforcement, foreign policy, or trade policy concerns.</w:t>
      </w:r>
      <w:r>
        <w:rPr>
          <w:szCs w:val="22"/>
          <w:vertAlign w:val="superscript"/>
        </w:rPr>
        <w:footnoteReference w:id="6"/>
      </w:r>
      <w:r w:rsidRPr="00370BE9">
        <w:rPr>
          <w:szCs w:val="22"/>
        </w:rPr>
        <w:t xml:space="preserve">  As part of our public interest analysis, the Commission coordinates with the </w:t>
      </w:r>
      <w:r w:rsidRPr="00370BE9">
        <w:rPr>
          <w:szCs w:val="22"/>
        </w:rPr>
        <w:t>relevant Executive Branch agencies that have expertise in these particular issues.</w:t>
      </w:r>
      <w:r>
        <w:rPr>
          <w:szCs w:val="22"/>
          <w:vertAlign w:val="superscript"/>
        </w:rPr>
        <w:footnoteReference w:id="7"/>
      </w:r>
      <w:r w:rsidRPr="00370BE9">
        <w:rPr>
          <w:szCs w:val="22"/>
        </w:rPr>
        <w:t xml:space="preserve">  The Commission accords deference to the expertise of these Executive Branch agencies in identifying issues related to national security, law enforcement, foreign policy, or trade policy concerns raised by the relevant Executive Branch agencies.</w:t>
      </w:r>
      <w:r>
        <w:rPr>
          <w:szCs w:val="22"/>
          <w:vertAlign w:val="superscript"/>
        </w:rPr>
        <w:footnoteReference w:id="8"/>
      </w:r>
      <w:r w:rsidRPr="00370BE9">
        <w:rPr>
          <w:szCs w:val="22"/>
        </w:rPr>
        <w:t xml:space="preserve">  The Commission, however, ultimately makes an independent decision on the application based on the record in the proceedings.</w:t>
      </w:r>
      <w:r>
        <w:rPr>
          <w:szCs w:val="22"/>
          <w:vertAlign w:val="superscript"/>
        </w:rPr>
        <w:footnoteReference w:id="9"/>
      </w:r>
    </w:p>
    <w:p w:rsidR="00B74439" w:rsidP="001D7297" w14:paraId="3DB706FD" w14:textId="532497DF">
      <w:pPr>
        <w:autoSpaceDE w:val="0"/>
        <w:autoSpaceDN w:val="0"/>
        <w:adjustRightInd w:val="0"/>
        <w:spacing w:after="120"/>
        <w:ind w:firstLine="720"/>
        <w:rPr>
          <w:szCs w:val="22"/>
        </w:rPr>
      </w:pPr>
      <w:r w:rsidRPr="00370BE9">
        <w:rPr>
          <w:szCs w:val="22"/>
        </w:rPr>
        <w:t xml:space="preserve">Pursuant to Commission practice, the Application and </w:t>
      </w:r>
      <w:r w:rsidR="00BB3B04">
        <w:rPr>
          <w:szCs w:val="22"/>
        </w:rPr>
        <w:t>the associated international application</w:t>
      </w:r>
      <w:r w:rsidR="006A61ED">
        <w:rPr>
          <w:szCs w:val="22"/>
        </w:rPr>
        <w:t>s</w:t>
      </w:r>
      <w:r w:rsidR="00BB3B04">
        <w:rPr>
          <w:szCs w:val="22"/>
        </w:rPr>
        <w:t>, IB File No</w:t>
      </w:r>
      <w:r w:rsidR="006A61ED">
        <w:rPr>
          <w:szCs w:val="22"/>
        </w:rPr>
        <w:t xml:space="preserve">s. </w:t>
      </w:r>
      <w:r w:rsidRPr="006A61ED" w:rsidR="006A61ED">
        <w:rPr>
          <w:szCs w:val="22"/>
        </w:rPr>
        <w:t>ITC-T/C-20211124-00181</w:t>
      </w:r>
      <w:r w:rsidR="006A61ED">
        <w:rPr>
          <w:szCs w:val="22"/>
        </w:rPr>
        <w:t>,</w:t>
      </w:r>
      <w:r w:rsidRPr="006A61ED" w:rsidR="006A61ED">
        <w:rPr>
          <w:szCs w:val="22"/>
        </w:rPr>
        <w:t xml:space="preserve"> ITC-T/C-20211124-00182</w:t>
      </w:r>
      <w:r w:rsidR="006A61ED">
        <w:rPr>
          <w:szCs w:val="22"/>
        </w:rPr>
        <w:t>,</w:t>
      </w:r>
      <w:r w:rsidRPr="006A61ED" w:rsidR="006A61ED">
        <w:rPr>
          <w:szCs w:val="22"/>
        </w:rPr>
        <w:t xml:space="preserve"> </w:t>
      </w:r>
      <w:r w:rsidR="006A61ED">
        <w:rPr>
          <w:szCs w:val="22"/>
        </w:rPr>
        <w:t xml:space="preserve">and </w:t>
      </w:r>
      <w:r w:rsidRPr="006A61ED" w:rsidR="006A61ED">
        <w:rPr>
          <w:szCs w:val="22"/>
        </w:rPr>
        <w:t>ITC-T/C-20211124-00183</w:t>
      </w:r>
      <w:r w:rsidR="006A61ED">
        <w:rPr>
          <w:szCs w:val="22"/>
        </w:rPr>
        <w:t>, and submarine cable landing application,</w:t>
      </w:r>
      <w:r w:rsidRPr="00370BE9">
        <w:rPr>
          <w:szCs w:val="22"/>
        </w:rPr>
        <w:t xml:space="preserve"> </w:t>
      </w:r>
      <w:r w:rsidRPr="006A61ED" w:rsidR="006A61ED">
        <w:rPr>
          <w:szCs w:val="22"/>
        </w:rPr>
        <w:t>SCL-T/C-20211124-00049</w:t>
      </w:r>
      <w:r w:rsidR="006A61ED">
        <w:rPr>
          <w:szCs w:val="22"/>
        </w:rPr>
        <w:t xml:space="preserve">, </w:t>
      </w:r>
      <w:r w:rsidRPr="00370BE9">
        <w:rPr>
          <w:szCs w:val="22"/>
        </w:rPr>
        <w:t>were referred to the relevant Executive Branch agencies for their review of any national security, law enforcement, foreign policy, or trade policy concerns related to the foreign ownership of the Applicants.</w:t>
      </w:r>
      <w:r>
        <w:rPr>
          <w:szCs w:val="22"/>
          <w:vertAlign w:val="superscript"/>
        </w:rPr>
        <w:footnoteReference w:id="10"/>
      </w:r>
      <w:r w:rsidRPr="00370BE9">
        <w:rPr>
          <w:szCs w:val="22"/>
        </w:rPr>
        <w:t xml:space="preserve">  On </w:t>
      </w:r>
      <w:r w:rsidR="006A61ED">
        <w:rPr>
          <w:szCs w:val="22"/>
        </w:rPr>
        <w:t>December 29</w:t>
      </w:r>
      <w:r w:rsidRPr="00370BE9">
        <w:rPr>
          <w:szCs w:val="22"/>
        </w:rPr>
        <w:t>, 202</w:t>
      </w:r>
      <w:r w:rsidR="00366C1D">
        <w:rPr>
          <w:szCs w:val="22"/>
        </w:rPr>
        <w:t>1</w:t>
      </w:r>
      <w:r w:rsidRPr="00370BE9">
        <w:rPr>
          <w:szCs w:val="22"/>
        </w:rPr>
        <w:t xml:space="preserve">, the </w:t>
      </w:r>
      <w:r w:rsidR="00C606D6">
        <w:rPr>
          <w:szCs w:val="22"/>
        </w:rPr>
        <w:t xml:space="preserve">U.S. Department of Justice (DOJ) </w:t>
      </w:r>
      <w:r w:rsidR="00CB3AE9">
        <w:rPr>
          <w:szCs w:val="22"/>
        </w:rPr>
        <w:t xml:space="preserve">on behalf of the </w:t>
      </w:r>
      <w:r w:rsidRPr="00370BE9">
        <w:rPr>
          <w:szCs w:val="22"/>
        </w:rPr>
        <w:t xml:space="preserve">Committee </w:t>
      </w:r>
      <w:r w:rsidR="007A10B6">
        <w:rPr>
          <w:szCs w:val="22"/>
        </w:rPr>
        <w:t>informed</w:t>
      </w:r>
      <w:r w:rsidRPr="00370BE9">
        <w:rPr>
          <w:szCs w:val="22"/>
        </w:rPr>
        <w:t xml:space="preserve"> the Commission that </w:t>
      </w:r>
      <w:r w:rsidR="00C606D6">
        <w:rPr>
          <w:szCs w:val="22"/>
        </w:rPr>
        <w:t>the Committee</w:t>
      </w:r>
      <w:r w:rsidRPr="00370BE9">
        <w:rPr>
          <w:szCs w:val="22"/>
        </w:rPr>
        <w:t xml:space="preserve"> was reviewing the Application for any national security and law enforcement concerns that may be raised by foreign participation in the United States telecommunications services sector and requested that the Commission defer action on the Application.</w:t>
      </w:r>
      <w:r>
        <w:rPr>
          <w:szCs w:val="22"/>
          <w:vertAlign w:val="superscript"/>
        </w:rPr>
        <w:footnoteReference w:id="11"/>
      </w:r>
      <w:r w:rsidRPr="00370BE9">
        <w:rPr>
          <w:szCs w:val="22"/>
        </w:rPr>
        <w:t xml:space="preserve">  We deferred action in response to this request from the Committee.  </w:t>
      </w:r>
      <w:r w:rsidRPr="00C606D6" w:rsidR="00C606D6">
        <w:t xml:space="preserve">Then, on April 1, 2022, DOJ notified the Commission that the Committee was “conducting </w:t>
      </w:r>
      <w:r w:rsidRPr="00C606D6" w:rsidR="00C606D6">
        <w:rPr>
          <w:szCs w:val="22"/>
        </w:rPr>
        <w:t>[</w:t>
      </w:r>
      <w:r w:rsidRPr="00C606D6" w:rsidR="00C606D6">
        <w:t>a 120-day] initial review to assess whether granting the Applications will pose a risk to national security or law enforcement interests of the United States</w:t>
      </w:r>
      <w:r w:rsidRPr="00C606D6" w:rsidR="00C606D6">
        <w:rPr>
          <w:szCs w:val="22"/>
        </w:rPr>
        <w:t>.”</w:t>
      </w:r>
      <w:r>
        <w:rPr>
          <w:sz w:val="20"/>
          <w:vertAlign w:val="superscript"/>
        </w:rPr>
        <w:footnoteReference w:id="12"/>
      </w:r>
      <w:r w:rsidRPr="00C606D6" w:rsidR="00C606D6">
        <w:rPr>
          <w:szCs w:val="22"/>
        </w:rPr>
        <w:t xml:space="preserve"> </w:t>
      </w:r>
      <w:r w:rsidR="00C606D6">
        <w:rPr>
          <w:szCs w:val="22"/>
        </w:rPr>
        <w:t xml:space="preserve"> </w:t>
      </w:r>
      <w:r w:rsidRPr="00370BE9">
        <w:rPr>
          <w:szCs w:val="22"/>
        </w:rPr>
        <w:t xml:space="preserve">  </w:t>
      </w:r>
    </w:p>
    <w:p w:rsidR="00BB3B04" w:rsidRPr="00BB3B04" w:rsidP="00885952" w14:paraId="28A578D1" w14:textId="0DC0B37B">
      <w:pPr>
        <w:autoSpaceDE w:val="0"/>
        <w:autoSpaceDN w:val="0"/>
        <w:adjustRightInd w:val="0"/>
        <w:spacing w:after="120"/>
        <w:ind w:firstLine="720"/>
        <w:rPr>
          <w:szCs w:val="22"/>
        </w:rPr>
      </w:pPr>
      <w:r w:rsidRPr="00BB3B04">
        <w:rPr>
          <w:szCs w:val="22"/>
        </w:rPr>
        <w:t xml:space="preserve">In </w:t>
      </w:r>
      <w:r>
        <w:rPr>
          <w:szCs w:val="22"/>
        </w:rPr>
        <w:t>the Committee Petition</w:t>
      </w:r>
      <w:r w:rsidRPr="00BB3B04">
        <w:rPr>
          <w:szCs w:val="22"/>
        </w:rPr>
        <w:t xml:space="preserve">, the Committee advises that it </w:t>
      </w:r>
      <w:r w:rsidR="00B13724">
        <w:rPr>
          <w:szCs w:val="22"/>
        </w:rPr>
        <w:t>“</w:t>
      </w:r>
      <w:r w:rsidRPr="00BB3B04">
        <w:rPr>
          <w:szCs w:val="22"/>
        </w:rPr>
        <w:t xml:space="preserve">has no objection to the Commission </w:t>
      </w:r>
      <w:r w:rsidR="00B13724">
        <w:rPr>
          <w:szCs w:val="22"/>
        </w:rPr>
        <w:t xml:space="preserve">approving </w:t>
      </w:r>
      <w:r w:rsidRPr="00BB3B04">
        <w:rPr>
          <w:szCs w:val="22"/>
        </w:rPr>
        <w:t xml:space="preserve">the </w:t>
      </w:r>
      <w:r w:rsidR="00B13724">
        <w:rPr>
          <w:szCs w:val="22"/>
        </w:rPr>
        <w:t xml:space="preserve">above-captioned application, provided that the Commission </w:t>
      </w:r>
      <w:r w:rsidR="00B13724">
        <w:t xml:space="preserve">conditions its approval on the assurances of FLAG Telecom Limited (‘FLAG’), GCX Holdings Limited (‘GCX’), Vanco US, LLC, Vanco Solutions, Inc., Reliance Globalcom Services, Inc. (‘RBI’), and 3i Infrastructure plc (‘3iN’), to abide by the commitments and undertakings set forth in the July 18, 2022, Letters of Agreement (LOAs)” which NTIA filed with </w:t>
      </w:r>
      <w:r w:rsidRPr="00BB3B04">
        <w:rPr>
          <w:szCs w:val="22"/>
        </w:rPr>
        <w:t>the Committee Petition.</w:t>
      </w:r>
      <w:r>
        <w:rPr>
          <w:szCs w:val="22"/>
          <w:vertAlign w:val="superscript"/>
        </w:rPr>
        <w:footnoteReference w:id="13"/>
      </w:r>
    </w:p>
    <w:p w:rsidR="00B74439" w:rsidP="00781C5B" w14:paraId="35B58C3E" w14:textId="0A6596CF">
      <w:pPr>
        <w:autoSpaceDE w:val="0"/>
        <w:autoSpaceDN w:val="0"/>
        <w:adjustRightInd w:val="0"/>
        <w:spacing w:after="120"/>
        <w:ind w:firstLine="720"/>
        <w:rPr>
          <w:szCs w:val="22"/>
        </w:rPr>
      </w:pPr>
      <w:r w:rsidRPr="00BB3B04">
        <w:rPr>
          <w:szCs w:val="22"/>
        </w:rPr>
        <w:t xml:space="preserve">In accordance with the request of the Committee, and in the absence of any objection from the Applicants, we grant the Committee Petition, and, accordingly, we condition grant of the transfer of domestic section 214 authority on compliance by the Applicants with the commitments and undertakings set </w:t>
      </w:r>
      <w:r w:rsidR="00ED38F2">
        <w:rPr>
          <w:szCs w:val="22"/>
        </w:rPr>
        <w:t>forth</w:t>
      </w:r>
      <w:r w:rsidRPr="00BB3B04">
        <w:rPr>
          <w:szCs w:val="22"/>
        </w:rPr>
        <w:t xml:space="preserve"> in the LOA</w:t>
      </w:r>
      <w:r w:rsidR="00ED38F2">
        <w:rPr>
          <w:szCs w:val="22"/>
        </w:rPr>
        <w:t>s</w:t>
      </w:r>
      <w:r w:rsidRPr="00BB3B04">
        <w:rPr>
          <w:szCs w:val="22"/>
        </w:rPr>
        <w:t xml:space="preserve"> that apply to the Application.</w:t>
      </w:r>
      <w:r>
        <w:rPr>
          <w:szCs w:val="22"/>
          <w:vertAlign w:val="superscript"/>
        </w:rPr>
        <w:footnoteReference w:id="14"/>
      </w:r>
      <w:r w:rsidRPr="00BB3B04">
        <w:rPr>
          <w:szCs w:val="22"/>
        </w:rPr>
        <w:t xml:space="preserve">  A failure to comply with and/or remain in compliance with any of the provisions of the LOA</w:t>
      </w:r>
      <w:r w:rsidR="00ED38F2">
        <w:rPr>
          <w:szCs w:val="22"/>
        </w:rPr>
        <w:t>s</w:t>
      </w:r>
      <w:r w:rsidRPr="00BB3B04">
        <w:rPr>
          <w:szCs w:val="22"/>
        </w:rPr>
        <w:t xml:space="preserve"> shall constitute a failure to meet a condition of this grant</w:t>
      </w:r>
      <w:r w:rsidR="0019129A">
        <w:rPr>
          <w:szCs w:val="22"/>
        </w:rPr>
        <w:t xml:space="preserve"> and</w:t>
      </w:r>
      <w:r w:rsidRPr="00BB3B04">
        <w:rPr>
          <w:szCs w:val="22"/>
        </w:rPr>
        <w:t xml:space="preserve"> the underlying authorizations </w:t>
      </w:r>
      <w:r w:rsidR="0019129A">
        <w:rPr>
          <w:szCs w:val="22"/>
        </w:rPr>
        <w:t xml:space="preserve">and licenses </w:t>
      </w:r>
      <w:r w:rsidRPr="00BB3B04">
        <w:rPr>
          <w:szCs w:val="22"/>
        </w:rPr>
        <w:t>and thus grounds for declaring the underlying authorizations</w:t>
      </w:r>
      <w:r w:rsidR="0019129A">
        <w:rPr>
          <w:szCs w:val="22"/>
        </w:rPr>
        <w:t xml:space="preserve"> and </w:t>
      </w:r>
      <w:r w:rsidRPr="00BB3B04">
        <w:rPr>
          <w:szCs w:val="22"/>
        </w:rPr>
        <w:t xml:space="preserve"> licenses terminated without further action on the part of the Commission.  </w:t>
      </w:r>
      <w:r w:rsidR="00ED38F2">
        <w:rPr>
          <w:szCs w:val="22"/>
        </w:rPr>
        <w:t>A f</w:t>
      </w:r>
      <w:r w:rsidRPr="00BB3B04">
        <w:rPr>
          <w:szCs w:val="22"/>
        </w:rPr>
        <w:t xml:space="preserve">ailure to meet a condition of this grant and the </w:t>
      </w:r>
      <w:r w:rsidR="006B4D75">
        <w:rPr>
          <w:szCs w:val="22"/>
        </w:rPr>
        <w:t xml:space="preserve">underlying </w:t>
      </w:r>
      <w:r w:rsidRPr="00BB3B04">
        <w:rPr>
          <w:szCs w:val="22"/>
        </w:rPr>
        <w:t xml:space="preserve">authorizations </w:t>
      </w:r>
      <w:r w:rsidR="006B4D75">
        <w:rPr>
          <w:szCs w:val="22"/>
        </w:rPr>
        <w:t xml:space="preserve">and licenses </w:t>
      </w:r>
      <w:r w:rsidRPr="00BB3B04">
        <w:rPr>
          <w:szCs w:val="22"/>
        </w:rPr>
        <w:t xml:space="preserve">may also result in monetary sanctions or other enforcement action by the Commission.  </w:t>
      </w:r>
    </w:p>
    <w:p w:rsidR="00204C18" w:rsidRPr="00204C18" w:rsidP="00781C5B" w14:paraId="136F1259" w14:textId="77777777">
      <w:pPr>
        <w:autoSpaceDE w:val="0"/>
        <w:autoSpaceDN w:val="0"/>
        <w:adjustRightInd w:val="0"/>
        <w:spacing w:after="120"/>
        <w:rPr>
          <w:b/>
          <w:szCs w:val="22"/>
          <w:u w:val="single"/>
        </w:rPr>
      </w:pPr>
      <w:r w:rsidRPr="00204C18">
        <w:rPr>
          <w:b/>
          <w:szCs w:val="22"/>
          <w:u w:val="single"/>
        </w:rPr>
        <w:t>Grant of Application, Subject to Condition</w:t>
      </w:r>
    </w:p>
    <w:p w:rsidR="00204C18" w:rsidRPr="00204C18" w:rsidP="00204C18" w14:paraId="271F8FD7" w14:textId="4E8D7261">
      <w:pPr>
        <w:autoSpaceDE w:val="0"/>
        <w:autoSpaceDN w:val="0"/>
        <w:adjustRightInd w:val="0"/>
        <w:spacing w:after="120"/>
        <w:ind w:firstLine="720"/>
        <w:rPr>
          <w:szCs w:val="22"/>
        </w:rPr>
      </w:pPr>
      <w:r w:rsidRPr="00204C18">
        <w:rPr>
          <w:szCs w:val="22"/>
        </w:rPr>
        <w:t>We find, upon consideration of the record, that the proposed transfer will serve the public interest, convenience, and necessity.</w:t>
      </w:r>
      <w:r>
        <w:rPr>
          <w:szCs w:val="22"/>
          <w:vertAlign w:val="superscript"/>
        </w:rPr>
        <w:footnoteReference w:id="15"/>
      </w:r>
      <w:r w:rsidRPr="00204C18">
        <w:rPr>
          <w:szCs w:val="22"/>
        </w:rPr>
        <w:t xml:space="preserve">  This grant of the Application is conditioned as set out in this Public Notice. </w:t>
      </w:r>
    </w:p>
    <w:p w:rsidR="00204C18" w:rsidP="00204C18" w14:paraId="00DDE4BB" w14:textId="31092048">
      <w:pPr>
        <w:autoSpaceDE w:val="0"/>
        <w:autoSpaceDN w:val="0"/>
        <w:adjustRightInd w:val="0"/>
        <w:spacing w:after="120"/>
        <w:ind w:firstLine="720"/>
        <w:rPr>
          <w:szCs w:val="22"/>
        </w:rPr>
      </w:pPr>
      <w:r w:rsidRPr="00204C18">
        <w:rPr>
          <w:szCs w:val="22"/>
        </w:rPr>
        <w:t>Pursuant to sections 214 of the Act, 47 U.S.C. §§ 214 and sections 0.91, 0.291, 63.03, and 63.04 of the Commission’s rules, 47 CFR §§ 0.91, 0.291, 63.03</w:t>
      </w:r>
      <w:r w:rsidR="00987B74">
        <w:rPr>
          <w:szCs w:val="22"/>
        </w:rPr>
        <w:t>-</w:t>
      </w:r>
      <w:r w:rsidRPr="00204C18">
        <w:rPr>
          <w:szCs w:val="22"/>
        </w:rPr>
        <w:t xml:space="preserve">63.04, we grant the Application with the condition described above.  Pursuant to section 1.103 of the Commission’s rules, 47 CFR § 1.103, the consent granted herein is effective upon the release of this Public Notice.  Petitions for reconsideration under section 1.106 or applications for review under section 1.115 of the Commission’s rules, 47 CFR §§ 1.106, 1.115, may be filed within 30 days of the date of this Public Notice. </w:t>
      </w:r>
    </w:p>
    <w:p w:rsidR="00A14FE9" w:rsidRPr="00204C18" w:rsidP="00204C18" w14:paraId="38B45BA3" w14:textId="5B939E82">
      <w:pPr>
        <w:autoSpaceDE w:val="0"/>
        <w:autoSpaceDN w:val="0"/>
        <w:adjustRightInd w:val="0"/>
        <w:spacing w:after="120"/>
        <w:ind w:firstLine="720"/>
        <w:rPr>
          <w:szCs w:val="22"/>
        </w:rPr>
      </w:pPr>
      <w:r>
        <w:t>Pursuant to sections 4(i)-(j) and 214(a), of the Communications Act of 1934, as amended, 47 U.S.C. §§ 154(i)-(j) and 214(a), and sections 63.03-63.04, of the Commission’s rules, 47 C.F.R. §§ 63.03-63.04, we grant the Committee Petition to Adopt Conditions to Authorization</w:t>
      </w:r>
      <w:r w:rsidR="00ED38F2">
        <w:t xml:space="preserve"> and License</w:t>
      </w:r>
      <w:r>
        <w:t xml:space="preserve"> filed by the NTIA. </w:t>
      </w:r>
      <w:r w:rsidR="00987B74">
        <w:t xml:space="preserve"> </w:t>
      </w:r>
      <w:r>
        <w:t>Grant of the Application is conditioned upon compliance by the Applicants with the Letter of Agreement from</w:t>
      </w:r>
      <w:r w:rsidR="008A4CCE">
        <w:t xml:space="preserve"> Carl Grivner, GCX Holdings Limited, and Victor Silkin, Vanco US, LLC, Vanco Solutions, Inc., and Reliance Globalcom Services, Inc.,</w:t>
      </w:r>
      <w:r w:rsidR="008E63B2">
        <w:t xml:space="preserve"> </w:t>
      </w:r>
      <w:r>
        <w:t xml:space="preserve">to Chief, Foreign Investment Review Section (FIRS) and Deputy Chief, Compliance and Enforcement (FIRS), on behalf of the Assistant Attorney General for National Security, National Security Division, United States Department of Justice, dated </w:t>
      </w:r>
      <w:r w:rsidR="008A4CCE">
        <w:t>July 18, 2022</w:t>
      </w:r>
      <w:r w:rsidR="005A6D7D">
        <w:t xml:space="preserve">; </w:t>
      </w:r>
      <w:r w:rsidR="004C4E25">
        <w:t xml:space="preserve">and </w:t>
      </w:r>
      <w:r w:rsidR="008A4CCE">
        <w:t xml:space="preserve">the Letter of Agreement from </w:t>
      </w:r>
      <w:r w:rsidR="005A6D7D">
        <w:t xml:space="preserve">Carl Grivner, Flag Telecom Limited and GCX Holdings Limited, and Edward Pike, 3i Infrastructure plc, to </w:t>
      </w:r>
      <w:r w:rsidR="006B4D75">
        <w:t>Assistant</w:t>
      </w:r>
      <w:r w:rsidR="005A6D7D">
        <w:t xml:space="preserve"> Secretary for Trade and Economic Security, Office of Strategy, Policy, and Plans, U.S. Department of Homeland Security, and Office of Foreign Investment Review, Director, U.S. Department of Defense, dated July 18, 2022</w:t>
      </w:r>
      <w:r w:rsidR="004C4E25">
        <w:t>.  Any</w:t>
      </w:r>
      <w:r>
        <w:t xml:space="preserve"> failure to comply and/or remain in compliance with any of the conditions set out in the Public Notice shall constitute a failure to meet a condition of the </w:t>
      </w:r>
      <w:r w:rsidR="0019129A">
        <w:t xml:space="preserve">grant and the </w:t>
      </w:r>
      <w:r>
        <w:t xml:space="preserve">underlying authorizations and </w:t>
      </w:r>
      <w:r w:rsidR="0019129A">
        <w:t xml:space="preserve">licenses </w:t>
      </w:r>
      <w:r w:rsidR="00D67B43">
        <w:t xml:space="preserve">and </w:t>
      </w:r>
      <w:r>
        <w:t xml:space="preserve">thus grounds for declaring the authorizations and licenses terminated without any further action on the part of the Commission. </w:t>
      </w:r>
      <w:r w:rsidR="00D67B43">
        <w:t xml:space="preserve"> </w:t>
      </w:r>
      <w:r>
        <w:t xml:space="preserve">Failure to meet a condition of the </w:t>
      </w:r>
      <w:r w:rsidR="00D67B43">
        <w:t xml:space="preserve">grant and the underlying </w:t>
      </w:r>
      <w:r>
        <w:t>authorizations</w:t>
      </w:r>
      <w:r w:rsidR="00D67B43">
        <w:t xml:space="preserve"> and</w:t>
      </w:r>
      <w:r>
        <w:t xml:space="preserve"> licenses may </w:t>
      </w:r>
      <w:r>
        <w:t>also result in monetary sanctions or other enforcement action by the Commission</w:t>
      </w:r>
      <w:r w:rsidR="00AE0475">
        <w:t>.</w:t>
      </w:r>
    </w:p>
    <w:p w:rsidR="00204C18" w:rsidRPr="00204C18" w:rsidP="00204C18" w14:paraId="5B9C8132" w14:textId="599689C1">
      <w:pPr>
        <w:autoSpaceDE w:val="0"/>
        <w:autoSpaceDN w:val="0"/>
        <w:adjustRightInd w:val="0"/>
        <w:spacing w:after="120"/>
        <w:ind w:firstLine="720"/>
        <w:rPr>
          <w:szCs w:val="22"/>
        </w:rPr>
      </w:pPr>
      <w:r w:rsidRPr="00204C18">
        <w:rPr>
          <w:szCs w:val="22"/>
        </w:rPr>
        <w:t xml:space="preserve">For further information, please contact </w:t>
      </w:r>
      <w:r w:rsidR="00ED776E">
        <w:rPr>
          <w:szCs w:val="22"/>
        </w:rPr>
        <w:t>Gregory Kwan</w:t>
      </w:r>
      <w:r w:rsidRPr="00204C18">
        <w:rPr>
          <w:szCs w:val="22"/>
        </w:rPr>
        <w:t>, Wireline Competition Bureau, (202) 418-</w:t>
      </w:r>
      <w:r w:rsidR="00ED776E">
        <w:rPr>
          <w:szCs w:val="22"/>
        </w:rPr>
        <w:t>1191</w:t>
      </w:r>
      <w:r w:rsidRPr="00204C18">
        <w:rPr>
          <w:szCs w:val="22"/>
        </w:rPr>
        <w:t>.</w:t>
      </w:r>
    </w:p>
    <w:p w:rsidR="00204C18" w:rsidRPr="00204C18" w:rsidP="00204C18" w14:paraId="1E153BE6" w14:textId="77777777">
      <w:pPr>
        <w:autoSpaceDE w:val="0"/>
        <w:autoSpaceDN w:val="0"/>
        <w:adjustRightInd w:val="0"/>
        <w:spacing w:after="120"/>
        <w:ind w:firstLine="720"/>
        <w:rPr>
          <w:szCs w:val="22"/>
        </w:rPr>
      </w:pPr>
    </w:p>
    <w:p w:rsidR="00204C18" w:rsidRPr="00204C18" w:rsidP="00ED776E" w14:paraId="2FA7B89A" w14:textId="77777777">
      <w:pPr>
        <w:autoSpaceDE w:val="0"/>
        <w:autoSpaceDN w:val="0"/>
        <w:adjustRightInd w:val="0"/>
        <w:spacing w:after="120"/>
        <w:ind w:firstLine="720"/>
        <w:jc w:val="center"/>
        <w:rPr>
          <w:b/>
          <w:bCs/>
          <w:szCs w:val="22"/>
        </w:rPr>
      </w:pPr>
      <w:r w:rsidRPr="00204C18">
        <w:rPr>
          <w:b/>
          <w:bCs/>
          <w:szCs w:val="22"/>
        </w:rPr>
        <w:t>- FCC -</w:t>
      </w:r>
    </w:p>
    <w:p w:rsidR="00E97FC3" w:rsidP="00D04B72" w14:paraId="304D3084" w14:textId="77777777">
      <w:pPr>
        <w:autoSpaceDE w:val="0"/>
        <w:autoSpaceDN w:val="0"/>
        <w:adjustRightInd w:val="0"/>
        <w:spacing w:after="120"/>
        <w:ind w:firstLine="720"/>
        <w:rPr>
          <w:szCs w:val="22"/>
        </w:rPr>
      </w:pPr>
    </w:p>
    <w:p w:rsidR="00E97FC3" w:rsidP="00D04B72" w14:paraId="049225F8" w14:textId="77777777">
      <w:pPr>
        <w:autoSpaceDE w:val="0"/>
        <w:autoSpaceDN w:val="0"/>
        <w:adjustRightInd w:val="0"/>
        <w:spacing w:after="120"/>
        <w:ind w:firstLine="720"/>
        <w:rPr>
          <w:szCs w:val="22"/>
        </w:rPr>
      </w:pPr>
    </w:p>
    <w:p w:rsidR="00257B2A" w:rsidP="009D28AB" w14:paraId="39D89E93" w14:textId="77777777">
      <w:pPr>
        <w:rPr>
          <w:b/>
          <w:color w:val="000000"/>
          <w:szCs w:val="22"/>
        </w:rPr>
      </w:pPr>
    </w:p>
    <w:p w:rsidR="00257B2A" w:rsidP="009D28AB" w14:paraId="46484B10" w14:textId="77777777">
      <w:pPr>
        <w:rPr>
          <w:b/>
          <w:color w:val="000000"/>
          <w:szCs w:val="22"/>
        </w:rPr>
      </w:pPr>
    </w:p>
    <w:p w:rsidR="00257B2A" w:rsidP="009D28AB" w14:paraId="5E748099" w14:textId="77777777">
      <w:pPr>
        <w:rPr>
          <w:b/>
          <w:color w:val="000000"/>
          <w:szCs w:val="22"/>
        </w:rPr>
      </w:pPr>
    </w:p>
    <w:p w:rsidR="00257B2A" w:rsidP="009D28AB" w14:paraId="36765AFA" w14:textId="77777777">
      <w:pPr>
        <w:rPr>
          <w:b/>
          <w:color w:val="000000"/>
          <w:szCs w:val="22"/>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F67420B" w14:textId="77777777">
    <w:pPr>
      <w:pStyle w:val="Footer"/>
      <w:framePr w:wrap="around" w:vAnchor="text" w:hAnchor="margin" w:xAlign="center" w:y="1"/>
    </w:pPr>
    <w:r>
      <w:fldChar w:fldCharType="begin"/>
    </w:r>
    <w:r>
      <w:instrText xml:space="preserve">PAGE  </w:instrText>
    </w:r>
    <w:r w:rsidR="00927AEF">
      <w:fldChar w:fldCharType="separate"/>
    </w:r>
    <w:r>
      <w:fldChar w:fldCharType="end"/>
    </w:r>
  </w:p>
  <w:p w:rsidR="006F7393" w14:paraId="775D7A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1232ABC" w14:textId="77777777">
    <w:pPr>
      <w:pStyle w:val="Footer"/>
      <w:jc w:val="center"/>
    </w:pPr>
    <w:r>
      <w:fldChar w:fldCharType="begin"/>
    </w:r>
    <w:r>
      <w:instrText xml:space="preserve"> PAGE   \* MERGEFORMAT </w:instrText>
    </w:r>
    <w:r>
      <w:fldChar w:fldCharType="separate"/>
    </w:r>
    <w:r w:rsidR="00631B7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E8B3A0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416A" w14:paraId="360AF569" w14:textId="77777777">
      <w:r>
        <w:separator/>
      </w:r>
    </w:p>
  </w:footnote>
  <w:footnote w:type="continuationSeparator" w:id="1">
    <w:p w:rsidR="00FE416A" w14:paraId="02DAB6F9" w14:textId="77777777">
      <w:pPr>
        <w:rPr>
          <w:sz w:val="20"/>
        </w:rPr>
      </w:pPr>
      <w:r>
        <w:rPr>
          <w:sz w:val="20"/>
        </w:rPr>
        <w:t xml:space="preserve">(Continued from previous page)  </w:t>
      </w:r>
      <w:r>
        <w:rPr>
          <w:sz w:val="20"/>
        </w:rPr>
        <w:separator/>
      </w:r>
    </w:p>
  </w:footnote>
  <w:footnote w:type="continuationNotice" w:id="2">
    <w:p w:rsidR="00FE416A" w:rsidP="00910F12" w14:paraId="697CF8A4" w14:textId="77777777">
      <w:pPr>
        <w:jc w:val="right"/>
        <w:rPr>
          <w:sz w:val="20"/>
        </w:rPr>
      </w:pPr>
      <w:r>
        <w:rPr>
          <w:sz w:val="20"/>
        </w:rPr>
        <w:t>(continued….)</w:t>
      </w:r>
    </w:p>
  </w:footnote>
  <w:footnote w:id="3">
    <w:p w:rsidR="00F46CE7" w:rsidRPr="004808CE" w:rsidP="00F46CE7" w14:paraId="47FD3BA5" w14:textId="77777777">
      <w:pPr>
        <w:spacing w:after="120"/>
        <w:rPr>
          <w:b/>
          <w:bCs/>
          <w:caps/>
          <w:sz w:val="20"/>
        </w:rPr>
      </w:pPr>
      <w:r w:rsidRPr="004808CE">
        <w:rPr>
          <w:rStyle w:val="FootnoteReference"/>
          <w:sz w:val="20"/>
        </w:rPr>
        <w:footnoteRef/>
      </w:r>
      <w:r w:rsidRPr="004808CE">
        <w:rPr>
          <w:sz w:val="20"/>
        </w:rPr>
        <w:t xml:space="preserve"> </w:t>
      </w:r>
      <w:r w:rsidRPr="004808CE">
        <w:rPr>
          <w:i/>
          <w:sz w:val="20"/>
        </w:rPr>
        <w:t>See</w:t>
      </w:r>
      <w:r w:rsidRPr="004808CE">
        <w:rPr>
          <w:sz w:val="20"/>
        </w:rPr>
        <w:t xml:space="preserve"> 47 U.S.C. § 214; 47 CFR §§ 63.03-04.  Joint Application for Consent to Transfer Control of GCX Holdings Limited, Vanco US, LLC, Vanco Solutions, Inc., and Reliance Globalcom Services, Inc. to Reef Bidco Limited, Pursuant to Section 214 of the Communications Act of 1934, </w:t>
      </w:r>
      <w:r>
        <w:rPr>
          <w:sz w:val="20"/>
        </w:rPr>
        <w:t>a</w:t>
      </w:r>
      <w:r w:rsidRPr="004808CE">
        <w:rPr>
          <w:sz w:val="20"/>
        </w:rPr>
        <w:t>s Amended, WC Docket No. 21-463 (filed Nov. 24, 2021) (Application).  Applicants also filed application</w:t>
      </w:r>
      <w:r>
        <w:rPr>
          <w:sz w:val="20"/>
        </w:rPr>
        <w:t>s</w:t>
      </w:r>
      <w:r w:rsidRPr="004808CE">
        <w:rPr>
          <w:sz w:val="20"/>
        </w:rPr>
        <w:t xml:space="preserve"> for the transfer of control of international and submarine cable landing licenses.  </w:t>
      </w:r>
      <w:r w:rsidRPr="004808CE">
        <w:rPr>
          <w:i/>
          <w:iCs/>
          <w:sz w:val="20"/>
        </w:rPr>
        <w:t>See</w:t>
      </w:r>
      <w:r w:rsidRPr="004808CE">
        <w:rPr>
          <w:sz w:val="20"/>
        </w:rPr>
        <w:t xml:space="preserve"> </w:t>
      </w:r>
      <w:bookmarkStart w:id="4" w:name="_Hlk89339811"/>
      <w:bookmarkStart w:id="5" w:name="_Hlk109215520"/>
      <w:r w:rsidRPr="004808CE">
        <w:rPr>
          <w:sz w:val="20"/>
        </w:rPr>
        <w:t>ITC-T/C-20211124-00181</w:t>
      </w:r>
      <w:bookmarkEnd w:id="4"/>
      <w:r w:rsidRPr="004808CE">
        <w:rPr>
          <w:sz w:val="20"/>
        </w:rPr>
        <w:t xml:space="preserve">; ITC-T/C-20211124-00182; ITC-T/C-20211124-00183; and </w:t>
      </w:r>
      <w:r w:rsidRPr="004808CE">
        <w:rPr>
          <w:rFonts w:eastAsia="Calibri"/>
          <w:sz w:val="20"/>
        </w:rPr>
        <w:t>SCL-T/C-20211124-00049</w:t>
      </w:r>
      <w:bookmarkEnd w:id="5"/>
      <w:r w:rsidRPr="004808CE">
        <w:rPr>
          <w:rFonts w:eastAsia="Calibri"/>
          <w:sz w:val="20"/>
        </w:rPr>
        <w:t xml:space="preserve">.  </w:t>
      </w:r>
      <w:r w:rsidRPr="004808CE">
        <w:rPr>
          <w:sz w:val="20"/>
        </w:rPr>
        <w:t>On December</w:t>
      </w:r>
      <w:r>
        <w:rPr>
          <w:sz w:val="20"/>
        </w:rPr>
        <w:t xml:space="preserve"> 20</w:t>
      </w:r>
      <w:r w:rsidRPr="004808CE">
        <w:rPr>
          <w:sz w:val="20"/>
        </w:rPr>
        <w:t xml:space="preserve">, 2021, Applicants filed a supplement to their domestic section 214 application.  Letter from K.C. Halm, </w:t>
      </w:r>
      <w:r>
        <w:rPr>
          <w:sz w:val="20"/>
        </w:rPr>
        <w:t>C</w:t>
      </w:r>
      <w:r w:rsidRPr="004808CE">
        <w:rPr>
          <w:sz w:val="20"/>
        </w:rPr>
        <w:t xml:space="preserve">ounsel to Reef Bidco Limited, to Marlene H. Dortch, Secretary, FCC (filed Dec. </w:t>
      </w:r>
      <w:r>
        <w:rPr>
          <w:sz w:val="20"/>
        </w:rPr>
        <w:t>20</w:t>
      </w:r>
      <w:r w:rsidRPr="004808CE">
        <w:rPr>
          <w:sz w:val="20"/>
        </w:rPr>
        <w:t>, 2021) (on file in WC Docket No. 21-463)</w:t>
      </w:r>
      <w:r>
        <w:rPr>
          <w:sz w:val="20"/>
        </w:rPr>
        <w:t xml:space="preserve"> (Supplement)</w:t>
      </w:r>
      <w:r w:rsidRPr="004808CE">
        <w:rPr>
          <w:sz w:val="20"/>
        </w:rPr>
        <w:t>.</w:t>
      </w:r>
      <w:r>
        <w:rPr>
          <w:sz w:val="20"/>
        </w:rPr>
        <w:t xml:space="preserve">  </w:t>
      </w:r>
      <w:r w:rsidRPr="004808CE">
        <w:rPr>
          <w:sz w:val="20"/>
        </w:rPr>
        <w:t xml:space="preserve">Any action on this domestic section 214 application is without prejudice to Commission action on other related, pending applications. </w:t>
      </w:r>
    </w:p>
  </w:footnote>
  <w:footnote w:id="4">
    <w:p w:rsidR="00390848" w14:paraId="0063DEDA" w14:textId="2EE93775">
      <w:pPr>
        <w:pStyle w:val="FootnoteText"/>
      </w:pPr>
      <w:r>
        <w:rPr>
          <w:rStyle w:val="FootnoteReference"/>
        </w:rPr>
        <w:footnoteRef/>
      </w:r>
      <w:r w:rsidR="00B01C96">
        <w:rPr>
          <w:bCs/>
          <w:i/>
        </w:rPr>
        <w:t xml:space="preserve"> Domestic Section 214 Application Filed for the Transfer of Control of</w:t>
      </w:r>
      <w:r w:rsidR="003C3B92">
        <w:rPr>
          <w:bCs/>
          <w:i/>
        </w:rPr>
        <w:t xml:space="preserve"> Subsidiaries of GCX Holdings Limited to Reef Bidco</w:t>
      </w:r>
      <w:r w:rsidR="003D1DB7">
        <w:rPr>
          <w:bCs/>
          <w:i/>
        </w:rPr>
        <w:t xml:space="preserve"> Limited</w:t>
      </w:r>
      <w:r w:rsidRPr="00370BE9" w:rsidR="00370BE9">
        <w:rPr>
          <w:bCs/>
        </w:rPr>
        <w:t xml:space="preserve">, </w:t>
      </w:r>
      <w:r w:rsidRPr="00FC501A" w:rsidR="00370BE9">
        <w:rPr>
          <w:bCs/>
        </w:rPr>
        <w:t>WC Docket No. 2</w:t>
      </w:r>
      <w:r w:rsidRPr="00FC501A" w:rsidR="00797B66">
        <w:rPr>
          <w:bCs/>
        </w:rPr>
        <w:t>1-4</w:t>
      </w:r>
      <w:r w:rsidR="003C3B92">
        <w:rPr>
          <w:bCs/>
        </w:rPr>
        <w:t>63</w:t>
      </w:r>
      <w:r w:rsidRPr="00FC501A" w:rsidR="00370BE9">
        <w:rPr>
          <w:bCs/>
        </w:rPr>
        <w:t xml:space="preserve">, Public Notice, </w:t>
      </w:r>
      <w:r w:rsidRPr="00FC501A" w:rsidR="00797B66">
        <w:rPr>
          <w:bCs/>
        </w:rPr>
        <w:t>DA 21-1</w:t>
      </w:r>
      <w:r w:rsidR="003C3B92">
        <w:rPr>
          <w:bCs/>
        </w:rPr>
        <w:t>623</w:t>
      </w:r>
      <w:r w:rsidRPr="00370BE9" w:rsidR="00370BE9">
        <w:rPr>
          <w:bCs/>
        </w:rPr>
        <w:t xml:space="preserve"> (W</w:t>
      </w:r>
      <w:r w:rsidR="001E42C4">
        <w:rPr>
          <w:bCs/>
        </w:rPr>
        <w:t>CB 2021)</w:t>
      </w:r>
      <w:r w:rsidR="006F55B6">
        <w:rPr>
          <w:bCs/>
        </w:rPr>
        <w:t xml:space="preserve"> (</w:t>
      </w:r>
      <w:r w:rsidRPr="006F55B6" w:rsidR="006F55B6">
        <w:rPr>
          <w:bCs/>
          <w:i/>
          <w:iCs/>
        </w:rPr>
        <w:t>2021 Public Notice</w:t>
      </w:r>
      <w:r w:rsidR="006F55B6">
        <w:rPr>
          <w:bCs/>
        </w:rPr>
        <w:t>)</w:t>
      </w:r>
      <w:r w:rsidRPr="00370BE9" w:rsidR="00370BE9">
        <w:rPr>
          <w:bCs/>
        </w:rPr>
        <w:t xml:space="preserve">.  </w:t>
      </w:r>
      <w:r w:rsidRPr="00370BE9" w:rsidR="00370BE9">
        <w:t xml:space="preserve">  </w:t>
      </w:r>
    </w:p>
  </w:footnote>
  <w:footnote w:id="5">
    <w:p w:rsidR="00BD1492" w14:paraId="05423281" w14:textId="0A5C02F7">
      <w:pPr>
        <w:pStyle w:val="FootnoteText"/>
      </w:pPr>
      <w:r>
        <w:rPr>
          <w:rStyle w:val="FootnoteReference"/>
        </w:rPr>
        <w:footnoteRef/>
      </w:r>
      <w:r>
        <w:t xml:space="preserve"> </w:t>
      </w:r>
      <w:r w:rsidRPr="00F57602" w:rsidR="00B13724">
        <w:t>National Telecommunications and Information Administration</w:t>
      </w:r>
      <w:r w:rsidR="00B13724">
        <w:t xml:space="preserve">, </w:t>
      </w:r>
      <w:r w:rsidR="00EC6CAE">
        <w:t>Petition to Adopt Conditions to Authorization</w:t>
      </w:r>
      <w:r w:rsidR="00A12718">
        <w:t xml:space="preserve"> and License</w:t>
      </w:r>
      <w:r w:rsidR="00EC6CAE">
        <w:t xml:space="preserve">, </w:t>
      </w:r>
      <w:r w:rsidRPr="00595B6A" w:rsidR="00370BE9">
        <w:t>WC Docket No. 2</w:t>
      </w:r>
      <w:r w:rsidRPr="00595B6A" w:rsidR="00797B66">
        <w:t>1-4</w:t>
      </w:r>
      <w:r w:rsidR="0097493E">
        <w:t>63</w:t>
      </w:r>
      <w:r w:rsidRPr="00595B6A" w:rsidR="00370BE9">
        <w:t xml:space="preserve">, </w:t>
      </w:r>
      <w:r w:rsidRPr="0097493E" w:rsidR="0097493E">
        <w:t>ITC-T/C-20211124-00181; ITC-T/C-20211124-0018</w:t>
      </w:r>
      <w:r w:rsidR="00A12718">
        <w:t>1</w:t>
      </w:r>
      <w:r w:rsidRPr="0097493E" w:rsidR="0097493E">
        <w:t>; ITC-T/C20211124-00183;</w:t>
      </w:r>
      <w:r w:rsidR="00A12718">
        <w:t xml:space="preserve"> </w:t>
      </w:r>
      <w:r w:rsidRPr="0097493E" w:rsidR="0097493E">
        <w:t xml:space="preserve">SCL-T/C-20211124-00049 </w:t>
      </w:r>
      <w:r w:rsidRPr="00595B6A" w:rsidR="00370BE9">
        <w:t>(filed</w:t>
      </w:r>
      <w:r w:rsidR="0097493E">
        <w:t xml:space="preserve"> Aug.</w:t>
      </w:r>
      <w:r w:rsidR="00A12718">
        <w:t xml:space="preserve"> </w:t>
      </w:r>
      <w:r w:rsidR="005F214B">
        <w:t>9</w:t>
      </w:r>
      <w:r w:rsidRPr="00595B6A" w:rsidR="00370BE9">
        <w:t>, 202</w:t>
      </w:r>
      <w:r w:rsidRPr="00595B6A" w:rsidR="00595B6A">
        <w:t>2</w:t>
      </w:r>
      <w:r w:rsidRPr="00595B6A" w:rsidR="00370BE9">
        <w:t>).</w:t>
      </w:r>
    </w:p>
  </w:footnote>
  <w:footnote w:id="6">
    <w:p w:rsidR="00370BE9" w:rsidRPr="0087506E" w:rsidP="00370BE9" w14:paraId="76D2B729" w14:textId="77777777">
      <w:pPr>
        <w:pStyle w:val="FootnoteText"/>
      </w:pPr>
      <w:r w:rsidRPr="0087506E">
        <w:rPr>
          <w:rStyle w:val="FootnoteReference"/>
          <w:sz w:val="20"/>
        </w:rPr>
        <w:footnoteRef/>
      </w:r>
      <w:r w:rsidRPr="0087506E">
        <w:t xml:space="preserve"> </w:t>
      </w:r>
      <w:r w:rsidRPr="0087506E">
        <w:rPr>
          <w:i/>
          <w:iCs/>
        </w:rPr>
        <w:t>See Process Reform for Executive Branch Review of Certain FCC Applications and Petitions Involving Foreign Ownership</w:t>
      </w:r>
      <w:r w:rsidRPr="0087506E">
        <w:t>, IB Docket 16-155, Report and Order, 35 FCC Rcd 10927 (2020) (setting rules and procedures for referring applications for Executive Branch review consistent with Executive Order No. 13913) (</w:t>
      </w:r>
      <w:r w:rsidRPr="0087506E">
        <w:rPr>
          <w:i/>
          <w:iCs/>
        </w:rPr>
        <w:t>Executive Branch Review Order</w:t>
      </w:r>
      <w:r w:rsidRPr="0087506E">
        <w:t xml:space="preserve">); </w:t>
      </w:r>
      <w:r w:rsidRPr="0087506E">
        <w:rPr>
          <w:i/>
          <w:iCs/>
        </w:rPr>
        <w:t>Rules and Policies on Foreign Participation in the U.S. Telecommunications Market; Market Entry and Regulation of Foreign-Affiliated Entities</w:t>
      </w:r>
      <w:r w:rsidRPr="0087506E">
        <w:t>, Report and Order and Order on Reconsideration, 12 FCC Rcd 23891, 23918-21, paras. 59-66 (1997) (</w:t>
      </w:r>
      <w:r w:rsidRPr="0087506E">
        <w:rPr>
          <w:i/>
          <w:iCs/>
        </w:rPr>
        <w:t>Foreign Participation Order</w:t>
      </w:r>
      <w:r w:rsidRPr="0087506E">
        <w:t xml:space="preserve">), </w:t>
      </w:r>
      <w:r w:rsidRPr="0087506E">
        <w:rPr>
          <w:i/>
          <w:iCs/>
        </w:rPr>
        <w:t>recon. denied</w:t>
      </w:r>
      <w:r w:rsidRPr="0087506E">
        <w:t xml:space="preserve">, 15 FCC Rcd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 for international section 214 authority, submarine cable landing licenses, and declaratory rulings to exceed the foreign ownership benchmarks of section 310(b) of the Act).  </w:t>
      </w:r>
      <w:r w:rsidRPr="0087506E">
        <w:rPr>
          <w:i/>
          <w:iCs/>
        </w:rPr>
        <w:t>See also Applications of T-Mobile US, Inc. and Sprint Corporation for Consent to Transfer Control of Licenses and Authorizations, et al.</w:t>
      </w:r>
      <w:r w:rsidRPr="0087506E">
        <w:t>, WT Docket 18-197, Memorandum Opinion and Order, Declaratory Ruling, and Order of Proposed Modification, 34 FCC Rcd 10578, 10732-33, para. 349 (2019) (</w:t>
      </w:r>
      <w:r w:rsidRPr="0087506E">
        <w:rPr>
          <w:i/>
          <w:iCs/>
        </w:rPr>
        <w:t>T-Mobile/Sprint Order</w:t>
      </w:r>
      <w:r w:rsidRPr="0087506E">
        <w:t xml:space="preserve">). </w:t>
      </w:r>
    </w:p>
  </w:footnote>
  <w:footnote w:id="7">
    <w:p w:rsidR="00370BE9" w:rsidRPr="0087506E" w:rsidP="00370BE9" w14:paraId="0CC9AA71" w14:textId="77777777">
      <w:pPr>
        <w:pStyle w:val="FootnoteText"/>
      </w:pPr>
      <w:r w:rsidRPr="0087506E">
        <w:rPr>
          <w:rStyle w:val="FootnoteReference"/>
          <w:sz w:val="20"/>
        </w:rPr>
        <w:footnoteRef/>
      </w:r>
      <w:r w:rsidRPr="0087506E">
        <w:t xml:space="preserve"> </w:t>
      </w:r>
      <w:r w:rsidRPr="0087506E">
        <w:rPr>
          <w:i/>
          <w:iCs/>
        </w:rPr>
        <w:t>See Executive Branch Review Order</w:t>
      </w:r>
      <w:r w:rsidRPr="0087506E">
        <w:t>, 35 FCC Rcd at 10935-36, paras. 17, 24.</w:t>
      </w:r>
    </w:p>
  </w:footnote>
  <w:footnote w:id="8">
    <w:p w:rsidR="00370BE9" w:rsidRPr="0087506E" w:rsidP="00370BE9" w14:paraId="2F9C6A86" w14:textId="77777777">
      <w:pPr>
        <w:pStyle w:val="FootnoteText"/>
      </w:pPr>
      <w:r w:rsidRPr="0087506E">
        <w:rPr>
          <w:rStyle w:val="FootnoteReference"/>
          <w:sz w:val="20"/>
        </w:rPr>
        <w:footnoteRef/>
      </w:r>
      <w:r w:rsidRPr="0087506E">
        <w:t xml:space="preserve"> </w:t>
      </w:r>
      <w:r w:rsidRPr="0087506E">
        <w:rPr>
          <w:i/>
          <w:iCs/>
        </w:rPr>
        <w:t>Id.</w:t>
      </w:r>
      <w:r w:rsidRPr="0087506E">
        <w:t xml:space="preserve"> at 10930, para. 7 (citing </w:t>
      </w:r>
      <w:r w:rsidRPr="0087506E">
        <w:rPr>
          <w:i/>
          <w:iCs/>
        </w:rPr>
        <w:t>Foreign Participation Order</w:t>
      </w:r>
      <w:r w:rsidRPr="0087506E">
        <w:t xml:space="preserve">, 12 FCC Rcd at 23920-21, paras. 65-66; </w:t>
      </w:r>
      <w:r w:rsidRPr="0087506E">
        <w:rPr>
          <w:i/>
          <w:iCs/>
        </w:rPr>
        <w:t>Amendment of the Commission’s Regulatory Policies to Allow Non-U.S. Licensed Space Stations to Provide Domestic and International Satellite Service in the United States; Amendment of Section 25.131 of the Commission’s Rules and Regulations to Eliminate the Licensing Requirement for Certain International Receive-Only Earth Stations</w:t>
      </w:r>
      <w:r w:rsidRPr="0087506E">
        <w:t xml:space="preserve">, IB Docket No. 96-111, CC Docket No 93-23, RM-7931, Report and Order, 12 FCC Rcd 24094, 24171-72, paras. 179, 182 (1997)).  </w:t>
      </w:r>
      <w:r w:rsidRPr="0087506E">
        <w:rPr>
          <w:i/>
          <w:iCs/>
        </w:rPr>
        <w:t>See also T-Mobile/Sprint Order</w:t>
      </w:r>
      <w:r w:rsidRPr="0087506E">
        <w:t xml:space="preserve">, 34 FCC Rcd at 10733, paras. 349; </w:t>
      </w:r>
      <w:r w:rsidRPr="0087506E">
        <w:rPr>
          <w:i/>
          <w:iCs/>
        </w:rPr>
        <w:t>Review of Foreign Ownership Policies for Broadcast, Common Carrier and Aeronautical Radio Licensees under Section 310(b)(4) of the Communications Act of 1934, as Amended</w:t>
      </w:r>
      <w:r w:rsidRPr="0087506E">
        <w:t xml:space="preserve">, Report and Order, 31 FCC Rcd 11271, 11277, para. 6 (2016), </w:t>
      </w:r>
      <w:r w:rsidRPr="0087506E">
        <w:rPr>
          <w:i/>
          <w:iCs/>
        </w:rPr>
        <w:t>Pet. for recon. dismissed</w:t>
      </w:r>
      <w:r w:rsidRPr="0087506E">
        <w:t>, 32 FCC Rcd 4780 (2017).</w:t>
      </w:r>
    </w:p>
  </w:footnote>
  <w:footnote w:id="9">
    <w:p w:rsidR="00370BE9" w:rsidRPr="0087506E" w:rsidP="00370BE9" w14:paraId="1EAF565F" w14:textId="77777777">
      <w:pPr>
        <w:pStyle w:val="FootnoteText"/>
      </w:pPr>
      <w:r w:rsidRPr="0087506E">
        <w:rPr>
          <w:rStyle w:val="FootnoteReference"/>
          <w:sz w:val="20"/>
        </w:rPr>
        <w:footnoteRef/>
      </w:r>
      <w:r w:rsidRPr="0087506E">
        <w:t xml:space="preserve"> 47 CFR § 1.40001(b) (“The Commission will consider any recommendations from the [E]xecutive [B]ranch on pending application(s) . . . that may affect national security, law enforcement, foreign policy, and/or trade policy as part of its public interest analysis.  The Commission will evaluate concerns raised by the [E]xecutive [B]ranch and will make an independent decision concerning the pending matter.”).</w:t>
      </w:r>
    </w:p>
  </w:footnote>
  <w:footnote w:id="10">
    <w:p w:rsidR="00370BE9" w:rsidRPr="0087506E" w:rsidP="00370BE9" w14:paraId="47913D1F" w14:textId="12200789">
      <w:pPr>
        <w:pStyle w:val="FootnoteText"/>
      </w:pPr>
      <w:r w:rsidRPr="0087506E">
        <w:rPr>
          <w:rStyle w:val="FootnoteReference"/>
          <w:sz w:val="20"/>
        </w:rPr>
        <w:footnoteRef/>
      </w:r>
      <w:r w:rsidRPr="0087506E">
        <w:t xml:space="preserve"> </w:t>
      </w:r>
      <w:r w:rsidRPr="0087506E">
        <w:rPr>
          <w:i/>
          <w:iCs/>
        </w:rPr>
        <w:t>See 202</w:t>
      </w:r>
      <w:r w:rsidR="006F55B6">
        <w:rPr>
          <w:i/>
          <w:iCs/>
        </w:rPr>
        <w:t>1</w:t>
      </w:r>
      <w:r w:rsidRPr="0087506E">
        <w:rPr>
          <w:i/>
          <w:iCs/>
        </w:rPr>
        <w:t xml:space="preserve"> Public Notice</w:t>
      </w:r>
      <w:r w:rsidR="00FC501A">
        <w:t xml:space="preserve"> at</w:t>
      </w:r>
      <w:r w:rsidR="00034E2A">
        <w:t xml:space="preserve"> 2</w:t>
      </w:r>
      <w:r w:rsidRPr="001D7297">
        <w:t>.</w:t>
      </w:r>
    </w:p>
  </w:footnote>
  <w:footnote w:id="11">
    <w:p w:rsidR="00370BE9" w:rsidRPr="000A2255" w:rsidP="00370BE9" w14:paraId="29E2BA76" w14:textId="3B04A2C2">
      <w:pPr>
        <w:pStyle w:val="FootnoteText"/>
        <w:rPr>
          <w:color w:val="000000"/>
        </w:rPr>
      </w:pPr>
      <w:r w:rsidRPr="0087506E">
        <w:rPr>
          <w:rStyle w:val="FootnoteReference"/>
          <w:color w:val="000000"/>
          <w:sz w:val="20"/>
        </w:rPr>
        <w:footnoteRef/>
      </w:r>
      <w:r w:rsidRPr="0087506E">
        <w:rPr>
          <w:color w:val="000000"/>
        </w:rPr>
        <w:t xml:space="preserve"> Letter from </w:t>
      </w:r>
      <w:r w:rsidR="00366C1D">
        <w:rPr>
          <w:color w:val="000000"/>
        </w:rPr>
        <w:t>Christine M. Quinn</w:t>
      </w:r>
      <w:r w:rsidRPr="0087506E">
        <w:rPr>
          <w:color w:val="000000"/>
        </w:rPr>
        <w:t xml:space="preserve">, Department of Justice, to Marlene H. Dortch, Secretary, FCC, WC Docket No. </w:t>
      </w:r>
      <w:r w:rsidR="00366C1D">
        <w:rPr>
          <w:color w:val="000000"/>
        </w:rPr>
        <w:t>21-4</w:t>
      </w:r>
      <w:r w:rsidR="006A61ED">
        <w:rPr>
          <w:color w:val="000000"/>
        </w:rPr>
        <w:t>63</w:t>
      </w:r>
      <w:r w:rsidRPr="0087506E">
        <w:rPr>
          <w:color w:val="000000"/>
        </w:rPr>
        <w:t>;</w:t>
      </w:r>
      <w:r w:rsidR="006A61ED">
        <w:rPr>
          <w:color w:val="000000"/>
        </w:rPr>
        <w:t xml:space="preserve"> </w:t>
      </w:r>
      <w:r w:rsidRPr="006A61ED" w:rsidR="006A61ED">
        <w:rPr>
          <w:color w:val="000000"/>
        </w:rPr>
        <w:t>ITC-T/C-20211124-00181; ITC-T/C-20211124-00182; ITC-T/C-20211124-00183; SCL-T/C-20211124-00049</w:t>
      </w:r>
      <w:r w:rsidRPr="0087506E">
        <w:rPr>
          <w:color w:val="000000"/>
        </w:rPr>
        <w:t xml:space="preserve">, and Attach. </w:t>
      </w:r>
      <w:r w:rsidRPr="000A2255" w:rsidR="000A2255">
        <w:rPr>
          <w:color w:val="000000"/>
        </w:rPr>
        <w:t>(filed</w:t>
      </w:r>
      <w:r w:rsidR="000A2255">
        <w:rPr>
          <w:color w:val="000000"/>
        </w:rPr>
        <w:t xml:space="preserve"> </w:t>
      </w:r>
      <w:r w:rsidR="006A61ED">
        <w:rPr>
          <w:color w:val="000000"/>
        </w:rPr>
        <w:t>Dec</w:t>
      </w:r>
      <w:r w:rsidR="000A2255">
        <w:rPr>
          <w:color w:val="000000"/>
        </w:rPr>
        <w:t>. 2</w:t>
      </w:r>
      <w:r w:rsidR="006A61ED">
        <w:rPr>
          <w:color w:val="000000"/>
        </w:rPr>
        <w:t>9</w:t>
      </w:r>
      <w:r w:rsidRPr="000A2255" w:rsidR="000A2255">
        <w:rPr>
          <w:color w:val="000000"/>
        </w:rPr>
        <w:t>, 2021)</w:t>
      </w:r>
      <w:r w:rsidRPr="0087506E">
        <w:rPr>
          <w:color w:val="000000"/>
        </w:rPr>
        <w:t>.</w:t>
      </w:r>
    </w:p>
  </w:footnote>
  <w:footnote w:id="12">
    <w:p w:rsidR="00C606D6" w:rsidP="00C606D6" w14:paraId="748869FE" w14:textId="00D2AC22">
      <w:pPr>
        <w:pStyle w:val="FootnoteText"/>
      </w:pPr>
      <w:r>
        <w:rPr>
          <w:rStyle w:val="FootnoteReference"/>
        </w:rPr>
        <w:footnoteRef/>
      </w:r>
      <w:r>
        <w:t xml:space="preserve"> </w:t>
      </w:r>
      <w:bookmarkStart w:id="9" w:name="_Hlk104674697"/>
      <w:r w:rsidRPr="0087506E">
        <w:rPr>
          <w:color w:val="000000"/>
        </w:rPr>
        <w:t xml:space="preserve">Letter from </w:t>
      </w:r>
      <w:r>
        <w:rPr>
          <w:color w:val="000000"/>
        </w:rPr>
        <w:t>Christine M. Quinn</w:t>
      </w:r>
      <w:r w:rsidRPr="0087506E">
        <w:rPr>
          <w:color w:val="000000"/>
        </w:rPr>
        <w:t xml:space="preserve">, Department of Justice, to Marlene H. Dortch, Secretary, FCC, WC Docket No. </w:t>
      </w:r>
      <w:r>
        <w:rPr>
          <w:color w:val="000000"/>
        </w:rPr>
        <w:t>21-463</w:t>
      </w:r>
      <w:r w:rsidRPr="0087506E">
        <w:rPr>
          <w:color w:val="000000"/>
        </w:rPr>
        <w:t>;</w:t>
      </w:r>
      <w:r>
        <w:rPr>
          <w:color w:val="000000"/>
        </w:rPr>
        <w:t xml:space="preserve"> </w:t>
      </w:r>
      <w:r w:rsidRPr="006A61ED">
        <w:rPr>
          <w:color w:val="000000"/>
        </w:rPr>
        <w:t>ITC-T/C-20211124-00181; ITC-T/C-20211124-00182; ITC-T/C-20211124-00183; SCL-T/C-20211124-00049</w:t>
      </w:r>
      <w:r>
        <w:rPr>
          <w:color w:val="000000"/>
        </w:rPr>
        <w:t xml:space="preserve"> and Attach. </w:t>
      </w:r>
      <w:r>
        <w:t xml:space="preserve">(filed Apr. 1, 2022). </w:t>
      </w:r>
      <w:bookmarkEnd w:id="9"/>
      <w:r w:rsidR="00684AD6">
        <w:t xml:space="preserve"> On July 1, 2022, DOJ notified the Commission that the Applicants requested and received a seven-day extension of the Committee’s 120-day review period so that it ended August 8, 2022.  </w:t>
      </w:r>
      <w:r w:rsidRPr="00680A3D" w:rsidR="00684AD6">
        <w:t>Letter from Christine M. Quinn, Department of Justice, to Marlene H. Dortch, Secretary, FCC, WC Docket No. 21-463; ITC-T/C-20211124-00181; ITC-T/C-20211124-00182; ITC-T/C-20211124-00183; SCL-T/C-20211124-00049, and Attach.</w:t>
      </w:r>
      <w:r w:rsidR="00684AD6">
        <w:t xml:space="preserve"> </w:t>
      </w:r>
      <w:r w:rsidRPr="00680A3D" w:rsidR="00684AD6">
        <w:t xml:space="preserve">(filed </w:t>
      </w:r>
      <w:r w:rsidR="00684AD6">
        <w:t>July</w:t>
      </w:r>
      <w:r w:rsidRPr="00680A3D" w:rsidR="00684AD6">
        <w:t xml:space="preserve"> 1, 2022).</w:t>
      </w:r>
    </w:p>
  </w:footnote>
  <w:footnote w:id="13">
    <w:p w:rsidR="00BB3B04" w:rsidRPr="0062423A" w:rsidP="00BB3B04" w14:paraId="21AE23D0" w14:textId="1A63ECD4">
      <w:pPr>
        <w:pStyle w:val="FootnoteText"/>
      </w:pPr>
      <w:r w:rsidRPr="0062423A">
        <w:rPr>
          <w:rStyle w:val="FootnoteReference"/>
          <w:sz w:val="20"/>
        </w:rPr>
        <w:footnoteRef/>
      </w:r>
      <w:r w:rsidRPr="0062423A">
        <w:t xml:space="preserve"> </w:t>
      </w:r>
      <w:r>
        <w:t xml:space="preserve">Committee Petition </w:t>
      </w:r>
      <w:r w:rsidRPr="0062423A">
        <w:t xml:space="preserve">at </w:t>
      </w:r>
      <w:r w:rsidR="00885952">
        <w:t>1</w:t>
      </w:r>
      <w:r w:rsidRPr="0062423A">
        <w:t>.</w:t>
      </w:r>
    </w:p>
  </w:footnote>
  <w:footnote w:id="14">
    <w:p w:rsidR="00BB3B04" w:rsidP="00BB3B04" w14:paraId="30A09D88" w14:textId="77777777">
      <w:pPr>
        <w:pStyle w:val="FootnoteText"/>
      </w:pPr>
      <w:r w:rsidRPr="0062423A">
        <w:rPr>
          <w:rStyle w:val="FootnoteReference"/>
          <w:sz w:val="20"/>
        </w:rPr>
        <w:footnoteRef/>
      </w:r>
      <w:r w:rsidRPr="0062423A">
        <w:t xml:space="preserve"> </w:t>
      </w:r>
      <w:r w:rsidRPr="0062423A">
        <w:rPr>
          <w:i/>
          <w:iCs/>
        </w:rPr>
        <w:t>T-Mobile</w:t>
      </w:r>
      <w:r>
        <w:rPr>
          <w:i/>
          <w:iCs/>
        </w:rPr>
        <w:t>/</w:t>
      </w:r>
      <w:r w:rsidRPr="0062423A">
        <w:rPr>
          <w:i/>
          <w:iCs/>
        </w:rPr>
        <w:t xml:space="preserve">Sprint </w:t>
      </w:r>
      <w:r>
        <w:rPr>
          <w:i/>
          <w:iCs/>
        </w:rPr>
        <w:t>Order</w:t>
      </w:r>
      <w:r w:rsidRPr="0062423A">
        <w:t xml:space="preserve">, 34 FCC Rcd </w:t>
      </w:r>
      <w:r>
        <w:t>at</w:t>
      </w:r>
      <w:r w:rsidRPr="0062423A">
        <w:t xml:space="preserve"> 10732-33, para. 349</w:t>
      </w:r>
      <w:r w:rsidRPr="0062423A">
        <w:rPr>
          <w:i/>
          <w:iCs/>
        </w:rPr>
        <w:t xml:space="preserve">; </w:t>
      </w:r>
      <w:r>
        <w:rPr>
          <w:i/>
          <w:iCs/>
        </w:rPr>
        <w:t>Foreign Participation Order</w:t>
      </w:r>
      <w:r w:rsidRPr="0062423A">
        <w:t>,</w:t>
      </w:r>
      <w:r w:rsidRPr="0062423A">
        <w:rPr>
          <w:i/>
          <w:iCs/>
        </w:rPr>
        <w:t xml:space="preserve"> </w:t>
      </w:r>
      <w:r w:rsidRPr="0062423A">
        <w:t xml:space="preserve">12 FCC Rcd </w:t>
      </w:r>
      <w:r>
        <w:t>at</w:t>
      </w:r>
      <w:r w:rsidRPr="0062423A">
        <w:t xml:space="preserve"> 23918-21, paras. 59-66</w:t>
      </w:r>
      <w:r w:rsidRPr="0062423A">
        <w:rPr>
          <w:i/>
          <w:iCs/>
        </w:rPr>
        <w:t>.</w:t>
      </w:r>
    </w:p>
  </w:footnote>
  <w:footnote w:id="15">
    <w:p w:rsidR="00204C18" w:rsidP="00204C18" w14:paraId="6833E0B0" w14:textId="77777777">
      <w:pPr>
        <w:pStyle w:val="FootnoteText"/>
      </w:pPr>
      <w:r>
        <w:rPr>
          <w:rStyle w:val="FootnoteReference"/>
        </w:rPr>
        <w:footnoteRef/>
      </w:r>
      <w:r>
        <w:t xml:space="preserve"> </w:t>
      </w:r>
      <w:r w:rsidRPr="001A5851">
        <w:rPr>
          <w:i/>
          <w:iCs/>
        </w:rPr>
        <w:t>See</w:t>
      </w:r>
      <w:r>
        <w:t xml:space="preserve"> 47 U.S.C. § 214(a); 47 CFR § 63.03.</w:t>
      </w:r>
      <w:r w:rsidRPr="00516C98">
        <w:t>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1205D5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9838BC" w:rsidRPr="009838BC" w:rsidP="009838BC" w14:paraId="61AA8D7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180CC9F"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9838BC" w:rsidRPr="000F0CB5" w:rsidP="009838BC" w14:textId="77777777">
                          <w:pPr>
                            <w:rPr>
                              <w:rFonts w:ascii="Arial" w:hAnsi="Arial"/>
                              <w:b/>
                            </w:rPr>
                          </w:pPr>
                          <w:r w:rsidRPr="000F0CB5">
                            <w:rPr>
                              <w:rFonts w:ascii="Arial" w:hAnsi="Arial"/>
                              <w:b/>
                            </w:rPr>
                            <w:t>Federal Communications Commission</w:t>
                          </w:r>
                        </w:p>
                        <w:p w:rsidR="009838BC" w:rsidRPr="000F0CB5" w:rsidP="009838BC" w14:textId="77777777">
                          <w:pPr>
                            <w:rPr>
                              <w:rFonts w:ascii="Arial" w:hAnsi="Arial"/>
                              <w:b/>
                            </w:rPr>
                          </w:pPr>
                          <w:r w:rsidRPr="000F0CB5">
                            <w:rPr>
                              <w:rFonts w:ascii="Arial" w:hAnsi="Arial"/>
                              <w:b/>
                            </w:rPr>
                            <w:t>4</w:t>
                          </w:r>
                          <w:r w:rsidR="008C5D18">
                            <w:rPr>
                              <w:rFonts w:ascii="Arial" w:hAnsi="Arial"/>
                              <w:b/>
                            </w:rPr>
                            <w:t>5 L St., N.E.</w:t>
                          </w:r>
                        </w:p>
                        <w:p w:rsidR="009838BC" w:rsidP="009838BC" w14:textId="77777777">
                          <w:pPr>
                            <w:rPr>
                              <w:rFonts w:ascii="Arial" w:hAnsi="Arial"/>
                              <w:sz w:val="24"/>
                            </w:rPr>
                          </w:pPr>
                          <w:r w:rsidRPr="000F0CB5">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RPr="000F0CB5" w:rsidP="009838BC" w14:paraId="3301D132" w14:textId="77777777">
                    <w:pPr>
                      <w:rPr>
                        <w:rFonts w:ascii="Arial" w:hAnsi="Arial"/>
                        <w:b/>
                      </w:rPr>
                    </w:pPr>
                    <w:r w:rsidRPr="000F0CB5">
                      <w:rPr>
                        <w:rFonts w:ascii="Arial" w:hAnsi="Arial"/>
                        <w:b/>
                      </w:rPr>
                      <w:t>Federal Communications Commission</w:t>
                    </w:r>
                  </w:p>
                  <w:p w:rsidR="009838BC" w:rsidRPr="000F0CB5" w:rsidP="009838BC" w14:paraId="67C34839" w14:textId="77777777">
                    <w:pPr>
                      <w:rPr>
                        <w:rFonts w:ascii="Arial" w:hAnsi="Arial"/>
                        <w:b/>
                      </w:rPr>
                    </w:pPr>
                    <w:r w:rsidRPr="000F0CB5">
                      <w:rPr>
                        <w:rFonts w:ascii="Arial" w:hAnsi="Arial"/>
                        <w:b/>
                      </w:rPr>
                      <w:t>4</w:t>
                    </w:r>
                    <w:r w:rsidR="008C5D18">
                      <w:rPr>
                        <w:rFonts w:ascii="Arial" w:hAnsi="Arial"/>
                        <w:b/>
                      </w:rPr>
                      <w:t>5 L St., N.E.</w:t>
                    </w:r>
                  </w:p>
                  <w:p w:rsidR="009838BC" w:rsidP="009838BC" w14:paraId="49B6A379" w14:textId="77777777">
                    <w:pPr>
                      <w:rPr>
                        <w:rFonts w:ascii="Arial" w:hAnsi="Arial"/>
                        <w:sz w:val="24"/>
                      </w:rPr>
                    </w:pPr>
                    <w:r w:rsidRPr="000F0CB5">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536AB68"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0" w:name="_Hlt233824"/>
                          <w:hyperlink r:id="rId2" w:history="1">
                            <w:r w:rsidRPr="00D216CD">
                              <w:rPr>
                                <w:rStyle w:val="Hyperlink"/>
                                <w:rFonts w:ascii="Arial" w:hAnsi="Arial"/>
                                <w:b/>
                                <w:sz w:val="16"/>
                              </w:rPr>
                              <w:t>h</w:t>
                            </w:r>
                            <w:bookmarkEnd w:id="10"/>
                            <w:r w:rsidRPr="00D216CD">
                              <w:rPr>
                                <w:rStyle w:val="Hyperlink"/>
                                <w:rFonts w:ascii="Arial" w:hAnsi="Arial"/>
                                <w:b/>
                                <w:sz w:val="16"/>
                              </w:rPr>
                              <w:t>ttps://www.fcc.gov</w:t>
                            </w:r>
                          </w:hyperlink>
                        </w:p>
                        <w:p w:rsidR="009838BC"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48AD556" w14:textId="77777777">
                    <w:pPr>
                      <w:spacing w:before="40"/>
                      <w:jc w:val="right"/>
                      <w:rPr>
                        <w:rFonts w:ascii="Arial" w:hAnsi="Arial"/>
                        <w:b/>
                        <w:sz w:val="16"/>
                      </w:rPr>
                    </w:pPr>
                    <w:r>
                      <w:rPr>
                        <w:rFonts w:ascii="Arial" w:hAnsi="Arial"/>
                        <w:b/>
                        <w:sz w:val="16"/>
                      </w:rPr>
                      <w:t>News Media Information 202 / 418-0500</w:t>
                    </w:r>
                  </w:p>
                  <w:p w:rsidR="009838BC" w:rsidP="009838BC" w14:paraId="3D273875" w14:textId="77777777">
                    <w:pPr>
                      <w:jc w:val="right"/>
                      <w:rPr>
                        <w:rFonts w:ascii="Arial" w:hAnsi="Arial"/>
                        <w:b/>
                        <w:sz w:val="16"/>
                      </w:rPr>
                    </w:pPr>
                    <w:r>
                      <w:rPr>
                        <w:rFonts w:ascii="Arial" w:hAnsi="Arial"/>
                        <w:b/>
                        <w:sz w:val="16"/>
                      </w:rPr>
                      <w:t xml:space="preserve">Internet: </w:t>
                    </w:r>
                    <w:bookmarkStart w:id="10" w:name="_Hlt233824"/>
                    <w:hyperlink r:id="rId2" w:history="1">
                      <w:r w:rsidRPr="00D216CD">
                        <w:rPr>
                          <w:rStyle w:val="Hyperlink"/>
                          <w:rFonts w:ascii="Arial" w:hAnsi="Arial"/>
                          <w:b/>
                          <w:sz w:val="16"/>
                        </w:rPr>
                        <w:t>h</w:t>
                      </w:r>
                      <w:bookmarkEnd w:id="10"/>
                      <w:r w:rsidRPr="00D216CD">
                        <w:rPr>
                          <w:rStyle w:val="Hyperlink"/>
                          <w:rFonts w:ascii="Arial" w:hAnsi="Arial"/>
                          <w:b/>
                          <w:sz w:val="16"/>
                        </w:rPr>
                        <w:t>ttps://www.fcc.gov</w:t>
                      </w:r>
                    </w:hyperlink>
                  </w:p>
                  <w:p w:rsidR="009838BC" w:rsidP="009838BC" w14:paraId="24ADAFC8" w14:textId="77777777">
                    <w:pPr>
                      <w:jc w:val="right"/>
                    </w:pPr>
                  </w:p>
                </w:txbxContent>
              </v:textbox>
            </v:shape>
          </w:pict>
        </mc:Fallback>
      </mc:AlternateContent>
    </w:r>
  </w:p>
  <w:p w:rsidR="006F7393" w:rsidRPr="009838BC" w:rsidP="009838BC" w14:paraId="6D5A7EB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72CE"/>
    <w:rsid w:val="00013A8B"/>
    <w:rsid w:val="00016146"/>
    <w:rsid w:val="00021445"/>
    <w:rsid w:val="00033822"/>
    <w:rsid w:val="00034E2A"/>
    <w:rsid w:val="00036039"/>
    <w:rsid w:val="00037F90"/>
    <w:rsid w:val="00044F6D"/>
    <w:rsid w:val="000520D9"/>
    <w:rsid w:val="00056134"/>
    <w:rsid w:val="000737E6"/>
    <w:rsid w:val="000875BF"/>
    <w:rsid w:val="00096D8C"/>
    <w:rsid w:val="000A2255"/>
    <w:rsid w:val="000A514A"/>
    <w:rsid w:val="000A719C"/>
    <w:rsid w:val="000C0B65"/>
    <w:rsid w:val="000C234E"/>
    <w:rsid w:val="000D049C"/>
    <w:rsid w:val="000D79D7"/>
    <w:rsid w:val="000E3D42"/>
    <w:rsid w:val="000E5884"/>
    <w:rsid w:val="000E6601"/>
    <w:rsid w:val="000F0CB5"/>
    <w:rsid w:val="000F7AFB"/>
    <w:rsid w:val="00105F69"/>
    <w:rsid w:val="001155B5"/>
    <w:rsid w:val="00122BD5"/>
    <w:rsid w:val="00143609"/>
    <w:rsid w:val="001541A8"/>
    <w:rsid w:val="00162A3E"/>
    <w:rsid w:val="00164EF4"/>
    <w:rsid w:val="00180117"/>
    <w:rsid w:val="0019129A"/>
    <w:rsid w:val="001979D9"/>
    <w:rsid w:val="001A3500"/>
    <w:rsid w:val="001A5851"/>
    <w:rsid w:val="001C0DFD"/>
    <w:rsid w:val="001C2305"/>
    <w:rsid w:val="001D11C0"/>
    <w:rsid w:val="001D5D80"/>
    <w:rsid w:val="001D6BCF"/>
    <w:rsid w:val="001D7297"/>
    <w:rsid w:val="001E01CA"/>
    <w:rsid w:val="001E0466"/>
    <w:rsid w:val="001E42C4"/>
    <w:rsid w:val="001F1CB2"/>
    <w:rsid w:val="001F667C"/>
    <w:rsid w:val="0020070A"/>
    <w:rsid w:val="00204C18"/>
    <w:rsid w:val="002056D2"/>
    <w:rsid w:val="002060D9"/>
    <w:rsid w:val="00207477"/>
    <w:rsid w:val="002078DE"/>
    <w:rsid w:val="00216B5D"/>
    <w:rsid w:val="00220631"/>
    <w:rsid w:val="00226822"/>
    <w:rsid w:val="002334CD"/>
    <w:rsid w:val="0025082C"/>
    <w:rsid w:val="00250FD4"/>
    <w:rsid w:val="00257B2A"/>
    <w:rsid w:val="00260594"/>
    <w:rsid w:val="00265350"/>
    <w:rsid w:val="00266A8D"/>
    <w:rsid w:val="00274C55"/>
    <w:rsid w:val="00285017"/>
    <w:rsid w:val="0028684D"/>
    <w:rsid w:val="002A101D"/>
    <w:rsid w:val="002A2D2E"/>
    <w:rsid w:val="002A6D6A"/>
    <w:rsid w:val="002B0207"/>
    <w:rsid w:val="002B133F"/>
    <w:rsid w:val="002C0613"/>
    <w:rsid w:val="002C3DC3"/>
    <w:rsid w:val="002C471A"/>
    <w:rsid w:val="002C7D93"/>
    <w:rsid w:val="002D50BB"/>
    <w:rsid w:val="002D62DD"/>
    <w:rsid w:val="002E699E"/>
    <w:rsid w:val="002F2194"/>
    <w:rsid w:val="002F2339"/>
    <w:rsid w:val="002F6B1A"/>
    <w:rsid w:val="00307030"/>
    <w:rsid w:val="0031328E"/>
    <w:rsid w:val="00317D86"/>
    <w:rsid w:val="003275FD"/>
    <w:rsid w:val="00327E00"/>
    <w:rsid w:val="00343749"/>
    <w:rsid w:val="00351BC2"/>
    <w:rsid w:val="00357D50"/>
    <w:rsid w:val="00366C1D"/>
    <w:rsid w:val="00370BE9"/>
    <w:rsid w:val="00381F74"/>
    <w:rsid w:val="00390848"/>
    <w:rsid w:val="003925DC"/>
    <w:rsid w:val="003955A4"/>
    <w:rsid w:val="00397845"/>
    <w:rsid w:val="003B0550"/>
    <w:rsid w:val="003B694F"/>
    <w:rsid w:val="003C3B92"/>
    <w:rsid w:val="003C4579"/>
    <w:rsid w:val="003D03B3"/>
    <w:rsid w:val="003D1DB7"/>
    <w:rsid w:val="003E2EFE"/>
    <w:rsid w:val="003E302F"/>
    <w:rsid w:val="003E5C72"/>
    <w:rsid w:val="003E7B6C"/>
    <w:rsid w:val="003F171C"/>
    <w:rsid w:val="00412959"/>
    <w:rsid w:val="00412FC5"/>
    <w:rsid w:val="00413423"/>
    <w:rsid w:val="0042206A"/>
    <w:rsid w:val="00422276"/>
    <w:rsid w:val="004242F1"/>
    <w:rsid w:val="004352C3"/>
    <w:rsid w:val="0044058F"/>
    <w:rsid w:val="00445A00"/>
    <w:rsid w:val="00451B0F"/>
    <w:rsid w:val="00453AB1"/>
    <w:rsid w:val="0046125F"/>
    <w:rsid w:val="00466B8E"/>
    <w:rsid w:val="00467D60"/>
    <w:rsid w:val="004753F7"/>
    <w:rsid w:val="004808CE"/>
    <w:rsid w:val="00485408"/>
    <w:rsid w:val="00487524"/>
    <w:rsid w:val="004876D1"/>
    <w:rsid w:val="004903BF"/>
    <w:rsid w:val="004943CA"/>
    <w:rsid w:val="004954BE"/>
    <w:rsid w:val="00496106"/>
    <w:rsid w:val="004A3764"/>
    <w:rsid w:val="004B091D"/>
    <w:rsid w:val="004C12D0"/>
    <w:rsid w:val="004C2EE3"/>
    <w:rsid w:val="004C4BDF"/>
    <w:rsid w:val="004C4E25"/>
    <w:rsid w:val="004D22C3"/>
    <w:rsid w:val="004E1B98"/>
    <w:rsid w:val="004E4A22"/>
    <w:rsid w:val="00511968"/>
    <w:rsid w:val="00516C98"/>
    <w:rsid w:val="0052012D"/>
    <w:rsid w:val="00530C22"/>
    <w:rsid w:val="00531267"/>
    <w:rsid w:val="0055614C"/>
    <w:rsid w:val="005614FA"/>
    <w:rsid w:val="00571590"/>
    <w:rsid w:val="00593FE6"/>
    <w:rsid w:val="00595B6A"/>
    <w:rsid w:val="005A0E75"/>
    <w:rsid w:val="005A6D7D"/>
    <w:rsid w:val="005A768D"/>
    <w:rsid w:val="005B1183"/>
    <w:rsid w:val="005B4290"/>
    <w:rsid w:val="005C680A"/>
    <w:rsid w:val="005D2CD8"/>
    <w:rsid w:val="005D47C0"/>
    <w:rsid w:val="005E15F6"/>
    <w:rsid w:val="005E7217"/>
    <w:rsid w:val="005E74A9"/>
    <w:rsid w:val="005F214B"/>
    <w:rsid w:val="006020BB"/>
    <w:rsid w:val="00607BA5"/>
    <w:rsid w:val="0062423A"/>
    <w:rsid w:val="00626EB6"/>
    <w:rsid w:val="006275B0"/>
    <w:rsid w:val="00631B71"/>
    <w:rsid w:val="006353A3"/>
    <w:rsid w:val="00642AA4"/>
    <w:rsid w:val="00642E7B"/>
    <w:rsid w:val="006438AD"/>
    <w:rsid w:val="006549B8"/>
    <w:rsid w:val="00655D03"/>
    <w:rsid w:val="0066370B"/>
    <w:rsid w:val="00664903"/>
    <w:rsid w:val="00664AB4"/>
    <w:rsid w:val="00680A3D"/>
    <w:rsid w:val="00683F84"/>
    <w:rsid w:val="00684AD6"/>
    <w:rsid w:val="006A61ED"/>
    <w:rsid w:val="006A6A81"/>
    <w:rsid w:val="006B3292"/>
    <w:rsid w:val="006B4D75"/>
    <w:rsid w:val="006B6F46"/>
    <w:rsid w:val="006C735C"/>
    <w:rsid w:val="006D40DD"/>
    <w:rsid w:val="006D6039"/>
    <w:rsid w:val="006E26AF"/>
    <w:rsid w:val="006F55B6"/>
    <w:rsid w:val="006F7393"/>
    <w:rsid w:val="0070224F"/>
    <w:rsid w:val="007115F7"/>
    <w:rsid w:val="007134E1"/>
    <w:rsid w:val="00714A85"/>
    <w:rsid w:val="0074675A"/>
    <w:rsid w:val="007575F6"/>
    <w:rsid w:val="00761FF7"/>
    <w:rsid w:val="0076436F"/>
    <w:rsid w:val="00781400"/>
    <w:rsid w:val="00781C5B"/>
    <w:rsid w:val="00785689"/>
    <w:rsid w:val="00795A64"/>
    <w:rsid w:val="0079676F"/>
    <w:rsid w:val="0079754B"/>
    <w:rsid w:val="00797B66"/>
    <w:rsid w:val="007A10B6"/>
    <w:rsid w:val="007A1E6D"/>
    <w:rsid w:val="007A7B3A"/>
    <w:rsid w:val="007B71D5"/>
    <w:rsid w:val="007C0AC0"/>
    <w:rsid w:val="007C2228"/>
    <w:rsid w:val="007C674D"/>
    <w:rsid w:val="007D3761"/>
    <w:rsid w:val="007D3887"/>
    <w:rsid w:val="007E5B80"/>
    <w:rsid w:val="007F2FED"/>
    <w:rsid w:val="008068FD"/>
    <w:rsid w:val="00822CE0"/>
    <w:rsid w:val="008301C5"/>
    <w:rsid w:val="0083155B"/>
    <w:rsid w:val="0083364B"/>
    <w:rsid w:val="00837C62"/>
    <w:rsid w:val="0084061A"/>
    <w:rsid w:val="00841AB1"/>
    <w:rsid w:val="00845944"/>
    <w:rsid w:val="00851E64"/>
    <w:rsid w:val="00853442"/>
    <w:rsid w:val="008623A2"/>
    <w:rsid w:val="0087506E"/>
    <w:rsid w:val="00876862"/>
    <w:rsid w:val="008802A4"/>
    <w:rsid w:val="00880408"/>
    <w:rsid w:val="00885952"/>
    <w:rsid w:val="008A205A"/>
    <w:rsid w:val="008A3AF0"/>
    <w:rsid w:val="008A4CCE"/>
    <w:rsid w:val="008A6586"/>
    <w:rsid w:val="008C22FD"/>
    <w:rsid w:val="008C2513"/>
    <w:rsid w:val="008C5D18"/>
    <w:rsid w:val="008E63B2"/>
    <w:rsid w:val="008F072E"/>
    <w:rsid w:val="008F1449"/>
    <w:rsid w:val="008F2D9A"/>
    <w:rsid w:val="008F7321"/>
    <w:rsid w:val="00910F12"/>
    <w:rsid w:val="00914C39"/>
    <w:rsid w:val="00926503"/>
    <w:rsid w:val="00930ECF"/>
    <w:rsid w:val="0097493E"/>
    <w:rsid w:val="00975E59"/>
    <w:rsid w:val="00976129"/>
    <w:rsid w:val="00977D8A"/>
    <w:rsid w:val="00980335"/>
    <w:rsid w:val="009838BC"/>
    <w:rsid w:val="0098517C"/>
    <w:rsid w:val="00987B74"/>
    <w:rsid w:val="00987D28"/>
    <w:rsid w:val="00987EE2"/>
    <w:rsid w:val="009B044F"/>
    <w:rsid w:val="009B3988"/>
    <w:rsid w:val="009B63B0"/>
    <w:rsid w:val="009C7B6C"/>
    <w:rsid w:val="009D28AB"/>
    <w:rsid w:val="009D36AB"/>
    <w:rsid w:val="009E0A80"/>
    <w:rsid w:val="00A07202"/>
    <w:rsid w:val="00A12718"/>
    <w:rsid w:val="00A14FE9"/>
    <w:rsid w:val="00A17EEF"/>
    <w:rsid w:val="00A45F4F"/>
    <w:rsid w:val="00A600A9"/>
    <w:rsid w:val="00A70EE1"/>
    <w:rsid w:val="00A726A5"/>
    <w:rsid w:val="00A866AC"/>
    <w:rsid w:val="00A93453"/>
    <w:rsid w:val="00AA1FB9"/>
    <w:rsid w:val="00AA55B7"/>
    <w:rsid w:val="00AA5B9E"/>
    <w:rsid w:val="00AB1746"/>
    <w:rsid w:val="00AB2407"/>
    <w:rsid w:val="00AB53DF"/>
    <w:rsid w:val="00AC0010"/>
    <w:rsid w:val="00AC7814"/>
    <w:rsid w:val="00AE0475"/>
    <w:rsid w:val="00AE19F5"/>
    <w:rsid w:val="00AE2DC1"/>
    <w:rsid w:val="00AF77E2"/>
    <w:rsid w:val="00AF7DA5"/>
    <w:rsid w:val="00B00DBA"/>
    <w:rsid w:val="00B01C96"/>
    <w:rsid w:val="00B07E5C"/>
    <w:rsid w:val="00B13724"/>
    <w:rsid w:val="00B326E3"/>
    <w:rsid w:val="00B44339"/>
    <w:rsid w:val="00B711AE"/>
    <w:rsid w:val="00B7124D"/>
    <w:rsid w:val="00B74439"/>
    <w:rsid w:val="00B811F7"/>
    <w:rsid w:val="00B82285"/>
    <w:rsid w:val="00B85CA1"/>
    <w:rsid w:val="00B959E6"/>
    <w:rsid w:val="00BA5DC6"/>
    <w:rsid w:val="00BA6196"/>
    <w:rsid w:val="00BB3B04"/>
    <w:rsid w:val="00BC6D8C"/>
    <w:rsid w:val="00BD1492"/>
    <w:rsid w:val="00BD1F31"/>
    <w:rsid w:val="00BD34F1"/>
    <w:rsid w:val="00BE6279"/>
    <w:rsid w:val="00BF1AB9"/>
    <w:rsid w:val="00BF6638"/>
    <w:rsid w:val="00C03F95"/>
    <w:rsid w:val="00C0742F"/>
    <w:rsid w:val="00C16AF2"/>
    <w:rsid w:val="00C17705"/>
    <w:rsid w:val="00C26B94"/>
    <w:rsid w:val="00C34006"/>
    <w:rsid w:val="00C35272"/>
    <w:rsid w:val="00C367FB"/>
    <w:rsid w:val="00C426B1"/>
    <w:rsid w:val="00C45A39"/>
    <w:rsid w:val="00C502B2"/>
    <w:rsid w:val="00C54865"/>
    <w:rsid w:val="00C606D6"/>
    <w:rsid w:val="00C67232"/>
    <w:rsid w:val="00C822C7"/>
    <w:rsid w:val="00C82B6B"/>
    <w:rsid w:val="00C90D6A"/>
    <w:rsid w:val="00C9237B"/>
    <w:rsid w:val="00C95AE7"/>
    <w:rsid w:val="00CA17EA"/>
    <w:rsid w:val="00CA3E69"/>
    <w:rsid w:val="00CA60A9"/>
    <w:rsid w:val="00CB3AE9"/>
    <w:rsid w:val="00CC239D"/>
    <w:rsid w:val="00CC4541"/>
    <w:rsid w:val="00CC6A10"/>
    <w:rsid w:val="00CC72B6"/>
    <w:rsid w:val="00CE1A4A"/>
    <w:rsid w:val="00CE29E4"/>
    <w:rsid w:val="00CF1DFA"/>
    <w:rsid w:val="00CF28E3"/>
    <w:rsid w:val="00CF33D4"/>
    <w:rsid w:val="00CF4487"/>
    <w:rsid w:val="00D0218D"/>
    <w:rsid w:val="00D02B16"/>
    <w:rsid w:val="00D04B72"/>
    <w:rsid w:val="00D12B3C"/>
    <w:rsid w:val="00D216CD"/>
    <w:rsid w:val="00D268B1"/>
    <w:rsid w:val="00D67B43"/>
    <w:rsid w:val="00D67BF7"/>
    <w:rsid w:val="00D851AB"/>
    <w:rsid w:val="00D97850"/>
    <w:rsid w:val="00DA2529"/>
    <w:rsid w:val="00DA455F"/>
    <w:rsid w:val="00DB0FA2"/>
    <w:rsid w:val="00DB130A"/>
    <w:rsid w:val="00DB54CA"/>
    <w:rsid w:val="00DC062A"/>
    <w:rsid w:val="00DC10A1"/>
    <w:rsid w:val="00DC184E"/>
    <w:rsid w:val="00DC655F"/>
    <w:rsid w:val="00DD0F22"/>
    <w:rsid w:val="00DD7EBD"/>
    <w:rsid w:val="00DE0E89"/>
    <w:rsid w:val="00DF1B24"/>
    <w:rsid w:val="00DF62B6"/>
    <w:rsid w:val="00E014AC"/>
    <w:rsid w:val="00E07225"/>
    <w:rsid w:val="00E155B7"/>
    <w:rsid w:val="00E25939"/>
    <w:rsid w:val="00E37C44"/>
    <w:rsid w:val="00E5409F"/>
    <w:rsid w:val="00E72298"/>
    <w:rsid w:val="00E74CDB"/>
    <w:rsid w:val="00E80C5A"/>
    <w:rsid w:val="00E871B4"/>
    <w:rsid w:val="00E929F0"/>
    <w:rsid w:val="00E9579E"/>
    <w:rsid w:val="00E96B4B"/>
    <w:rsid w:val="00E96C1C"/>
    <w:rsid w:val="00E97FC3"/>
    <w:rsid w:val="00EB0ED4"/>
    <w:rsid w:val="00EB2C44"/>
    <w:rsid w:val="00EB662D"/>
    <w:rsid w:val="00EC0185"/>
    <w:rsid w:val="00EC1D0F"/>
    <w:rsid w:val="00EC58F4"/>
    <w:rsid w:val="00EC6CAE"/>
    <w:rsid w:val="00EC7832"/>
    <w:rsid w:val="00ED38F2"/>
    <w:rsid w:val="00ED776E"/>
    <w:rsid w:val="00EF034C"/>
    <w:rsid w:val="00F01780"/>
    <w:rsid w:val="00F021FA"/>
    <w:rsid w:val="00F14D69"/>
    <w:rsid w:val="00F273CF"/>
    <w:rsid w:val="00F34A9F"/>
    <w:rsid w:val="00F46CE7"/>
    <w:rsid w:val="00F57602"/>
    <w:rsid w:val="00F57ACA"/>
    <w:rsid w:val="00F619C5"/>
    <w:rsid w:val="00F62E97"/>
    <w:rsid w:val="00F64209"/>
    <w:rsid w:val="00F66D37"/>
    <w:rsid w:val="00F70514"/>
    <w:rsid w:val="00F72B31"/>
    <w:rsid w:val="00F93BF5"/>
    <w:rsid w:val="00F96F63"/>
    <w:rsid w:val="00FA3284"/>
    <w:rsid w:val="00FB7981"/>
    <w:rsid w:val="00FC501A"/>
    <w:rsid w:val="00FE0EE0"/>
    <w:rsid w:val="00FE3B39"/>
    <w:rsid w:val="00FE416A"/>
    <w:rsid w:val="00FF77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8C3984"/>
  <w15:chartTrackingRefBased/>
  <w15:docId w15:val="{16E56314-A075-4AC1-9EDF-751D187C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paragraph" w:styleId="NoSpacing">
    <w:name w:val="No Spacing"/>
    <w:uiPriority w:val="1"/>
    <w:qFormat/>
    <w:rsid w:val="00C54865"/>
    <w:rPr>
      <w:sz w:val="22"/>
    </w:rPr>
  </w:style>
  <w:style w:type="character" w:styleId="UnresolvedMention">
    <w:name w:val="Unresolved Mention"/>
    <w:basedOn w:val="DefaultParagraphFont"/>
    <w:uiPriority w:val="99"/>
    <w:rsid w:val="00390848"/>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C60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