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547A" w:rsidP="00BB547A" w14:paraId="74444FF5" w14:textId="50AF8280">
      <w:pPr>
        <w:jc w:val="right"/>
        <w:rPr>
          <w:b/>
          <w:szCs w:val="22"/>
        </w:rPr>
      </w:pPr>
      <w:r>
        <w:rPr>
          <w:b/>
          <w:szCs w:val="22"/>
        </w:rPr>
        <w:t xml:space="preserve">DA </w:t>
      </w:r>
      <w:r w:rsidR="00B12211">
        <w:rPr>
          <w:b/>
          <w:szCs w:val="22"/>
        </w:rPr>
        <w:t>22</w:t>
      </w:r>
      <w:r w:rsidRPr="000B2F4B" w:rsidR="000B2F4B">
        <w:rPr>
          <w:b/>
          <w:szCs w:val="22"/>
        </w:rPr>
        <w:t>-</w:t>
      </w:r>
      <w:r w:rsidR="002D0AA9">
        <w:rPr>
          <w:b/>
          <w:szCs w:val="22"/>
        </w:rPr>
        <w:t>884</w:t>
      </w:r>
    </w:p>
    <w:p w:rsidR="00BB547A" w:rsidP="00BB547A" w14:paraId="7BBC62C9" w14:textId="3DA2A9F4">
      <w:pPr>
        <w:jc w:val="right"/>
        <w:rPr>
          <w:b/>
          <w:szCs w:val="22"/>
        </w:rPr>
      </w:pPr>
      <w:r>
        <w:rPr>
          <w:b/>
          <w:szCs w:val="22"/>
        </w:rPr>
        <w:t>Released:</w:t>
      </w:r>
      <w:r w:rsidR="00D20FCC">
        <w:rPr>
          <w:b/>
          <w:szCs w:val="22"/>
        </w:rPr>
        <w:t xml:space="preserve"> </w:t>
      </w:r>
      <w:r w:rsidR="00FE05CA">
        <w:rPr>
          <w:b/>
          <w:szCs w:val="22"/>
        </w:rPr>
        <w:t>August</w:t>
      </w:r>
      <w:r w:rsidRPr="00F6056F" w:rsidR="00F6056F">
        <w:rPr>
          <w:b/>
          <w:szCs w:val="22"/>
        </w:rPr>
        <w:t xml:space="preserve"> </w:t>
      </w:r>
      <w:r w:rsidR="002D0AA9">
        <w:rPr>
          <w:b/>
          <w:szCs w:val="22"/>
        </w:rPr>
        <w:t>24</w:t>
      </w:r>
      <w:r w:rsidRPr="00F6056F" w:rsidR="00F6056F">
        <w:rPr>
          <w:b/>
          <w:szCs w:val="22"/>
        </w:rPr>
        <w:t>, 2022</w:t>
      </w:r>
    </w:p>
    <w:p w:rsidR="00BB547A" w:rsidP="00BB547A" w14:paraId="0526BD46" w14:textId="77777777">
      <w:pPr>
        <w:jc w:val="right"/>
        <w:rPr>
          <w:szCs w:val="22"/>
        </w:rPr>
      </w:pPr>
    </w:p>
    <w:p w:rsidR="00B0592F" w:rsidRPr="00B0592F" w:rsidP="00B0592F" w14:paraId="23F9CC35" w14:textId="77777777">
      <w:pPr>
        <w:jc w:val="center"/>
        <w:rPr>
          <w:b/>
          <w:szCs w:val="22"/>
        </w:rPr>
      </w:pPr>
      <w:r w:rsidRPr="00B0592F">
        <w:rPr>
          <w:b/>
          <w:szCs w:val="22"/>
        </w:rPr>
        <w:t xml:space="preserve">PUBLIC SAFETY AND HOMELAND SECURITY BUREAU APPROVES </w:t>
      </w:r>
    </w:p>
    <w:p w:rsidR="00BB547A" w:rsidP="00B0592F" w14:paraId="3A37CA79" w14:textId="67E738A1">
      <w:pPr>
        <w:jc w:val="center"/>
        <w:rPr>
          <w:b/>
          <w:szCs w:val="22"/>
        </w:rPr>
      </w:pPr>
      <w:r w:rsidRPr="00B0592F">
        <w:rPr>
          <w:b/>
          <w:szCs w:val="22"/>
        </w:rPr>
        <w:t>REGION 3</w:t>
      </w:r>
      <w:r w:rsidR="0030427F">
        <w:rPr>
          <w:b/>
          <w:szCs w:val="22"/>
        </w:rPr>
        <w:t>9</w:t>
      </w:r>
      <w:r w:rsidRPr="00B0592F">
        <w:rPr>
          <w:b/>
          <w:szCs w:val="22"/>
        </w:rPr>
        <w:t xml:space="preserve"> (</w:t>
      </w:r>
      <w:r w:rsidR="0030427F">
        <w:rPr>
          <w:b/>
          <w:szCs w:val="22"/>
        </w:rPr>
        <w:t>T</w:t>
      </w:r>
      <w:r w:rsidR="00C52F17">
        <w:rPr>
          <w:b/>
          <w:szCs w:val="22"/>
        </w:rPr>
        <w:t>ENNESSEE</w:t>
      </w:r>
      <w:r w:rsidRPr="00B0592F">
        <w:rPr>
          <w:b/>
          <w:szCs w:val="22"/>
        </w:rPr>
        <w:t>) 800 MHZ NPSPAC REGIONAL PLAN AMENDMENT</w:t>
      </w:r>
      <w:r w:rsidRPr="00EB6FED" w:rsidR="00EB6FED">
        <w:rPr>
          <w:b/>
          <w:szCs w:val="22"/>
        </w:rPr>
        <w:t xml:space="preserve"> </w:t>
      </w:r>
    </w:p>
    <w:p w:rsidR="008779BD" w:rsidP="008779BD" w14:paraId="4B6E064C" w14:textId="77777777">
      <w:pPr>
        <w:jc w:val="center"/>
        <w:rPr>
          <w:b/>
          <w:szCs w:val="22"/>
        </w:rPr>
      </w:pPr>
    </w:p>
    <w:p w:rsidR="00FB0537" w:rsidP="008779BD" w14:paraId="12160E37" w14:textId="64615BD6">
      <w:pPr>
        <w:jc w:val="center"/>
        <w:rPr>
          <w:b/>
          <w:szCs w:val="22"/>
        </w:rPr>
      </w:pPr>
      <w:r w:rsidRPr="00FB0537">
        <w:rPr>
          <w:b/>
          <w:szCs w:val="22"/>
        </w:rPr>
        <w:t>PR Docket No.</w:t>
      </w:r>
      <w:r>
        <w:rPr>
          <w:b/>
          <w:szCs w:val="22"/>
        </w:rPr>
        <w:t xml:space="preserve"> </w:t>
      </w:r>
      <w:r w:rsidRPr="0003781A" w:rsidR="0003781A">
        <w:rPr>
          <w:b/>
          <w:szCs w:val="22"/>
        </w:rPr>
        <w:t>9</w:t>
      </w:r>
      <w:r w:rsidR="003051E4">
        <w:rPr>
          <w:b/>
          <w:szCs w:val="22"/>
        </w:rPr>
        <w:t>3</w:t>
      </w:r>
      <w:r w:rsidRPr="0003781A" w:rsidR="0003781A">
        <w:rPr>
          <w:b/>
          <w:szCs w:val="22"/>
        </w:rPr>
        <w:t>-</w:t>
      </w:r>
      <w:r w:rsidR="003051E4">
        <w:rPr>
          <w:b/>
          <w:szCs w:val="22"/>
        </w:rPr>
        <w:t>58</w:t>
      </w:r>
    </w:p>
    <w:p w:rsidR="008779BD" w:rsidRPr="001D5890" w:rsidP="008779BD" w14:paraId="792713D1" w14:textId="77777777">
      <w:pPr>
        <w:widowControl/>
        <w:rPr>
          <w:b/>
          <w:bCs/>
          <w:szCs w:val="22"/>
        </w:rPr>
      </w:pPr>
    </w:p>
    <w:p w:rsidR="00702187" w:rsidP="0077330F" w14:paraId="2F7619C8" w14:textId="645DF462">
      <w:pPr>
        <w:widowControl/>
        <w:ind w:firstLine="720"/>
        <w:rPr>
          <w:szCs w:val="22"/>
        </w:rPr>
      </w:pPr>
      <w:r w:rsidRPr="00702187">
        <w:rPr>
          <w:i/>
          <w:iCs/>
          <w:szCs w:val="22"/>
        </w:rPr>
        <w:t>Introduction</w:t>
      </w:r>
      <w:r w:rsidRPr="00702187">
        <w:rPr>
          <w:szCs w:val="22"/>
        </w:rPr>
        <w:t xml:space="preserve">.  </w:t>
      </w:r>
      <w:r w:rsidR="00B65E18">
        <w:rPr>
          <w:szCs w:val="22"/>
        </w:rPr>
        <w:t xml:space="preserve">By this </w:t>
      </w:r>
      <w:r w:rsidR="00B65E18">
        <w:rPr>
          <w:i/>
          <w:szCs w:val="22"/>
        </w:rPr>
        <w:t xml:space="preserve">Public Notice, </w:t>
      </w:r>
      <w:r w:rsidR="00B65E18">
        <w:rPr>
          <w:szCs w:val="22"/>
        </w:rPr>
        <w:t>the Public Safety and Homeland Security Bureau (Bureau) approves the Region 3</w:t>
      </w:r>
      <w:r w:rsidR="003051E4">
        <w:rPr>
          <w:szCs w:val="22"/>
        </w:rPr>
        <w:t>9</w:t>
      </w:r>
      <w:r w:rsidR="00B65E18">
        <w:rPr>
          <w:szCs w:val="22"/>
        </w:rPr>
        <w:t xml:space="preserve"> (</w:t>
      </w:r>
      <w:r w:rsidR="003051E4">
        <w:rPr>
          <w:szCs w:val="22"/>
        </w:rPr>
        <w:t>Tennessee</w:t>
      </w:r>
      <w:r w:rsidR="00B65E18">
        <w:rPr>
          <w:szCs w:val="22"/>
        </w:rPr>
        <w:t>)</w:t>
      </w:r>
      <w:r>
        <w:rPr>
          <w:rStyle w:val="FootnoteReference"/>
          <w:szCs w:val="22"/>
        </w:rPr>
        <w:footnoteReference w:id="3"/>
      </w:r>
      <w:r w:rsidR="00B65E18">
        <w:rPr>
          <w:szCs w:val="22"/>
        </w:rPr>
        <w:t xml:space="preserve"> Regional Planning Committee’s (RPC</w:t>
      </w:r>
      <w:r w:rsidR="003E041B">
        <w:rPr>
          <w:szCs w:val="22"/>
        </w:rPr>
        <w:t>s</w:t>
      </w:r>
      <w:r w:rsidR="00B65E18">
        <w:rPr>
          <w:szCs w:val="22"/>
        </w:rPr>
        <w:t>) proposed modifications to its 800 MHz National Public Safety Planning Advisory Committee (NPSPAC) Plan</w:t>
      </w:r>
      <w:r w:rsidRPr="00702187">
        <w:rPr>
          <w:szCs w:val="22"/>
        </w:rPr>
        <w:t>.</w:t>
      </w:r>
      <w:r>
        <w:rPr>
          <w:rStyle w:val="FootnoteReference"/>
          <w:szCs w:val="22"/>
        </w:rPr>
        <w:footnoteReference w:id="4"/>
      </w:r>
      <w:r w:rsidRPr="00702187">
        <w:rPr>
          <w:szCs w:val="22"/>
        </w:rPr>
        <w:t xml:space="preserve"> </w:t>
      </w:r>
    </w:p>
    <w:p w:rsidR="00D77B20" w:rsidP="0077330F" w14:paraId="10A15F67" w14:textId="19D5AEBD">
      <w:pPr>
        <w:widowControl/>
        <w:ind w:firstLine="720"/>
        <w:rPr>
          <w:szCs w:val="22"/>
        </w:rPr>
      </w:pPr>
    </w:p>
    <w:p w:rsidR="006F2C1A" w:rsidP="0077330F" w14:paraId="6925EDDA" w14:textId="478E75F1">
      <w:pPr>
        <w:widowControl/>
        <w:ind w:firstLine="720"/>
        <w:rPr>
          <w:szCs w:val="22"/>
        </w:rPr>
      </w:pPr>
      <w:r w:rsidRPr="006D0820">
        <w:rPr>
          <w:i/>
          <w:szCs w:val="22"/>
        </w:rPr>
        <w:t>Background</w:t>
      </w:r>
      <w:r>
        <w:rPr>
          <w:szCs w:val="22"/>
        </w:rPr>
        <w:t xml:space="preserve">.  </w:t>
      </w:r>
      <w:r w:rsidR="007F12A0">
        <w:rPr>
          <w:szCs w:val="22"/>
        </w:rPr>
        <w:t>The Commission’s policies require the RPCs to prepare and submit regional plans for public safety use of the NPSPAC band in their respective Regions.</w:t>
      </w:r>
      <w:r>
        <w:rPr>
          <w:rStyle w:val="FootnoteReference"/>
          <w:szCs w:val="22"/>
        </w:rPr>
        <w:footnoteReference w:id="5"/>
      </w:r>
      <w:r w:rsidR="007F12A0">
        <w:rPr>
          <w:szCs w:val="22"/>
        </w:rPr>
        <w:t xml:space="preserve">  The RPCs may update their regional plans as needed to reflect changes in the disposition of NPSPAC channels within the region, technical requirements, or procedures for assigning channels.</w:t>
      </w:r>
      <w:r>
        <w:rPr>
          <w:rStyle w:val="FootnoteReference"/>
          <w:sz w:val="20"/>
        </w:rPr>
        <w:footnoteReference w:id="6"/>
      </w:r>
      <w:r>
        <w:rPr>
          <w:sz w:val="20"/>
        </w:rPr>
        <w:t xml:space="preserve"> </w:t>
      </w:r>
      <w:r>
        <w:rPr>
          <w:szCs w:val="22"/>
        </w:rPr>
        <w:t xml:space="preserve"> </w:t>
      </w:r>
    </w:p>
    <w:p w:rsidR="00D77B20" w:rsidP="0077330F" w14:paraId="359D449B" w14:textId="20EC6E79">
      <w:pPr>
        <w:widowControl/>
        <w:ind w:firstLine="720"/>
        <w:rPr>
          <w:szCs w:val="22"/>
        </w:rPr>
      </w:pPr>
    </w:p>
    <w:p w:rsidR="00CA28A0" w:rsidP="0077330F" w14:paraId="5F6A0400" w14:textId="41B80808">
      <w:pPr>
        <w:widowControl/>
        <w:ind w:firstLine="720"/>
        <w:rPr>
          <w:szCs w:val="22"/>
        </w:rPr>
      </w:pPr>
      <w:r w:rsidRPr="0021757A">
        <w:rPr>
          <w:i/>
          <w:iCs/>
          <w:szCs w:val="22"/>
        </w:rPr>
        <w:t>Region 3</w:t>
      </w:r>
      <w:r w:rsidR="00DA3B8D">
        <w:rPr>
          <w:i/>
          <w:iCs/>
          <w:szCs w:val="22"/>
        </w:rPr>
        <w:t>9</w:t>
      </w:r>
      <w:r w:rsidRPr="0021757A">
        <w:rPr>
          <w:i/>
          <w:iCs/>
          <w:szCs w:val="22"/>
        </w:rPr>
        <w:t xml:space="preserve"> Amendment</w:t>
      </w:r>
      <w:r w:rsidR="0021757A">
        <w:rPr>
          <w:szCs w:val="22"/>
        </w:rPr>
        <w:t xml:space="preserve">.  </w:t>
      </w:r>
      <w:r w:rsidRPr="005F074E" w:rsidR="00CC6173">
        <w:rPr>
          <w:szCs w:val="22"/>
        </w:rPr>
        <w:t xml:space="preserve">On </w:t>
      </w:r>
      <w:r w:rsidR="00CC6173">
        <w:rPr>
          <w:szCs w:val="22"/>
        </w:rPr>
        <w:t>January 2</w:t>
      </w:r>
      <w:r w:rsidRPr="005F074E" w:rsidR="00CC6173">
        <w:rPr>
          <w:szCs w:val="22"/>
        </w:rPr>
        <w:t>1, 20</w:t>
      </w:r>
      <w:r w:rsidR="00CC6173">
        <w:rPr>
          <w:szCs w:val="22"/>
        </w:rPr>
        <w:t>21</w:t>
      </w:r>
      <w:r w:rsidRPr="005F074E" w:rsidR="00CC6173">
        <w:rPr>
          <w:szCs w:val="22"/>
        </w:rPr>
        <w:t xml:space="preserve">, the RPC submitted </w:t>
      </w:r>
      <w:r w:rsidR="00CC6173">
        <w:rPr>
          <w:szCs w:val="22"/>
        </w:rPr>
        <w:t xml:space="preserve">an amendment to the Region 39 - </w:t>
      </w:r>
      <w:r w:rsidRPr="005F074E" w:rsidR="00CC6173">
        <w:rPr>
          <w:szCs w:val="22"/>
        </w:rPr>
        <w:t xml:space="preserve">800 MHz NPSPAC Plan.  </w:t>
      </w:r>
      <w:r w:rsidR="00CC6173">
        <w:rPr>
          <w:szCs w:val="22"/>
        </w:rPr>
        <w:t>In its amendment, t</w:t>
      </w:r>
      <w:r w:rsidRPr="005F074E" w:rsidR="00CC6173">
        <w:rPr>
          <w:szCs w:val="22"/>
        </w:rPr>
        <w:t xml:space="preserve">he </w:t>
      </w:r>
      <w:r w:rsidR="00CC6173">
        <w:rPr>
          <w:szCs w:val="22"/>
        </w:rPr>
        <w:t xml:space="preserve">RPC </w:t>
      </w:r>
      <w:r w:rsidRPr="005F074E" w:rsidR="00CC6173">
        <w:rPr>
          <w:szCs w:val="22"/>
        </w:rPr>
        <w:t xml:space="preserve">proposes to </w:t>
      </w:r>
      <w:r w:rsidR="00CC6173">
        <w:rPr>
          <w:szCs w:val="22"/>
        </w:rPr>
        <w:t>assign additional NSPAC channels to Davidson County (Appendix D) and modify the text of the plan to, among other things:</w:t>
      </w:r>
    </w:p>
    <w:p w:rsidR="00CA28A0" w:rsidP="0077330F" w14:paraId="069D3079" w14:textId="77777777">
      <w:pPr>
        <w:widowControl/>
        <w:ind w:firstLine="720"/>
        <w:rPr>
          <w:szCs w:val="22"/>
        </w:rPr>
      </w:pPr>
    </w:p>
    <w:p w:rsidR="00B83724" w:rsidP="0077330F" w14:paraId="75F0B9EA" w14:textId="77777777">
      <w:pPr>
        <w:pStyle w:val="ListParagraph"/>
        <w:widowControl/>
        <w:numPr>
          <w:ilvl w:val="0"/>
          <w:numId w:val="14"/>
        </w:numPr>
        <w:spacing w:after="120"/>
        <w:ind w:left="1498"/>
        <w:contextualSpacing w:val="0"/>
        <w:rPr>
          <w:szCs w:val="22"/>
        </w:rPr>
      </w:pPr>
      <w:r>
        <w:rPr>
          <w:szCs w:val="22"/>
        </w:rPr>
        <w:t>Update section 3.4.3 by adding “in-building” coverage as a variable for determining system coverage;</w:t>
      </w:r>
      <w:r>
        <w:rPr>
          <w:rStyle w:val="FootnoteReference"/>
          <w:szCs w:val="22"/>
        </w:rPr>
        <w:footnoteReference w:id="7"/>
      </w:r>
      <w:r>
        <w:rPr>
          <w:szCs w:val="22"/>
        </w:rPr>
        <w:t xml:space="preserve"> </w:t>
      </w:r>
    </w:p>
    <w:p w:rsidR="00B83724" w:rsidP="0077330F" w14:paraId="2F1934FB" w14:textId="77777777">
      <w:pPr>
        <w:pStyle w:val="ListParagraph"/>
        <w:widowControl/>
        <w:numPr>
          <w:ilvl w:val="0"/>
          <w:numId w:val="14"/>
        </w:numPr>
        <w:spacing w:after="120"/>
        <w:ind w:left="1498"/>
        <w:contextualSpacing w:val="0"/>
        <w:rPr>
          <w:szCs w:val="22"/>
        </w:rPr>
      </w:pPr>
      <w:r>
        <w:rPr>
          <w:szCs w:val="22"/>
        </w:rPr>
        <w:t>Modify the ways an entity can define its coverage area in section 3.4.5;</w:t>
      </w:r>
      <w:r>
        <w:rPr>
          <w:rStyle w:val="FootnoteReference"/>
          <w:szCs w:val="22"/>
        </w:rPr>
        <w:footnoteReference w:id="8"/>
      </w:r>
    </w:p>
    <w:p w:rsidR="00B83724" w:rsidP="0077330F" w14:paraId="75124C09" w14:textId="77777777">
      <w:pPr>
        <w:pStyle w:val="ListParagraph"/>
        <w:widowControl/>
        <w:numPr>
          <w:ilvl w:val="0"/>
          <w:numId w:val="14"/>
        </w:numPr>
        <w:spacing w:after="120"/>
        <w:ind w:left="1498"/>
        <w:contextualSpacing w:val="0"/>
        <w:rPr>
          <w:szCs w:val="22"/>
        </w:rPr>
      </w:pPr>
      <w:r>
        <w:rPr>
          <w:szCs w:val="22"/>
        </w:rPr>
        <w:t xml:space="preserve">Specify in section 3.4.8 that use of the five nationwide interoperability channel pairs will be coordinated with adjacent </w:t>
      </w:r>
      <w:r>
        <w:rPr>
          <w:szCs w:val="22"/>
        </w:rPr>
        <w:t>regions;</w:t>
      </w:r>
      <w:r>
        <w:rPr>
          <w:rStyle w:val="FootnoteReference"/>
          <w:szCs w:val="22"/>
        </w:rPr>
        <w:footnoteReference w:id="9"/>
      </w:r>
      <w:r>
        <w:rPr>
          <w:szCs w:val="22"/>
        </w:rPr>
        <w:t xml:space="preserve"> </w:t>
      </w:r>
    </w:p>
    <w:p w:rsidR="00411190" w:rsidP="0077330F" w14:paraId="045A398E" w14:textId="77777777">
      <w:pPr>
        <w:pStyle w:val="ListParagraph"/>
        <w:widowControl/>
        <w:numPr>
          <w:ilvl w:val="0"/>
          <w:numId w:val="14"/>
        </w:numPr>
        <w:spacing w:after="120"/>
        <w:ind w:left="1498"/>
        <w:contextualSpacing w:val="0"/>
        <w:rPr>
          <w:szCs w:val="22"/>
        </w:rPr>
      </w:pPr>
      <w:r>
        <w:rPr>
          <w:szCs w:val="22"/>
        </w:rPr>
        <w:t xml:space="preserve">Give special consideration to licensees seeking mobile repeater (MO3) operation on NPSPAC channels </w:t>
      </w:r>
      <w:r>
        <w:rPr>
          <w:szCs w:val="22"/>
        </w:rPr>
        <w:t>in order to</w:t>
      </w:r>
      <w:r>
        <w:rPr>
          <w:szCs w:val="22"/>
        </w:rPr>
        <w:t xml:space="preserve"> ensure proper frequency separation;</w:t>
      </w:r>
      <w:r>
        <w:rPr>
          <w:rStyle w:val="FootnoteReference"/>
          <w:szCs w:val="22"/>
        </w:rPr>
        <w:footnoteReference w:id="10"/>
      </w:r>
      <w:r>
        <w:rPr>
          <w:szCs w:val="22"/>
        </w:rPr>
        <w:t xml:space="preserve"> </w:t>
      </w:r>
    </w:p>
    <w:p w:rsidR="00411190" w:rsidP="0077330F" w14:paraId="145EAEB7" w14:textId="77777777">
      <w:pPr>
        <w:pStyle w:val="ListParagraph"/>
        <w:widowControl/>
        <w:numPr>
          <w:ilvl w:val="0"/>
          <w:numId w:val="14"/>
        </w:numPr>
        <w:spacing w:after="120"/>
        <w:ind w:left="1498"/>
        <w:contextualSpacing w:val="0"/>
        <w:rPr>
          <w:szCs w:val="22"/>
        </w:rPr>
      </w:pPr>
      <w:r>
        <w:rPr>
          <w:szCs w:val="22"/>
        </w:rPr>
        <w:t>Clarify criteria for determining co-channel or adjacent-channel interference;</w:t>
      </w:r>
      <w:r>
        <w:rPr>
          <w:rStyle w:val="FootnoteReference"/>
          <w:szCs w:val="22"/>
        </w:rPr>
        <w:footnoteReference w:id="11"/>
      </w:r>
    </w:p>
    <w:p w:rsidR="00411190" w:rsidP="0077330F" w14:paraId="0F6169D1" w14:textId="77777777">
      <w:pPr>
        <w:pStyle w:val="ListParagraph"/>
        <w:widowControl/>
        <w:numPr>
          <w:ilvl w:val="0"/>
          <w:numId w:val="14"/>
        </w:numPr>
        <w:spacing w:after="120"/>
        <w:ind w:left="1498"/>
        <w:contextualSpacing w:val="0"/>
        <w:rPr>
          <w:szCs w:val="22"/>
        </w:rPr>
      </w:pPr>
      <w:r>
        <w:rPr>
          <w:szCs w:val="22"/>
        </w:rPr>
        <w:t>Revise section 4.1.5 to prohibit use of encryption on the nationwide interoperability tactical channels per the Commission’s rules;</w:t>
      </w:r>
      <w:r>
        <w:rPr>
          <w:rStyle w:val="FootnoteReference"/>
          <w:szCs w:val="22"/>
        </w:rPr>
        <w:footnoteReference w:id="12"/>
      </w:r>
    </w:p>
    <w:p w:rsidR="00411190" w:rsidP="0077330F" w14:paraId="27252768" w14:textId="77777777">
      <w:pPr>
        <w:pStyle w:val="ListParagraph"/>
        <w:widowControl/>
        <w:numPr>
          <w:ilvl w:val="0"/>
          <w:numId w:val="14"/>
        </w:numPr>
        <w:spacing w:after="120"/>
        <w:ind w:left="1498"/>
        <w:contextualSpacing w:val="0"/>
        <w:rPr>
          <w:szCs w:val="22"/>
        </w:rPr>
      </w:pPr>
      <w:r>
        <w:rPr>
          <w:szCs w:val="22"/>
        </w:rPr>
        <w:t>Clarify in section 4.3 that the nationwide interoperability channels may not be used as trunked channels in a trunked radio network;</w:t>
      </w:r>
      <w:r>
        <w:rPr>
          <w:rStyle w:val="FootnoteReference"/>
          <w:szCs w:val="22"/>
        </w:rPr>
        <w:footnoteReference w:id="13"/>
      </w:r>
    </w:p>
    <w:p w:rsidR="00411190" w:rsidP="0077330F" w14:paraId="57658843" w14:textId="77777777">
      <w:pPr>
        <w:pStyle w:val="ListParagraph"/>
        <w:widowControl/>
        <w:numPr>
          <w:ilvl w:val="0"/>
          <w:numId w:val="14"/>
        </w:numPr>
        <w:spacing w:after="120"/>
        <w:ind w:left="1498"/>
        <w:contextualSpacing w:val="0"/>
        <w:rPr>
          <w:szCs w:val="22"/>
        </w:rPr>
      </w:pPr>
      <w:r>
        <w:rPr>
          <w:szCs w:val="22"/>
        </w:rPr>
        <w:t>Add a new section 4.7 to clarify acceptable emissions for analog and digital radio systems; and</w:t>
      </w:r>
      <w:r>
        <w:rPr>
          <w:rStyle w:val="FootnoteReference"/>
          <w:szCs w:val="22"/>
        </w:rPr>
        <w:footnoteReference w:id="14"/>
      </w:r>
    </w:p>
    <w:p w:rsidR="00B602BF" w:rsidP="0077330F" w14:paraId="1B25E1E1" w14:textId="679324BD">
      <w:pPr>
        <w:pStyle w:val="ListParagraph"/>
        <w:widowControl/>
        <w:numPr>
          <w:ilvl w:val="0"/>
          <w:numId w:val="14"/>
        </w:numPr>
        <w:ind w:left="1498"/>
        <w:contextualSpacing w:val="0"/>
        <w:rPr>
          <w:szCs w:val="22"/>
        </w:rPr>
      </w:pPr>
      <w:r>
        <w:rPr>
          <w:szCs w:val="22"/>
        </w:rPr>
        <w:t>Add additional language to section 5.2 detailing the region’s frequency allocation process.</w:t>
      </w:r>
      <w:r>
        <w:rPr>
          <w:rStyle w:val="FootnoteReference"/>
          <w:szCs w:val="22"/>
        </w:rPr>
        <w:footnoteReference w:id="15"/>
      </w:r>
    </w:p>
    <w:p w:rsidR="00BF1076" w:rsidP="0077330F" w14:paraId="33C5B514" w14:textId="77777777">
      <w:pPr>
        <w:widowControl/>
        <w:ind w:firstLine="720"/>
        <w:rPr>
          <w:szCs w:val="22"/>
        </w:rPr>
      </w:pPr>
    </w:p>
    <w:p w:rsidR="00553F7A" w:rsidP="0077330F" w14:paraId="5381513F" w14:textId="6DA159C5">
      <w:pPr>
        <w:widowControl/>
        <w:ind w:firstLine="720"/>
        <w:rPr>
          <w:szCs w:val="22"/>
        </w:rPr>
      </w:pPr>
      <w:r>
        <w:rPr>
          <w:szCs w:val="22"/>
        </w:rPr>
        <w:t xml:space="preserve">Region 39’s RPC received concurrence letters for the proposed Plan Amendment from its eight </w:t>
      </w:r>
      <w:r w:rsidRPr="00F17700">
        <w:rPr>
          <w:szCs w:val="22"/>
        </w:rPr>
        <w:t xml:space="preserve">adjacent </w:t>
      </w:r>
      <w:r>
        <w:rPr>
          <w:szCs w:val="22"/>
        </w:rPr>
        <w:t>regions:</w:t>
      </w:r>
      <w:r w:rsidRPr="00F17700">
        <w:rPr>
          <w:szCs w:val="22"/>
        </w:rPr>
        <w:t xml:space="preserve"> Region 1 (</w:t>
      </w:r>
      <w:r>
        <w:rPr>
          <w:szCs w:val="22"/>
        </w:rPr>
        <w:t>Alabama</w:t>
      </w:r>
      <w:r w:rsidRPr="00F17700">
        <w:rPr>
          <w:szCs w:val="22"/>
        </w:rPr>
        <w:t xml:space="preserve">), Region </w:t>
      </w:r>
      <w:r>
        <w:rPr>
          <w:szCs w:val="22"/>
        </w:rPr>
        <w:t>4</w:t>
      </w:r>
      <w:r w:rsidRPr="00F17700">
        <w:rPr>
          <w:szCs w:val="22"/>
        </w:rPr>
        <w:t xml:space="preserve"> (</w:t>
      </w:r>
      <w:r>
        <w:rPr>
          <w:szCs w:val="22"/>
        </w:rPr>
        <w:t>Arkansas</w:t>
      </w:r>
      <w:r w:rsidRPr="00F17700">
        <w:rPr>
          <w:szCs w:val="22"/>
        </w:rPr>
        <w:t xml:space="preserve">); </w:t>
      </w:r>
      <w:r>
        <w:rPr>
          <w:szCs w:val="22"/>
        </w:rPr>
        <w:t xml:space="preserve">Region 10 (Georgia); </w:t>
      </w:r>
      <w:r w:rsidRPr="00F17700">
        <w:rPr>
          <w:szCs w:val="22"/>
        </w:rPr>
        <w:t xml:space="preserve">Region </w:t>
      </w:r>
      <w:r>
        <w:rPr>
          <w:szCs w:val="22"/>
        </w:rPr>
        <w:t>17</w:t>
      </w:r>
      <w:r w:rsidRPr="00F17700">
        <w:rPr>
          <w:szCs w:val="22"/>
        </w:rPr>
        <w:t xml:space="preserve"> (</w:t>
      </w:r>
      <w:r>
        <w:rPr>
          <w:szCs w:val="22"/>
        </w:rPr>
        <w:t>Kentucky</w:t>
      </w:r>
      <w:r w:rsidRPr="00F17700">
        <w:rPr>
          <w:szCs w:val="22"/>
        </w:rPr>
        <w:t xml:space="preserve">); Region </w:t>
      </w:r>
      <w:r>
        <w:rPr>
          <w:szCs w:val="22"/>
        </w:rPr>
        <w:t>23</w:t>
      </w:r>
      <w:r w:rsidRPr="00F17700">
        <w:rPr>
          <w:szCs w:val="22"/>
        </w:rPr>
        <w:t xml:space="preserve"> (</w:t>
      </w:r>
      <w:r>
        <w:rPr>
          <w:szCs w:val="22"/>
        </w:rPr>
        <w:t xml:space="preserve">Mississippi); Region 24 (Missouri); Region 31 (North Carolina); and Region 42 (Virginia – except counties in </w:t>
      </w:r>
      <w:r>
        <w:rPr>
          <w:szCs w:val="22"/>
        </w:rPr>
        <w:t>Region</w:t>
      </w:r>
      <w:r>
        <w:rPr>
          <w:szCs w:val="22"/>
        </w:rPr>
        <w:t xml:space="preserve"> 20) as well as from two non-border regions: Region 37 (South Carolina) and Region 44 (West Virginia).</w:t>
      </w:r>
      <w:r>
        <w:rPr>
          <w:rStyle w:val="FootnoteReference"/>
          <w:szCs w:val="22"/>
        </w:rPr>
        <w:footnoteReference w:id="16"/>
      </w:r>
    </w:p>
    <w:p w:rsidR="001C2829" w:rsidP="0077330F" w14:paraId="61FDDE5D" w14:textId="77777777">
      <w:pPr>
        <w:widowControl/>
        <w:ind w:firstLine="720"/>
        <w:rPr>
          <w:szCs w:val="22"/>
        </w:rPr>
      </w:pPr>
    </w:p>
    <w:p w:rsidR="00F7217F" w:rsidP="0077330F" w14:paraId="278C83DD" w14:textId="0352C634">
      <w:pPr>
        <w:widowControl/>
        <w:spacing w:after="120"/>
        <w:ind w:right="720" w:firstLine="720"/>
        <w:rPr>
          <w:szCs w:val="22"/>
        </w:rPr>
      </w:pPr>
      <w:r>
        <w:rPr>
          <w:szCs w:val="22"/>
        </w:rPr>
        <w:t xml:space="preserve">On June 16, 2022, the Bureau released a </w:t>
      </w:r>
      <w:r>
        <w:rPr>
          <w:i/>
          <w:szCs w:val="22"/>
        </w:rPr>
        <w:t xml:space="preserve">Public Notice </w:t>
      </w:r>
      <w:r>
        <w:rPr>
          <w:szCs w:val="22"/>
        </w:rPr>
        <w:t>seeking comment on the amended Region 3</w:t>
      </w:r>
      <w:r w:rsidR="00CA564D">
        <w:rPr>
          <w:szCs w:val="22"/>
        </w:rPr>
        <w:t>9</w:t>
      </w:r>
      <w:r>
        <w:rPr>
          <w:szCs w:val="22"/>
        </w:rPr>
        <w:t xml:space="preserve"> Plan.</w:t>
      </w:r>
      <w:r>
        <w:rPr>
          <w:rStyle w:val="FootnoteReference"/>
          <w:szCs w:val="22"/>
        </w:rPr>
        <w:footnoteReference w:id="17"/>
      </w:r>
      <w:r>
        <w:rPr>
          <w:i/>
          <w:szCs w:val="22"/>
        </w:rPr>
        <w:t xml:space="preserve">  </w:t>
      </w:r>
      <w:r>
        <w:rPr>
          <w:szCs w:val="22"/>
        </w:rPr>
        <w:t xml:space="preserve">We received one comment from </w:t>
      </w:r>
      <w:r w:rsidRPr="001F1FF4">
        <w:rPr>
          <w:szCs w:val="22"/>
        </w:rPr>
        <w:t xml:space="preserve">NRPC Chairman, Charles V. Bryson in support of </w:t>
      </w:r>
      <w:r w:rsidRPr="001F1FF4">
        <w:rPr>
          <w:szCs w:val="22"/>
        </w:rPr>
        <w:t>Region</w:t>
      </w:r>
      <w:r w:rsidRPr="001F1FF4">
        <w:rPr>
          <w:szCs w:val="22"/>
        </w:rPr>
        <w:t xml:space="preserve"> 3</w:t>
      </w:r>
      <w:r w:rsidR="004536CB">
        <w:rPr>
          <w:szCs w:val="22"/>
        </w:rPr>
        <w:t>9</w:t>
      </w:r>
      <w:r w:rsidRPr="001F1FF4">
        <w:rPr>
          <w:szCs w:val="22"/>
        </w:rPr>
        <w:t xml:space="preserve"> proposed modifications</w:t>
      </w:r>
      <w:r>
        <w:rPr>
          <w:szCs w:val="22"/>
        </w:rPr>
        <w:t>.</w:t>
      </w:r>
      <w:r>
        <w:rPr>
          <w:rStyle w:val="FootnoteReference"/>
          <w:szCs w:val="22"/>
        </w:rPr>
        <w:footnoteReference w:id="18"/>
      </w:r>
      <w:r>
        <w:rPr>
          <w:szCs w:val="22"/>
        </w:rPr>
        <w:t xml:space="preserve">  We have reviewed the Region 3</w:t>
      </w:r>
      <w:r w:rsidR="001B092B">
        <w:rPr>
          <w:szCs w:val="22"/>
        </w:rPr>
        <w:t>9</w:t>
      </w:r>
      <w:r>
        <w:rPr>
          <w:szCs w:val="22"/>
        </w:rPr>
        <w:t xml:space="preserve"> NPSPAC Plan Amendment, and conclude, based on the information before us that it complies with FCC rules and policies.  </w:t>
      </w:r>
    </w:p>
    <w:p w:rsidR="003346EB" w:rsidP="0077330F" w14:paraId="6F3C458E" w14:textId="3C0699FD">
      <w:pPr>
        <w:widowControl/>
        <w:ind w:firstLine="720"/>
        <w:rPr>
          <w:szCs w:val="22"/>
        </w:rPr>
      </w:pPr>
      <w:r w:rsidRPr="003346EB">
        <w:rPr>
          <w:szCs w:val="22"/>
        </w:rPr>
        <w:t>Accordingly, pursuant to Section 4(</w:t>
      </w:r>
      <w:r w:rsidRPr="003346EB">
        <w:rPr>
          <w:szCs w:val="22"/>
        </w:rPr>
        <w:t>i</w:t>
      </w:r>
      <w:r w:rsidRPr="003346EB">
        <w:rPr>
          <w:szCs w:val="22"/>
        </w:rPr>
        <w:t>) of the Communications Act of 1934, as amended, 47 U.S.C. § 154(</w:t>
      </w:r>
      <w:r w:rsidRPr="003346EB">
        <w:rPr>
          <w:szCs w:val="22"/>
        </w:rPr>
        <w:t>i</w:t>
      </w:r>
      <w:r w:rsidRPr="003346EB">
        <w:rPr>
          <w:szCs w:val="22"/>
        </w:rPr>
        <w:t>), and Section 1.102(b) of the Commission’s rules, 47 CFR § 1.102(b), the Region 3</w:t>
      </w:r>
      <w:r w:rsidR="001B092B">
        <w:rPr>
          <w:szCs w:val="22"/>
        </w:rPr>
        <w:t>9</w:t>
      </w:r>
      <w:r w:rsidRPr="003346EB">
        <w:rPr>
          <w:szCs w:val="22"/>
        </w:rPr>
        <w:t xml:space="preserve"> (</w:t>
      </w:r>
      <w:r w:rsidR="00EE3BBC">
        <w:rPr>
          <w:szCs w:val="22"/>
        </w:rPr>
        <w:t>Tennessee</w:t>
      </w:r>
      <w:r w:rsidRPr="003346EB">
        <w:rPr>
          <w:szCs w:val="22"/>
        </w:rPr>
        <w:t>) 800 MHz NPSPAC Plan Amendment is APPROVED.</w:t>
      </w:r>
    </w:p>
    <w:p w:rsidR="001141B6" w:rsidRPr="003346EB" w:rsidP="0077330F" w14:paraId="43386BAA" w14:textId="77777777">
      <w:pPr>
        <w:widowControl/>
        <w:ind w:firstLine="720"/>
        <w:rPr>
          <w:szCs w:val="22"/>
        </w:rPr>
      </w:pPr>
    </w:p>
    <w:p w:rsidR="003346EB" w:rsidP="0077330F" w14:paraId="76454202" w14:textId="6687299A">
      <w:pPr>
        <w:widowControl/>
        <w:ind w:firstLine="720"/>
        <w:rPr>
          <w:szCs w:val="22"/>
        </w:rPr>
      </w:pPr>
      <w:r w:rsidRPr="003346EB">
        <w:rPr>
          <w:szCs w:val="22"/>
        </w:rPr>
        <w:tab/>
        <w:t>This action is taken under delegated authority pursuant to Sections 0.191 and 0.392 of the Commission’s rules, 47 CFR §§ 0.191, 0.392.</w:t>
      </w:r>
    </w:p>
    <w:p w:rsidR="001141B6" w:rsidRPr="003346EB" w:rsidP="0077330F" w14:paraId="6A53F8C5" w14:textId="77777777">
      <w:pPr>
        <w:widowControl/>
        <w:ind w:firstLine="720"/>
        <w:rPr>
          <w:szCs w:val="22"/>
        </w:rPr>
      </w:pPr>
    </w:p>
    <w:p w:rsidR="00553F7A" w:rsidP="0077330F" w14:paraId="20ED65A9" w14:textId="7A7AB2AC">
      <w:pPr>
        <w:widowControl/>
        <w:ind w:firstLine="720"/>
        <w:rPr>
          <w:szCs w:val="22"/>
        </w:rPr>
      </w:pPr>
      <w:r w:rsidRPr="003346EB">
        <w:rPr>
          <w:szCs w:val="22"/>
        </w:rPr>
        <w:t>Action by the Chief, Policy and Licensing Division, Public Safety and Homeland Security Bureau</w:t>
      </w:r>
      <w:r w:rsidR="007C573E">
        <w:rPr>
          <w:szCs w:val="22"/>
        </w:rPr>
        <w:t xml:space="preserve"> </w:t>
      </w:r>
    </w:p>
    <w:p w:rsidR="00553F7A" w:rsidP="00553F7A" w14:paraId="4E61B852" w14:textId="77777777">
      <w:pPr>
        <w:rPr>
          <w:szCs w:val="22"/>
        </w:rPr>
      </w:pPr>
    </w:p>
    <w:p w:rsidR="00553F7A" w:rsidP="00553F7A" w14:paraId="15E8F6E9" w14:textId="77777777">
      <w:pPr>
        <w:autoSpaceDE w:val="0"/>
        <w:autoSpaceDN w:val="0"/>
        <w:adjustRightInd w:val="0"/>
        <w:jc w:val="center"/>
        <w:rPr>
          <w:szCs w:val="22"/>
        </w:rPr>
      </w:pPr>
      <w:r>
        <w:rPr>
          <w:szCs w:val="22"/>
        </w:rPr>
        <w:t>- FCC -</w:t>
      </w:r>
    </w:p>
    <w:p w:rsidR="00553F7A" w:rsidP="00553F7A" w14:paraId="2555094F" w14:textId="77777777">
      <w:pPr>
        <w:jc w:val="right"/>
        <w:rPr>
          <w:szCs w:val="22"/>
        </w:rPr>
      </w:pPr>
    </w:p>
    <w:p w:rsidR="00553F7A" w:rsidP="00553F7A" w14:paraId="4A52EC2C" w14:textId="77777777">
      <w:pPr>
        <w:rPr>
          <w:color w:val="000000"/>
          <w:szCs w:val="22"/>
        </w:rPr>
      </w:pPr>
    </w:p>
    <w:p w:rsidR="00553F7A" w:rsidRPr="00F03A6C" w:rsidP="00553F7A" w14:paraId="6A3B30F8" w14:textId="77777777"/>
    <w:p w:rsidR="00702187" w:rsidP="00553F7A" w14:paraId="6F340E60" w14:textId="77777777">
      <w:pPr>
        <w:ind w:firstLine="720"/>
        <w:rPr>
          <w:szCs w:val="22"/>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DB1" w14:paraId="1A189295" w14:textId="77777777">
      <w:r>
        <w:separator/>
      </w:r>
    </w:p>
  </w:footnote>
  <w:footnote w:type="continuationSeparator" w:id="1">
    <w:p w:rsidR="00D95DB1" w14:paraId="3B85DBC1" w14:textId="77777777">
      <w:pPr>
        <w:rPr>
          <w:sz w:val="20"/>
        </w:rPr>
      </w:pPr>
      <w:r>
        <w:rPr>
          <w:sz w:val="20"/>
        </w:rPr>
        <w:t xml:space="preserve">(Continued from previous page)  </w:t>
      </w:r>
      <w:r>
        <w:rPr>
          <w:sz w:val="20"/>
        </w:rPr>
        <w:separator/>
      </w:r>
    </w:p>
  </w:footnote>
  <w:footnote w:type="continuationNotice" w:id="2">
    <w:p w:rsidR="00D95DB1" w14:paraId="1EBA7974" w14:textId="77777777">
      <w:pPr>
        <w:jc w:val="right"/>
        <w:rPr>
          <w:sz w:val="20"/>
        </w:rPr>
      </w:pPr>
      <w:r>
        <w:rPr>
          <w:sz w:val="20"/>
        </w:rPr>
        <w:t>(</w:t>
      </w:r>
      <w:r>
        <w:rPr>
          <w:sz w:val="20"/>
        </w:rPr>
        <w:t>continued</w:t>
      </w:r>
      <w:r>
        <w:rPr>
          <w:sz w:val="20"/>
        </w:rPr>
        <w:t>….)</w:t>
      </w:r>
    </w:p>
  </w:footnote>
  <w:footnote w:id="3">
    <w:p w:rsidR="00B65E18" w:rsidRPr="003C096F" w:rsidP="00B65E18" w14:paraId="6975A43C" w14:textId="2B8F1B11">
      <w:pPr>
        <w:pStyle w:val="FootnoteText"/>
      </w:pPr>
      <w:r w:rsidRPr="003C096F">
        <w:rPr>
          <w:rStyle w:val="FootnoteReference"/>
        </w:rPr>
        <w:footnoteRef/>
      </w:r>
      <w:r w:rsidRPr="003C096F">
        <w:t xml:space="preserve"> The Region 3</w:t>
      </w:r>
      <w:r w:rsidR="003051E4">
        <w:t>9</w:t>
      </w:r>
      <w:r w:rsidRPr="003C096F">
        <w:t xml:space="preserve"> (</w:t>
      </w:r>
      <w:r w:rsidR="003051E4">
        <w:t>Tennessee</w:t>
      </w:r>
      <w:r w:rsidRPr="003C096F">
        <w:t xml:space="preserve">) 800 MHz regional planning area encompasses the entire state of </w:t>
      </w:r>
      <w:r w:rsidR="003051E4">
        <w:t>Ten</w:t>
      </w:r>
      <w:r w:rsidR="007E5E3A">
        <w:t>n</w:t>
      </w:r>
      <w:r w:rsidR="003051E4">
        <w:t>essee</w:t>
      </w:r>
      <w:r w:rsidRPr="003C096F">
        <w:t>.</w:t>
      </w:r>
    </w:p>
  </w:footnote>
  <w:footnote w:id="4">
    <w:p w:rsidR="00DA7D5A" w:rsidRPr="00B5370B" w:rsidP="00DA7D5A" w14:paraId="4171B894" w14:textId="033B87E2">
      <w:pPr>
        <w:pStyle w:val="FootnoteText"/>
      </w:pPr>
      <w:r w:rsidRPr="00DA7D5A">
        <w:rPr>
          <w:rStyle w:val="FootnoteReference"/>
          <w:sz w:val="20"/>
        </w:rPr>
        <w:footnoteRef/>
      </w:r>
      <w:r w:rsidRPr="00DA7D5A">
        <w:t xml:space="preserve"> </w:t>
      </w:r>
      <w:r w:rsidR="00B5370B">
        <w:rPr>
          <w:i/>
          <w:iCs/>
        </w:rPr>
        <w:t>See</w:t>
      </w:r>
      <w:r w:rsidR="00B5370B">
        <w:t xml:space="preserve"> </w:t>
      </w:r>
      <w:r w:rsidR="003D7CB0">
        <w:t>Region 3</w:t>
      </w:r>
      <w:r w:rsidR="003051E4">
        <w:t>9</w:t>
      </w:r>
      <w:r w:rsidR="0042549B">
        <w:t xml:space="preserve"> </w:t>
      </w:r>
      <w:r w:rsidR="00826434">
        <w:t>NPSPAC Plan Update, PR</w:t>
      </w:r>
      <w:r w:rsidRPr="00967F58" w:rsidR="00826434">
        <w:t xml:space="preserve"> Docket No. </w:t>
      </w:r>
      <w:r w:rsidRPr="00644548" w:rsidR="00826434">
        <w:t>93-58</w:t>
      </w:r>
      <w:r w:rsidR="00826434">
        <w:t xml:space="preserve"> (</w:t>
      </w:r>
      <w:r w:rsidRPr="00821830" w:rsidR="00D44CA4">
        <w:t xml:space="preserve">dated Oct. 1, </w:t>
      </w:r>
      <w:r w:rsidRPr="00821830" w:rsidR="00D44CA4">
        <w:t>2020</w:t>
      </w:r>
      <w:r w:rsidRPr="00821830" w:rsidR="00D44CA4">
        <w:t xml:space="preserve"> but filed in the docket on Feb. 24,</w:t>
      </w:r>
      <w:r w:rsidR="00D44CA4">
        <w:br/>
      </w:r>
      <w:r w:rsidRPr="00821830" w:rsidR="00D44CA4">
        <w:t>2021) (Plan Amendment).</w:t>
      </w:r>
    </w:p>
  </w:footnote>
  <w:footnote w:id="5">
    <w:p w:rsidR="007F12A0" w:rsidRPr="00FA312A" w:rsidP="007F12A0" w14:paraId="6BEA46C6" w14:textId="77777777">
      <w:pPr>
        <w:pStyle w:val="FootnoteText"/>
        <w:rPr>
          <w:iCs/>
        </w:rPr>
      </w:pPr>
      <w:r w:rsidRPr="003C096F">
        <w:rPr>
          <w:rStyle w:val="FootnoteReference"/>
        </w:rPr>
        <w:footnoteRef/>
      </w:r>
      <w:r w:rsidRPr="003C096F">
        <w:t xml:space="preserve"> </w:t>
      </w:r>
      <w:r w:rsidRPr="003C096F">
        <w:rPr>
          <w:i/>
          <w:iCs/>
        </w:rPr>
        <w:t>See</w:t>
      </w:r>
      <w:r w:rsidRPr="00136E28">
        <w:rPr>
          <w:i/>
        </w:rPr>
        <w:t xml:space="preserve"> </w:t>
      </w:r>
      <w:r w:rsidRPr="00F04D86">
        <w:rPr>
          <w:iCs/>
        </w:rPr>
        <w:t>47 CFR § 90.16 (no assignments will be made in spectrum designated for the Public Safety National Plan until a regional plan for the area has been accepted by the Commission);</w:t>
      </w:r>
      <w:r w:rsidRPr="00136E28">
        <w:rPr>
          <w:i/>
        </w:rPr>
        <w:t xml:space="preserve"> see also Development and Implementation of a Public Safety National Plan and Amendment of Part 90 to Establish Service Rules and Technical Standards for Use of the 821-824/866-869 MHz Bands by the Public Safety Services, </w:t>
      </w:r>
      <w:r w:rsidRPr="00EE2547">
        <w:rPr>
          <w:iCs/>
        </w:rPr>
        <w:t xml:space="preserve">Gen. Docket No. 87-112, Report and Order, 3 FCC </w:t>
      </w:r>
      <w:r w:rsidRPr="00EE2547">
        <w:rPr>
          <w:iCs/>
        </w:rPr>
        <w:t>Rcd</w:t>
      </w:r>
      <w:r w:rsidRPr="00136E28">
        <w:rPr>
          <w:i/>
        </w:rPr>
        <w:t xml:space="preserve"> 905 (1987) (National Plan Report and Order</w:t>
      </w:r>
      <w:r w:rsidRPr="00FA312A">
        <w:rPr>
          <w:iCs/>
        </w:rPr>
        <w:t>).</w:t>
      </w:r>
    </w:p>
  </w:footnote>
  <w:footnote w:id="6">
    <w:p w:rsidR="007F12A0" w:rsidRPr="003C096F" w:rsidP="007F12A0" w14:paraId="15AA1304" w14:textId="77777777">
      <w:pPr>
        <w:pStyle w:val="FootnoteText"/>
      </w:pPr>
      <w:r w:rsidRPr="003C096F">
        <w:rPr>
          <w:rStyle w:val="FootnoteReference"/>
        </w:rPr>
        <w:footnoteRef/>
      </w:r>
      <w:r w:rsidRPr="003C096F">
        <w:t xml:space="preserve"> </w:t>
      </w:r>
      <w:r w:rsidRPr="003C096F">
        <w:rPr>
          <w:i/>
        </w:rPr>
        <w:t>See National Plan Report and Order</w:t>
      </w:r>
      <w:r w:rsidRPr="003C096F">
        <w:t xml:space="preserve">, 3 FCC </w:t>
      </w:r>
      <w:r w:rsidRPr="003C096F">
        <w:t>Rcd</w:t>
      </w:r>
      <w:r w:rsidRPr="003C096F">
        <w:t xml:space="preserve"> at 911 </w:t>
      </w:r>
      <w:r>
        <w:t xml:space="preserve">para. </w:t>
      </w:r>
      <w:r w:rsidRPr="003C096F">
        <w:t>57.</w:t>
      </w:r>
    </w:p>
  </w:footnote>
  <w:footnote w:id="7">
    <w:p w:rsidR="00B83724" w:rsidP="00B83724" w14:paraId="59FBE0B7" w14:textId="77777777">
      <w:pPr>
        <w:pStyle w:val="FootnoteText"/>
      </w:pPr>
      <w:r>
        <w:rPr>
          <w:rStyle w:val="FootnoteReference"/>
        </w:rPr>
        <w:footnoteRef/>
      </w:r>
      <w:r>
        <w:t xml:space="preserve"> Plan Amendment at 9-10.</w:t>
      </w:r>
    </w:p>
  </w:footnote>
  <w:footnote w:id="8">
    <w:p w:rsidR="00B83724" w:rsidP="00B83724" w14:paraId="2EE8B89A" w14:textId="77777777">
      <w:pPr>
        <w:pStyle w:val="FootnoteText"/>
      </w:pPr>
      <w:r>
        <w:rPr>
          <w:rStyle w:val="FootnoteReference"/>
        </w:rPr>
        <w:footnoteRef/>
      </w:r>
      <w:r>
        <w:t xml:space="preserve"> </w:t>
      </w:r>
      <w:r w:rsidRPr="005676E2">
        <w:rPr>
          <w:i/>
          <w:iCs/>
        </w:rPr>
        <w:t>Id</w:t>
      </w:r>
      <w:r>
        <w:t>. at 11.</w:t>
      </w:r>
    </w:p>
  </w:footnote>
  <w:footnote w:id="9">
    <w:p w:rsidR="00B83724" w:rsidP="00B83724" w14:paraId="30FEC9E8" w14:textId="77777777">
      <w:pPr>
        <w:pStyle w:val="FootnoteText"/>
      </w:pPr>
      <w:r>
        <w:rPr>
          <w:rStyle w:val="FootnoteReference"/>
        </w:rPr>
        <w:footnoteRef/>
      </w:r>
      <w:r>
        <w:t xml:space="preserve"> </w:t>
      </w:r>
      <w:r w:rsidRPr="005676E2">
        <w:rPr>
          <w:i/>
          <w:iCs/>
        </w:rPr>
        <w:t>Id</w:t>
      </w:r>
      <w:r>
        <w:t>. at 11-12.</w:t>
      </w:r>
    </w:p>
  </w:footnote>
  <w:footnote w:id="10">
    <w:p w:rsidR="00411190" w:rsidP="00411190" w14:paraId="65FFFF80" w14:textId="77777777">
      <w:pPr>
        <w:pStyle w:val="FootnoteText"/>
      </w:pPr>
      <w:r>
        <w:rPr>
          <w:rStyle w:val="FootnoteReference"/>
        </w:rPr>
        <w:footnoteRef/>
      </w:r>
      <w:r>
        <w:t xml:space="preserve"> </w:t>
      </w:r>
      <w:r w:rsidRPr="005676E2">
        <w:rPr>
          <w:i/>
          <w:iCs/>
        </w:rPr>
        <w:t>Id</w:t>
      </w:r>
      <w:r>
        <w:t>. at 13.</w:t>
      </w:r>
    </w:p>
  </w:footnote>
  <w:footnote w:id="11">
    <w:p w:rsidR="00411190" w:rsidP="00411190" w14:paraId="28F9B708" w14:textId="77777777">
      <w:pPr>
        <w:pStyle w:val="FootnoteText"/>
      </w:pPr>
      <w:r>
        <w:rPr>
          <w:rStyle w:val="FootnoteReference"/>
        </w:rPr>
        <w:footnoteRef/>
      </w:r>
      <w:r>
        <w:t xml:space="preserve"> </w:t>
      </w:r>
      <w:r w:rsidRPr="005676E2">
        <w:rPr>
          <w:i/>
          <w:iCs/>
        </w:rPr>
        <w:t>Id</w:t>
      </w:r>
      <w:r>
        <w:t>. at 13-14.</w:t>
      </w:r>
    </w:p>
  </w:footnote>
  <w:footnote w:id="12">
    <w:p w:rsidR="00411190" w:rsidP="00411190" w14:paraId="0EEF661B" w14:textId="77777777">
      <w:pPr>
        <w:pStyle w:val="FootnoteText"/>
      </w:pPr>
      <w:r>
        <w:rPr>
          <w:rStyle w:val="FootnoteReference"/>
        </w:rPr>
        <w:footnoteRef/>
      </w:r>
      <w:r>
        <w:t xml:space="preserve"> </w:t>
      </w:r>
      <w:r w:rsidRPr="005676E2">
        <w:rPr>
          <w:i/>
          <w:iCs/>
        </w:rPr>
        <w:t>Id</w:t>
      </w:r>
      <w:r>
        <w:t>. at 17-18.</w:t>
      </w:r>
    </w:p>
  </w:footnote>
  <w:footnote w:id="13">
    <w:p w:rsidR="00411190" w:rsidP="00411190" w14:paraId="112CD621" w14:textId="77777777">
      <w:pPr>
        <w:pStyle w:val="FootnoteText"/>
      </w:pPr>
      <w:r>
        <w:rPr>
          <w:rStyle w:val="FootnoteReference"/>
        </w:rPr>
        <w:footnoteRef/>
      </w:r>
      <w:r>
        <w:t xml:space="preserve"> </w:t>
      </w:r>
      <w:r w:rsidRPr="005676E2">
        <w:rPr>
          <w:i/>
          <w:iCs/>
        </w:rPr>
        <w:t>Id</w:t>
      </w:r>
      <w:r>
        <w:t>. at 18-19.</w:t>
      </w:r>
    </w:p>
  </w:footnote>
  <w:footnote w:id="14">
    <w:p w:rsidR="00411190" w:rsidP="00411190" w14:paraId="001F6BEF" w14:textId="77777777">
      <w:pPr>
        <w:pStyle w:val="FootnoteText"/>
      </w:pPr>
      <w:r>
        <w:rPr>
          <w:rStyle w:val="FootnoteReference"/>
        </w:rPr>
        <w:footnoteRef/>
      </w:r>
      <w:r>
        <w:t xml:space="preserve"> </w:t>
      </w:r>
      <w:r w:rsidRPr="005676E2">
        <w:rPr>
          <w:i/>
          <w:iCs/>
        </w:rPr>
        <w:t>Id</w:t>
      </w:r>
      <w:r>
        <w:t>. at 21.</w:t>
      </w:r>
    </w:p>
  </w:footnote>
  <w:footnote w:id="15">
    <w:p w:rsidR="00411190" w:rsidP="00411190" w14:paraId="507C6F4A" w14:textId="77777777">
      <w:pPr>
        <w:pStyle w:val="FootnoteText"/>
      </w:pPr>
      <w:r>
        <w:rPr>
          <w:rStyle w:val="FootnoteReference"/>
        </w:rPr>
        <w:footnoteRef/>
      </w:r>
      <w:r>
        <w:t xml:space="preserve"> </w:t>
      </w:r>
      <w:r w:rsidRPr="005676E2">
        <w:rPr>
          <w:i/>
          <w:iCs/>
        </w:rPr>
        <w:t>Id</w:t>
      </w:r>
      <w:r>
        <w:t>. at 22-23.</w:t>
      </w:r>
    </w:p>
  </w:footnote>
  <w:footnote w:id="16">
    <w:p w:rsidR="001C2829" w:rsidP="001C2829" w14:paraId="25295FCA" w14:textId="77777777">
      <w:pPr>
        <w:pStyle w:val="FootnoteText"/>
      </w:pPr>
      <w:r>
        <w:rPr>
          <w:rStyle w:val="FootnoteReference"/>
        </w:rPr>
        <w:footnoteRef/>
      </w:r>
      <w:r>
        <w:rPr>
          <w:i/>
          <w:iCs/>
        </w:rPr>
        <w:t xml:space="preserve">See </w:t>
      </w:r>
      <w:r>
        <w:t xml:space="preserve">Letter from Richard E. </w:t>
      </w:r>
      <w:r>
        <w:t>Ranson</w:t>
      </w:r>
      <w:r>
        <w:t xml:space="preserve">, Chairman Region 1, to Region 39 RPC, </w:t>
      </w:r>
      <w:r w:rsidRPr="005D7D67">
        <w:t>PR Docket No. 93-58</w:t>
      </w:r>
      <w:r>
        <w:t xml:space="preserve"> (Dec. 22, 2020); Letter from David Baker, Chairman Region 4, to Region 39 RPC, </w:t>
      </w:r>
      <w:r w:rsidRPr="005D7D67">
        <w:t>PR Docket No. 93-58</w:t>
      </w:r>
      <w:r>
        <w:t xml:space="preserve"> (Oct. 19, 2020); Letter from Ralph Bevan, Chairman Region 10, to Region 39 RPC, </w:t>
      </w:r>
      <w:r w:rsidRPr="005D7D67">
        <w:t>PR Docket No. 93-58</w:t>
      </w:r>
      <w:r>
        <w:t xml:space="preserve"> (Nov. 16, 2020); Letter from M</w:t>
      </w:r>
      <w:r w:rsidRPr="00A71DE6">
        <w:t>ichael B. Marshall</w:t>
      </w:r>
      <w:r>
        <w:t xml:space="preserve">, Vice Chairman Region 17, to John Johnson, Region 39 RPC, </w:t>
      </w:r>
      <w:r w:rsidRPr="005D7D67">
        <w:t>PR Docket No. 93-58</w:t>
      </w:r>
      <w:r>
        <w:t xml:space="preserve"> (Nov. 18, 2020); Letter from Tom Lariviere, MSRPFAC Region 23, to John Johnson, </w:t>
      </w:r>
      <w:r w:rsidRPr="005D7D67">
        <w:t>PR Docket No. 93-58</w:t>
      </w:r>
      <w:r>
        <w:t xml:space="preserve"> (Dec. 18, 2020); Letter from </w:t>
      </w:r>
      <w:r w:rsidRPr="00365690">
        <w:t>Scott Bigham</w:t>
      </w:r>
      <w:r>
        <w:t xml:space="preserve">, Chairman Region 24, to Region 39 RPC, </w:t>
      </w:r>
      <w:r w:rsidRPr="005D7D67">
        <w:t>PR Docket No. 93-58</w:t>
      </w:r>
      <w:r>
        <w:t xml:space="preserve"> (Oct. 21, 2020); Letter from Scott Smith, Chairman Region 31, to Region 39 RPC, </w:t>
      </w:r>
      <w:r w:rsidRPr="005D7D67">
        <w:t>PR Docket No. 93-58</w:t>
      </w:r>
      <w:r>
        <w:t xml:space="preserve"> (Nov. 17, 2020); Letter from </w:t>
      </w:r>
      <w:r w:rsidRPr="001F667F">
        <w:t>Linn Skipper</w:t>
      </w:r>
      <w:r>
        <w:t xml:space="preserve">, Chairman Region 37, to Region 39 RPC, </w:t>
      </w:r>
      <w:r w:rsidRPr="005D7D67">
        <w:t>PR Docket No. 93-58</w:t>
      </w:r>
      <w:r>
        <w:t xml:space="preserve"> (Oct. 6, 2020); Letter from </w:t>
      </w:r>
      <w:r w:rsidRPr="005500D1">
        <w:t>Rodney Thompson</w:t>
      </w:r>
      <w:r>
        <w:t xml:space="preserve">, Chairman Region 42, to Region 39 RPC, </w:t>
      </w:r>
      <w:r w:rsidRPr="005D7D67">
        <w:t>PR Docket No. 93-58</w:t>
      </w:r>
      <w:r>
        <w:t xml:space="preserve"> (Oct. 1, 2020); Letter from </w:t>
      </w:r>
      <w:r w:rsidRPr="005D1B5B">
        <w:t xml:space="preserve">Dave </w:t>
      </w:r>
      <w:r w:rsidRPr="005D1B5B">
        <w:t>Saffel</w:t>
      </w:r>
      <w:r>
        <w:t xml:space="preserve">, Chairman Region 44, to Region 39, 800 MHz RPC, </w:t>
      </w:r>
      <w:r w:rsidRPr="0055248D">
        <w:t>PR Docket No. 93-58 (</w:t>
      </w:r>
      <w:r>
        <w:t xml:space="preserve">Nov. 16, 2020) (collectively filed Feb. 25, 2021 as an attachment to redline version of the Plan Amendment at 59-68).     </w:t>
      </w:r>
    </w:p>
  </w:footnote>
  <w:footnote w:id="17">
    <w:p w:rsidR="00F7217F" w:rsidRPr="001630A1" w:rsidP="00F7217F" w14:paraId="54AB7739" w14:textId="59AA1D14">
      <w:pPr>
        <w:tabs>
          <w:tab w:val="center" w:pos="4680"/>
        </w:tabs>
        <w:suppressAutoHyphens/>
        <w:spacing w:after="120"/>
        <w:rPr>
          <w:b/>
          <w:sz w:val="20"/>
        </w:rPr>
      </w:pPr>
      <w:r w:rsidRPr="003C096F">
        <w:rPr>
          <w:rStyle w:val="FootnoteReference"/>
          <w:sz w:val="20"/>
        </w:rPr>
        <w:footnoteRef/>
      </w:r>
      <w:r w:rsidRPr="003C096F">
        <w:rPr>
          <w:sz w:val="20"/>
        </w:rPr>
        <w:t xml:space="preserve"> </w:t>
      </w:r>
      <w:r w:rsidRPr="003C096F">
        <w:rPr>
          <w:i/>
          <w:sz w:val="20"/>
        </w:rPr>
        <w:t>See</w:t>
      </w:r>
      <w:r w:rsidRPr="003C096F">
        <w:rPr>
          <w:sz w:val="20"/>
        </w:rPr>
        <w:t xml:space="preserve"> </w:t>
      </w:r>
      <w:r w:rsidRPr="00706076">
        <w:rPr>
          <w:i/>
          <w:sz w:val="20"/>
        </w:rPr>
        <w:t>Public Safety and Homeland Security Bureau Seeks Comments on Region 3</w:t>
      </w:r>
      <w:r w:rsidR="00EB76C1">
        <w:rPr>
          <w:i/>
          <w:sz w:val="20"/>
        </w:rPr>
        <w:t>9</w:t>
      </w:r>
      <w:r w:rsidRPr="00706076">
        <w:rPr>
          <w:i/>
          <w:sz w:val="20"/>
        </w:rPr>
        <w:t xml:space="preserve"> (</w:t>
      </w:r>
      <w:r w:rsidR="00EB76C1">
        <w:rPr>
          <w:i/>
          <w:sz w:val="20"/>
        </w:rPr>
        <w:t>Tennessee</w:t>
      </w:r>
      <w:r w:rsidRPr="00706076">
        <w:rPr>
          <w:i/>
          <w:sz w:val="20"/>
        </w:rPr>
        <w:t>) 800 MHz NPSPAC Regional Plan Amendment</w:t>
      </w:r>
      <w:r w:rsidRPr="003C096F">
        <w:rPr>
          <w:sz w:val="20"/>
        </w:rPr>
        <w:t>,</w:t>
      </w:r>
      <w:r w:rsidR="000E1D35">
        <w:rPr>
          <w:sz w:val="20"/>
        </w:rPr>
        <w:t xml:space="preserve"> </w:t>
      </w:r>
      <w:r w:rsidRPr="003C096F">
        <w:rPr>
          <w:sz w:val="20"/>
        </w:rPr>
        <w:t xml:space="preserve">PR Docket No. </w:t>
      </w:r>
      <w:r>
        <w:rPr>
          <w:sz w:val="20"/>
        </w:rPr>
        <w:t>9</w:t>
      </w:r>
      <w:r w:rsidR="00EB76C1">
        <w:rPr>
          <w:sz w:val="20"/>
        </w:rPr>
        <w:t>3</w:t>
      </w:r>
      <w:r w:rsidRPr="003C096F">
        <w:rPr>
          <w:sz w:val="20"/>
        </w:rPr>
        <w:t>-</w:t>
      </w:r>
      <w:r w:rsidR="00AB6BEE">
        <w:rPr>
          <w:sz w:val="20"/>
        </w:rPr>
        <w:t>58</w:t>
      </w:r>
      <w:r w:rsidRPr="003C096F">
        <w:rPr>
          <w:sz w:val="20"/>
        </w:rPr>
        <w:t xml:space="preserve">, </w:t>
      </w:r>
      <w:r w:rsidRPr="00706076">
        <w:rPr>
          <w:sz w:val="20"/>
        </w:rPr>
        <w:t>Public Notice</w:t>
      </w:r>
      <w:r w:rsidRPr="003C096F">
        <w:rPr>
          <w:i/>
          <w:sz w:val="20"/>
        </w:rPr>
        <w:t>,</w:t>
      </w:r>
      <w:r>
        <w:rPr>
          <w:sz w:val="20"/>
        </w:rPr>
        <w:t xml:space="preserve"> </w:t>
      </w:r>
      <w:r w:rsidRPr="0073263E" w:rsidR="0073263E">
        <w:rPr>
          <w:sz w:val="20"/>
        </w:rPr>
        <w:t xml:space="preserve">DA </w:t>
      </w:r>
      <w:r w:rsidRPr="0077330F" w:rsidR="0073263E">
        <w:rPr>
          <w:sz w:val="20"/>
        </w:rPr>
        <w:t>22-64</w:t>
      </w:r>
      <w:r w:rsidRPr="0077330F" w:rsidR="00165589">
        <w:rPr>
          <w:sz w:val="20"/>
        </w:rPr>
        <w:t>4</w:t>
      </w:r>
      <w:r w:rsidRPr="009912C0" w:rsidR="0073263E">
        <w:rPr>
          <w:sz w:val="20"/>
        </w:rPr>
        <w:t xml:space="preserve"> </w:t>
      </w:r>
      <w:r>
        <w:rPr>
          <w:sz w:val="20"/>
        </w:rPr>
        <w:t>(</w:t>
      </w:r>
      <w:r w:rsidRPr="003C096F">
        <w:rPr>
          <w:sz w:val="20"/>
        </w:rPr>
        <w:t>P</w:t>
      </w:r>
      <w:r>
        <w:rPr>
          <w:sz w:val="20"/>
        </w:rPr>
        <w:t xml:space="preserve">SHSB </w:t>
      </w:r>
      <w:r w:rsidR="00645B36">
        <w:rPr>
          <w:sz w:val="20"/>
        </w:rPr>
        <w:t xml:space="preserve">Jun. 16, </w:t>
      </w:r>
      <w:r>
        <w:rPr>
          <w:sz w:val="20"/>
        </w:rPr>
        <w:t>2022).</w:t>
      </w:r>
    </w:p>
  </w:footnote>
  <w:footnote w:id="18">
    <w:p w:rsidR="00F7217F" w:rsidRPr="00D73874" w:rsidP="00F7217F" w14:paraId="5109998D" w14:textId="75A8946F">
      <w:pPr>
        <w:pStyle w:val="FootnoteText"/>
      </w:pPr>
      <w:r w:rsidRPr="00D73874">
        <w:rPr>
          <w:rStyle w:val="FootnoteReference"/>
        </w:rPr>
        <w:footnoteRef/>
      </w:r>
      <w:r w:rsidR="00BA0BAA">
        <w:rPr>
          <w:i/>
          <w:iCs/>
        </w:rPr>
        <w:t xml:space="preserve"> </w:t>
      </w:r>
      <w:r w:rsidRPr="00D73874">
        <w:rPr>
          <w:i/>
          <w:iCs/>
        </w:rPr>
        <w:t>See</w:t>
      </w:r>
      <w:r>
        <w:t xml:space="preserve"> Comment</w:t>
      </w:r>
      <w:r w:rsidR="00C77909">
        <w:t>s</w:t>
      </w:r>
      <w:r>
        <w:t xml:space="preserve"> </w:t>
      </w:r>
      <w:r w:rsidR="0000526D">
        <w:t xml:space="preserve">of the </w:t>
      </w:r>
      <w:r>
        <w:t xml:space="preserve">National Regional Planning Council (NRPC), PR Docket No. </w:t>
      </w:r>
      <w:r w:rsidR="0036761F">
        <w:t xml:space="preserve">93-58 </w:t>
      </w:r>
      <w:r>
        <w:t>(</w:t>
      </w:r>
      <w:r w:rsidR="005352BF">
        <w:t xml:space="preserve">rec. </w:t>
      </w:r>
      <w:r>
        <w:t>Jul</w:t>
      </w:r>
      <w:r w:rsidR="00BA0BAA">
        <w:t>.</w:t>
      </w:r>
      <w:r>
        <w:t xml:space="preserve"> 13,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1B8F096B">
    <w:pPr>
      <w:tabs>
        <w:tab w:val="center" w:pos="4680"/>
        <w:tab w:val="right" w:pos="9360"/>
      </w:tabs>
    </w:pPr>
    <w:r>
      <w:rPr>
        <w:b/>
      </w:rPr>
      <w:tab/>
      <w:t>Federal Communications Commission</w:t>
    </w:r>
    <w:r>
      <w:rPr>
        <w:b/>
      </w:rPr>
      <w:tab/>
    </w:r>
    <w:r w:rsidR="008762BB">
      <w:rPr>
        <w:b/>
      </w:rPr>
      <w:t xml:space="preserve">DA </w:t>
    </w:r>
    <w:r w:rsidRPr="002D0AA9" w:rsidR="002D0AA9">
      <w:rPr>
        <w:b/>
      </w:rPr>
      <w:t>22-884</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5"/>
  </w:num>
  <w:num w:numId="6">
    <w:abstractNumId w:val="2"/>
  </w:num>
  <w:num w:numId="7">
    <w:abstractNumId w:val="0"/>
  </w:num>
  <w:num w:numId="8">
    <w:abstractNumId w:val="7"/>
  </w:num>
  <w:num w:numId="9">
    <w:abstractNumId w:val="17"/>
  </w:num>
  <w:num w:numId="10">
    <w:abstractNumId w:val="13"/>
  </w:num>
  <w:num w:numId="11">
    <w:abstractNumId w:val="10"/>
  </w:num>
  <w:num w:numId="12">
    <w:abstractNumId w:val="9"/>
  </w:num>
  <w:num w:numId="13">
    <w:abstractNumId w:val="1"/>
  </w:num>
  <w:num w:numId="14">
    <w:abstractNumId w:val="14"/>
  </w:num>
  <w:num w:numId="15">
    <w:abstractNumId w:val="12"/>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17C3"/>
    <w:rsid w:val="00003CD1"/>
    <w:rsid w:val="0000526D"/>
    <w:rsid w:val="00007185"/>
    <w:rsid w:val="00010EF7"/>
    <w:rsid w:val="00013E86"/>
    <w:rsid w:val="00023FC4"/>
    <w:rsid w:val="00024458"/>
    <w:rsid w:val="0002455C"/>
    <w:rsid w:val="00025F1C"/>
    <w:rsid w:val="00026646"/>
    <w:rsid w:val="00026C4A"/>
    <w:rsid w:val="00033C64"/>
    <w:rsid w:val="00034988"/>
    <w:rsid w:val="0003504B"/>
    <w:rsid w:val="00037279"/>
    <w:rsid w:val="0003781A"/>
    <w:rsid w:val="0004103E"/>
    <w:rsid w:val="00050DB0"/>
    <w:rsid w:val="00052A75"/>
    <w:rsid w:val="00056F2F"/>
    <w:rsid w:val="00063096"/>
    <w:rsid w:val="0006340A"/>
    <w:rsid w:val="00063E3B"/>
    <w:rsid w:val="000701FC"/>
    <w:rsid w:val="0007261B"/>
    <w:rsid w:val="000734F3"/>
    <w:rsid w:val="000751C4"/>
    <w:rsid w:val="000770A8"/>
    <w:rsid w:val="00080067"/>
    <w:rsid w:val="000822CC"/>
    <w:rsid w:val="00086071"/>
    <w:rsid w:val="00087CEA"/>
    <w:rsid w:val="000A3D24"/>
    <w:rsid w:val="000A4ECC"/>
    <w:rsid w:val="000B0079"/>
    <w:rsid w:val="000B2AC8"/>
    <w:rsid w:val="000B2F4B"/>
    <w:rsid w:val="000B3110"/>
    <w:rsid w:val="000B4089"/>
    <w:rsid w:val="000B4B09"/>
    <w:rsid w:val="000C3378"/>
    <w:rsid w:val="000C4B1B"/>
    <w:rsid w:val="000C5C4E"/>
    <w:rsid w:val="000C61E2"/>
    <w:rsid w:val="000D195F"/>
    <w:rsid w:val="000D24C0"/>
    <w:rsid w:val="000D34CC"/>
    <w:rsid w:val="000D3FC4"/>
    <w:rsid w:val="000D5990"/>
    <w:rsid w:val="000E1D35"/>
    <w:rsid w:val="000E6704"/>
    <w:rsid w:val="000F1439"/>
    <w:rsid w:val="000F3E9E"/>
    <w:rsid w:val="000F6B77"/>
    <w:rsid w:val="00100EAB"/>
    <w:rsid w:val="001039CC"/>
    <w:rsid w:val="00104009"/>
    <w:rsid w:val="001053DE"/>
    <w:rsid w:val="001112E5"/>
    <w:rsid w:val="00111A85"/>
    <w:rsid w:val="001141B6"/>
    <w:rsid w:val="0012032D"/>
    <w:rsid w:val="00127720"/>
    <w:rsid w:val="0013010A"/>
    <w:rsid w:val="00136E28"/>
    <w:rsid w:val="0014126B"/>
    <w:rsid w:val="00141905"/>
    <w:rsid w:val="001474F6"/>
    <w:rsid w:val="001501E4"/>
    <w:rsid w:val="001541F7"/>
    <w:rsid w:val="00156A1D"/>
    <w:rsid w:val="00157565"/>
    <w:rsid w:val="00157C59"/>
    <w:rsid w:val="001628C6"/>
    <w:rsid w:val="001630A1"/>
    <w:rsid w:val="00164DE9"/>
    <w:rsid w:val="00165589"/>
    <w:rsid w:val="001815A3"/>
    <w:rsid w:val="00187770"/>
    <w:rsid w:val="001919D3"/>
    <w:rsid w:val="00192636"/>
    <w:rsid w:val="0019275C"/>
    <w:rsid w:val="00192DE3"/>
    <w:rsid w:val="00195270"/>
    <w:rsid w:val="0019574E"/>
    <w:rsid w:val="001A530E"/>
    <w:rsid w:val="001A549B"/>
    <w:rsid w:val="001A7411"/>
    <w:rsid w:val="001B0164"/>
    <w:rsid w:val="001B092B"/>
    <w:rsid w:val="001B0C1D"/>
    <w:rsid w:val="001B1EF4"/>
    <w:rsid w:val="001B3927"/>
    <w:rsid w:val="001B707B"/>
    <w:rsid w:val="001C2829"/>
    <w:rsid w:val="001C5518"/>
    <w:rsid w:val="001D1C74"/>
    <w:rsid w:val="001D4254"/>
    <w:rsid w:val="001D5890"/>
    <w:rsid w:val="001D613D"/>
    <w:rsid w:val="001E202F"/>
    <w:rsid w:val="001E2E0A"/>
    <w:rsid w:val="001E7251"/>
    <w:rsid w:val="001F1FF4"/>
    <w:rsid w:val="001F3DDC"/>
    <w:rsid w:val="001F5797"/>
    <w:rsid w:val="001F667F"/>
    <w:rsid w:val="002052B0"/>
    <w:rsid w:val="00206E2F"/>
    <w:rsid w:val="0021628B"/>
    <w:rsid w:val="0021757A"/>
    <w:rsid w:val="002214D6"/>
    <w:rsid w:val="00223B9E"/>
    <w:rsid w:val="00233684"/>
    <w:rsid w:val="002337D0"/>
    <w:rsid w:val="00240304"/>
    <w:rsid w:val="00241274"/>
    <w:rsid w:val="002442C6"/>
    <w:rsid w:val="00261B2B"/>
    <w:rsid w:val="002673E5"/>
    <w:rsid w:val="00272918"/>
    <w:rsid w:val="00274627"/>
    <w:rsid w:val="0028222B"/>
    <w:rsid w:val="00282796"/>
    <w:rsid w:val="0028654B"/>
    <w:rsid w:val="00293EEC"/>
    <w:rsid w:val="00294BE8"/>
    <w:rsid w:val="002A0C49"/>
    <w:rsid w:val="002A154C"/>
    <w:rsid w:val="002B1019"/>
    <w:rsid w:val="002B526E"/>
    <w:rsid w:val="002B5F2B"/>
    <w:rsid w:val="002C1B5B"/>
    <w:rsid w:val="002C7649"/>
    <w:rsid w:val="002D0AA9"/>
    <w:rsid w:val="002E266D"/>
    <w:rsid w:val="002E6741"/>
    <w:rsid w:val="002E7084"/>
    <w:rsid w:val="002F12FC"/>
    <w:rsid w:val="002F5070"/>
    <w:rsid w:val="002F52CF"/>
    <w:rsid w:val="002F57D1"/>
    <w:rsid w:val="002F5AF9"/>
    <w:rsid w:val="00302AD7"/>
    <w:rsid w:val="0030427F"/>
    <w:rsid w:val="003042BD"/>
    <w:rsid w:val="003050BD"/>
    <w:rsid w:val="003051E4"/>
    <w:rsid w:val="00313F54"/>
    <w:rsid w:val="0032021B"/>
    <w:rsid w:val="003202F1"/>
    <w:rsid w:val="00327A6D"/>
    <w:rsid w:val="003346EB"/>
    <w:rsid w:val="00335006"/>
    <w:rsid w:val="00337BDC"/>
    <w:rsid w:val="00342549"/>
    <w:rsid w:val="00350BDD"/>
    <w:rsid w:val="00356FD1"/>
    <w:rsid w:val="00365690"/>
    <w:rsid w:val="00366960"/>
    <w:rsid w:val="0036761F"/>
    <w:rsid w:val="0037004B"/>
    <w:rsid w:val="003748E3"/>
    <w:rsid w:val="003812F8"/>
    <w:rsid w:val="00385D84"/>
    <w:rsid w:val="00386ACE"/>
    <w:rsid w:val="003945F8"/>
    <w:rsid w:val="003949DC"/>
    <w:rsid w:val="003A32D7"/>
    <w:rsid w:val="003A3D08"/>
    <w:rsid w:val="003B018E"/>
    <w:rsid w:val="003B3E54"/>
    <w:rsid w:val="003B5D5A"/>
    <w:rsid w:val="003B697A"/>
    <w:rsid w:val="003B6D1D"/>
    <w:rsid w:val="003C096F"/>
    <w:rsid w:val="003C0E6A"/>
    <w:rsid w:val="003C4986"/>
    <w:rsid w:val="003D2495"/>
    <w:rsid w:val="003D478D"/>
    <w:rsid w:val="003D7CB0"/>
    <w:rsid w:val="003E041B"/>
    <w:rsid w:val="003E71CD"/>
    <w:rsid w:val="003E7424"/>
    <w:rsid w:val="003E75C7"/>
    <w:rsid w:val="003E7995"/>
    <w:rsid w:val="003F4B2F"/>
    <w:rsid w:val="00403077"/>
    <w:rsid w:val="004064EF"/>
    <w:rsid w:val="00410A11"/>
    <w:rsid w:val="00411190"/>
    <w:rsid w:val="00411F4F"/>
    <w:rsid w:val="004207C3"/>
    <w:rsid w:val="00422ECF"/>
    <w:rsid w:val="0042549B"/>
    <w:rsid w:val="004315FE"/>
    <w:rsid w:val="00432310"/>
    <w:rsid w:val="004332E8"/>
    <w:rsid w:val="00434170"/>
    <w:rsid w:val="00435623"/>
    <w:rsid w:val="00436405"/>
    <w:rsid w:val="00436556"/>
    <w:rsid w:val="00436642"/>
    <w:rsid w:val="004536CB"/>
    <w:rsid w:val="004643F2"/>
    <w:rsid w:val="00476D27"/>
    <w:rsid w:val="00487385"/>
    <w:rsid w:val="0049112D"/>
    <w:rsid w:val="00492583"/>
    <w:rsid w:val="0049341F"/>
    <w:rsid w:val="004A3DE1"/>
    <w:rsid w:val="004B53F4"/>
    <w:rsid w:val="004B6E41"/>
    <w:rsid w:val="004B74EE"/>
    <w:rsid w:val="004C559C"/>
    <w:rsid w:val="004D0F5C"/>
    <w:rsid w:val="004D194A"/>
    <w:rsid w:val="004D4464"/>
    <w:rsid w:val="004E0D7F"/>
    <w:rsid w:val="004E37D4"/>
    <w:rsid w:val="004E4541"/>
    <w:rsid w:val="004E48BE"/>
    <w:rsid w:val="004F0A64"/>
    <w:rsid w:val="004F0AC7"/>
    <w:rsid w:val="004F4E26"/>
    <w:rsid w:val="004F5388"/>
    <w:rsid w:val="004F6816"/>
    <w:rsid w:val="00505890"/>
    <w:rsid w:val="005078A9"/>
    <w:rsid w:val="00507A70"/>
    <w:rsid w:val="0052051B"/>
    <w:rsid w:val="00520C86"/>
    <w:rsid w:val="005220F3"/>
    <w:rsid w:val="00526368"/>
    <w:rsid w:val="00532BED"/>
    <w:rsid w:val="0053337E"/>
    <w:rsid w:val="005352BF"/>
    <w:rsid w:val="00536B72"/>
    <w:rsid w:val="0054138D"/>
    <w:rsid w:val="00544D6D"/>
    <w:rsid w:val="00545106"/>
    <w:rsid w:val="00545712"/>
    <w:rsid w:val="005500D1"/>
    <w:rsid w:val="0055248D"/>
    <w:rsid w:val="00553F7A"/>
    <w:rsid w:val="00553FBC"/>
    <w:rsid w:val="00556CA1"/>
    <w:rsid w:val="005611A1"/>
    <w:rsid w:val="00565F55"/>
    <w:rsid w:val="00566402"/>
    <w:rsid w:val="0056661E"/>
    <w:rsid w:val="005676E2"/>
    <w:rsid w:val="005760FE"/>
    <w:rsid w:val="00576933"/>
    <w:rsid w:val="0058525D"/>
    <w:rsid w:val="00587E17"/>
    <w:rsid w:val="005A6172"/>
    <w:rsid w:val="005A6A89"/>
    <w:rsid w:val="005B0CDD"/>
    <w:rsid w:val="005B6BA9"/>
    <w:rsid w:val="005B7FCF"/>
    <w:rsid w:val="005C2346"/>
    <w:rsid w:val="005C5C0C"/>
    <w:rsid w:val="005D1B5B"/>
    <w:rsid w:val="005D2B4E"/>
    <w:rsid w:val="005D7679"/>
    <w:rsid w:val="005D7D67"/>
    <w:rsid w:val="005E454F"/>
    <w:rsid w:val="005E5351"/>
    <w:rsid w:val="005F03BD"/>
    <w:rsid w:val="005F074E"/>
    <w:rsid w:val="005F4125"/>
    <w:rsid w:val="005F7D5D"/>
    <w:rsid w:val="00602FB7"/>
    <w:rsid w:val="006033FF"/>
    <w:rsid w:val="00603558"/>
    <w:rsid w:val="00603859"/>
    <w:rsid w:val="00615045"/>
    <w:rsid w:val="00620061"/>
    <w:rsid w:val="00620524"/>
    <w:rsid w:val="00621795"/>
    <w:rsid w:val="00624BA1"/>
    <w:rsid w:val="006300CB"/>
    <w:rsid w:val="00634326"/>
    <w:rsid w:val="00634695"/>
    <w:rsid w:val="006367EC"/>
    <w:rsid w:val="00636F7F"/>
    <w:rsid w:val="00644548"/>
    <w:rsid w:val="00645B36"/>
    <w:rsid w:val="00646F25"/>
    <w:rsid w:val="00656DEA"/>
    <w:rsid w:val="006579FC"/>
    <w:rsid w:val="0066669E"/>
    <w:rsid w:val="0067698C"/>
    <w:rsid w:val="00684FFC"/>
    <w:rsid w:val="0069349D"/>
    <w:rsid w:val="0069416D"/>
    <w:rsid w:val="006A0503"/>
    <w:rsid w:val="006A1C57"/>
    <w:rsid w:val="006A2D38"/>
    <w:rsid w:val="006A665E"/>
    <w:rsid w:val="006B6EB4"/>
    <w:rsid w:val="006C6FD4"/>
    <w:rsid w:val="006D0820"/>
    <w:rsid w:val="006D4BFD"/>
    <w:rsid w:val="006D5E52"/>
    <w:rsid w:val="006E098A"/>
    <w:rsid w:val="006E1054"/>
    <w:rsid w:val="006E15CF"/>
    <w:rsid w:val="006E210A"/>
    <w:rsid w:val="006E274C"/>
    <w:rsid w:val="006E68E3"/>
    <w:rsid w:val="006F2C1A"/>
    <w:rsid w:val="006F7BBD"/>
    <w:rsid w:val="00700A2C"/>
    <w:rsid w:val="00701329"/>
    <w:rsid w:val="007015B0"/>
    <w:rsid w:val="00701AEB"/>
    <w:rsid w:val="00702187"/>
    <w:rsid w:val="00703123"/>
    <w:rsid w:val="0070460C"/>
    <w:rsid w:val="0070502C"/>
    <w:rsid w:val="00706076"/>
    <w:rsid w:val="00712B63"/>
    <w:rsid w:val="00714133"/>
    <w:rsid w:val="00721F3C"/>
    <w:rsid w:val="007226A5"/>
    <w:rsid w:val="0072650A"/>
    <w:rsid w:val="0073263E"/>
    <w:rsid w:val="00736BFC"/>
    <w:rsid w:val="00736EEC"/>
    <w:rsid w:val="00744D45"/>
    <w:rsid w:val="00757A78"/>
    <w:rsid w:val="00757EF7"/>
    <w:rsid w:val="00763874"/>
    <w:rsid w:val="00771366"/>
    <w:rsid w:val="0077330F"/>
    <w:rsid w:val="0077401B"/>
    <w:rsid w:val="00775987"/>
    <w:rsid w:val="007776CA"/>
    <w:rsid w:val="007856C9"/>
    <w:rsid w:val="007A434E"/>
    <w:rsid w:val="007A5CBB"/>
    <w:rsid w:val="007A6167"/>
    <w:rsid w:val="007B3082"/>
    <w:rsid w:val="007B438B"/>
    <w:rsid w:val="007B4EF3"/>
    <w:rsid w:val="007B5F0F"/>
    <w:rsid w:val="007B7A70"/>
    <w:rsid w:val="007C3ABF"/>
    <w:rsid w:val="007C516E"/>
    <w:rsid w:val="007C573E"/>
    <w:rsid w:val="007C7160"/>
    <w:rsid w:val="007C7EC6"/>
    <w:rsid w:val="007D45C9"/>
    <w:rsid w:val="007D66A6"/>
    <w:rsid w:val="007E285B"/>
    <w:rsid w:val="007E2EDE"/>
    <w:rsid w:val="007E3431"/>
    <w:rsid w:val="007E491C"/>
    <w:rsid w:val="007E5E3A"/>
    <w:rsid w:val="007F12A0"/>
    <w:rsid w:val="007F2915"/>
    <w:rsid w:val="00801C15"/>
    <w:rsid w:val="00811455"/>
    <w:rsid w:val="00812171"/>
    <w:rsid w:val="00821830"/>
    <w:rsid w:val="00826434"/>
    <w:rsid w:val="00827E3C"/>
    <w:rsid w:val="0083140E"/>
    <w:rsid w:val="0083416C"/>
    <w:rsid w:val="00836851"/>
    <w:rsid w:val="00841E47"/>
    <w:rsid w:val="00852E69"/>
    <w:rsid w:val="00861111"/>
    <w:rsid w:val="00865459"/>
    <w:rsid w:val="00866EB6"/>
    <w:rsid w:val="00871B1E"/>
    <w:rsid w:val="008754DA"/>
    <w:rsid w:val="008762BB"/>
    <w:rsid w:val="008779BD"/>
    <w:rsid w:val="00877F15"/>
    <w:rsid w:val="00881640"/>
    <w:rsid w:val="00882B3D"/>
    <w:rsid w:val="00892E1B"/>
    <w:rsid w:val="00894421"/>
    <w:rsid w:val="00897115"/>
    <w:rsid w:val="008A0D97"/>
    <w:rsid w:val="008B286A"/>
    <w:rsid w:val="008C3EF6"/>
    <w:rsid w:val="008D098A"/>
    <w:rsid w:val="008D1938"/>
    <w:rsid w:val="008D4D41"/>
    <w:rsid w:val="008D64DD"/>
    <w:rsid w:val="008D7D7A"/>
    <w:rsid w:val="008E3DEF"/>
    <w:rsid w:val="008E5B49"/>
    <w:rsid w:val="008F50DB"/>
    <w:rsid w:val="008F51AA"/>
    <w:rsid w:val="0090294E"/>
    <w:rsid w:val="009072E0"/>
    <w:rsid w:val="00913435"/>
    <w:rsid w:val="00913D1E"/>
    <w:rsid w:val="00913D92"/>
    <w:rsid w:val="00920A97"/>
    <w:rsid w:val="009269B4"/>
    <w:rsid w:val="0093328B"/>
    <w:rsid w:val="00934440"/>
    <w:rsid w:val="00937420"/>
    <w:rsid w:val="00946385"/>
    <w:rsid w:val="00953407"/>
    <w:rsid w:val="0095534B"/>
    <w:rsid w:val="00955A82"/>
    <w:rsid w:val="0096082E"/>
    <w:rsid w:val="00961D00"/>
    <w:rsid w:val="0096436D"/>
    <w:rsid w:val="00966C0C"/>
    <w:rsid w:val="00967F58"/>
    <w:rsid w:val="0097349C"/>
    <w:rsid w:val="009745F1"/>
    <w:rsid w:val="00990A58"/>
    <w:rsid w:val="009912C0"/>
    <w:rsid w:val="0099324C"/>
    <w:rsid w:val="009A7688"/>
    <w:rsid w:val="009B1193"/>
    <w:rsid w:val="009B24EE"/>
    <w:rsid w:val="009C6FFE"/>
    <w:rsid w:val="009D464B"/>
    <w:rsid w:val="009D5AAD"/>
    <w:rsid w:val="009E1D41"/>
    <w:rsid w:val="009E3CB7"/>
    <w:rsid w:val="009E6281"/>
    <w:rsid w:val="009F04E5"/>
    <w:rsid w:val="009F3F32"/>
    <w:rsid w:val="009F66F5"/>
    <w:rsid w:val="00A065F2"/>
    <w:rsid w:val="00A12347"/>
    <w:rsid w:val="00A2450B"/>
    <w:rsid w:val="00A27172"/>
    <w:rsid w:val="00A275FA"/>
    <w:rsid w:val="00A31EFD"/>
    <w:rsid w:val="00A36ACB"/>
    <w:rsid w:val="00A43F91"/>
    <w:rsid w:val="00A44362"/>
    <w:rsid w:val="00A50E29"/>
    <w:rsid w:val="00A53364"/>
    <w:rsid w:val="00A55C95"/>
    <w:rsid w:val="00A6086E"/>
    <w:rsid w:val="00A60CB3"/>
    <w:rsid w:val="00A65220"/>
    <w:rsid w:val="00A65CFF"/>
    <w:rsid w:val="00A67A0F"/>
    <w:rsid w:val="00A71DE6"/>
    <w:rsid w:val="00A724A7"/>
    <w:rsid w:val="00A76B0B"/>
    <w:rsid w:val="00A81781"/>
    <w:rsid w:val="00A937FD"/>
    <w:rsid w:val="00A96DE4"/>
    <w:rsid w:val="00A97326"/>
    <w:rsid w:val="00AA141D"/>
    <w:rsid w:val="00AA1595"/>
    <w:rsid w:val="00AA4B80"/>
    <w:rsid w:val="00AA7F20"/>
    <w:rsid w:val="00AB6BEE"/>
    <w:rsid w:val="00AB7D60"/>
    <w:rsid w:val="00AC1802"/>
    <w:rsid w:val="00AC552B"/>
    <w:rsid w:val="00AC6433"/>
    <w:rsid w:val="00AD1AF3"/>
    <w:rsid w:val="00AD206D"/>
    <w:rsid w:val="00AD2E5D"/>
    <w:rsid w:val="00AD440D"/>
    <w:rsid w:val="00AE0CA2"/>
    <w:rsid w:val="00AE2EC3"/>
    <w:rsid w:val="00AE7AA4"/>
    <w:rsid w:val="00AE7FAA"/>
    <w:rsid w:val="00AF4FB8"/>
    <w:rsid w:val="00B04318"/>
    <w:rsid w:val="00B0592F"/>
    <w:rsid w:val="00B12211"/>
    <w:rsid w:val="00B14E1E"/>
    <w:rsid w:val="00B21A4F"/>
    <w:rsid w:val="00B24C65"/>
    <w:rsid w:val="00B32CE0"/>
    <w:rsid w:val="00B32F47"/>
    <w:rsid w:val="00B3735D"/>
    <w:rsid w:val="00B44832"/>
    <w:rsid w:val="00B459B6"/>
    <w:rsid w:val="00B5370B"/>
    <w:rsid w:val="00B602BF"/>
    <w:rsid w:val="00B60610"/>
    <w:rsid w:val="00B6319F"/>
    <w:rsid w:val="00B65E18"/>
    <w:rsid w:val="00B731DB"/>
    <w:rsid w:val="00B76D5A"/>
    <w:rsid w:val="00B83724"/>
    <w:rsid w:val="00B83955"/>
    <w:rsid w:val="00B90940"/>
    <w:rsid w:val="00B9376D"/>
    <w:rsid w:val="00BA0585"/>
    <w:rsid w:val="00BA0BAA"/>
    <w:rsid w:val="00BB547A"/>
    <w:rsid w:val="00BB5F06"/>
    <w:rsid w:val="00BB6BC1"/>
    <w:rsid w:val="00BC0237"/>
    <w:rsid w:val="00BC168A"/>
    <w:rsid w:val="00BC30E2"/>
    <w:rsid w:val="00BC68EB"/>
    <w:rsid w:val="00BD0F73"/>
    <w:rsid w:val="00BD4E76"/>
    <w:rsid w:val="00BF1076"/>
    <w:rsid w:val="00C00B0F"/>
    <w:rsid w:val="00C01CEE"/>
    <w:rsid w:val="00C15361"/>
    <w:rsid w:val="00C163CB"/>
    <w:rsid w:val="00C1720F"/>
    <w:rsid w:val="00C21DAF"/>
    <w:rsid w:val="00C22652"/>
    <w:rsid w:val="00C229B2"/>
    <w:rsid w:val="00C232C7"/>
    <w:rsid w:val="00C24711"/>
    <w:rsid w:val="00C250C0"/>
    <w:rsid w:val="00C35C18"/>
    <w:rsid w:val="00C378D1"/>
    <w:rsid w:val="00C41D41"/>
    <w:rsid w:val="00C42CDC"/>
    <w:rsid w:val="00C44895"/>
    <w:rsid w:val="00C52F17"/>
    <w:rsid w:val="00C54723"/>
    <w:rsid w:val="00C6218F"/>
    <w:rsid w:val="00C737C1"/>
    <w:rsid w:val="00C76F63"/>
    <w:rsid w:val="00C77909"/>
    <w:rsid w:val="00C8323A"/>
    <w:rsid w:val="00C857B8"/>
    <w:rsid w:val="00C8736E"/>
    <w:rsid w:val="00C92539"/>
    <w:rsid w:val="00C926D0"/>
    <w:rsid w:val="00C96357"/>
    <w:rsid w:val="00C97F19"/>
    <w:rsid w:val="00CA0B5B"/>
    <w:rsid w:val="00CA262B"/>
    <w:rsid w:val="00CA28A0"/>
    <w:rsid w:val="00CA4501"/>
    <w:rsid w:val="00CA564D"/>
    <w:rsid w:val="00CA6A85"/>
    <w:rsid w:val="00CB0638"/>
    <w:rsid w:val="00CB099B"/>
    <w:rsid w:val="00CB2B4F"/>
    <w:rsid w:val="00CB2C5E"/>
    <w:rsid w:val="00CB5EFF"/>
    <w:rsid w:val="00CB791A"/>
    <w:rsid w:val="00CC0CB5"/>
    <w:rsid w:val="00CC4A45"/>
    <w:rsid w:val="00CC4EDA"/>
    <w:rsid w:val="00CC6173"/>
    <w:rsid w:val="00CC7502"/>
    <w:rsid w:val="00CD2089"/>
    <w:rsid w:val="00CD2A91"/>
    <w:rsid w:val="00CD5B66"/>
    <w:rsid w:val="00CE7D4A"/>
    <w:rsid w:val="00D029A9"/>
    <w:rsid w:val="00D02E39"/>
    <w:rsid w:val="00D03C6C"/>
    <w:rsid w:val="00D044A0"/>
    <w:rsid w:val="00D0450E"/>
    <w:rsid w:val="00D05805"/>
    <w:rsid w:val="00D05F61"/>
    <w:rsid w:val="00D13042"/>
    <w:rsid w:val="00D20FCC"/>
    <w:rsid w:val="00D234C0"/>
    <w:rsid w:val="00D2441B"/>
    <w:rsid w:val="00D2618F"/>
    <w:rsid w:val="00D30056"/>
    <w:rsid w:val="00D42C81"/>
    <w:rsid w:val="00D432C6"/>
    <w:rsid w:val="00D44CA4"/>
    <w:rsid w:val="00D65059"/>
    <w:rsid w:val="00D6702C"/>
    <w:rsid w:val="00D73874"/>
    <w:rsid w:val="00D74D29"/>
    <w:rsid w:val="00D76A62"/>
    <w:rsid w:val="00D77B20"/>
    <w:rsid w:val="00D83BF4"/>
    <w:rsid w:val="00D85C4F"/>
    <w:rsid w:val="00D95DB1"/>
    <w:rsid w:val="00DA10CB"/>
    <w:rsid w:val="00DA1F23"/>
    <w:rsid w:val="00DA3B8D"/>
    <w:rsid w:val="00DA7D5A"/>
    <w:rsid w:val="00DB3231"/>
    <w:rsid w:val="00DC6683"/>
    <w:rsid w:val="00DC66D5"/>
    <w:rsid w:val="00DD06D1"/>
    <w:rsid w:val="00DD3AE8"/>
    <w:rsid w:val="00DE20E3"/>
    <w:rsid w:val="00DE2B8B"/>
    <w:rsid w:val="00DE3216"/>
    <w:rsid w:val="00DE5393"/>
    <w:rsid w:val="00DE7AB7"/>
    <w:rsid w:val="00DF2DF8"/>
    <w:rsid w:val="00DF60E0"/>
    <w:rsid w:val="00E010EB"/>
    <w:rsid w:val="00E02DA9"/>
    <w:rsid w:val="00E11B69"/>
    <w:rsid w:val="00E22BF2"/>
    <w:rsid w:val="00E27A16"/>
    <w:rsid w:val="00E324C1"/>
    <w:rsid w:val="00E3675F"/>
    <w:rsid w:val="00E4189A"/>
    <w:rsid w:val="00E4538D"/>
    <w:rsid w:val="00E454A4"/>
    <w:rsid w:val="00E464D9"/>
    <w:rsid w:val="00E53DBD"/>
    <w:rsid w:val="00E619D7"/>
    <w:rsid w:val="00E64E2C"/>
    <w:rsid w:val="00E81A16"/>
    <w:rsid w:val="00E832E5"/>
    <w:rsid w:val="00E90F0D"/>
    <w:rsid w:val="00E9450C"/>
    <w:rsid w:val="00E94D35"/>
    <w:rsid w:val="00E967C6"/>
    <w:rsid w:val="00E969ED"/>
    <w:rsid w:val="00EA099E"/>
    <w:rsid w:val="00EA154B"/>
    <w:rsid w:val="00EA203E"/>
    <w:rsid w:val="00EB194B"/>
    <w:rsid w:val="00EB4A3D"/>
    <w:rsid w:val="00EB5933"/>
    <w:rsid w:val="00EB6FED"/>
    <w:rsid w:val="00EB76C1"/>
    <w:rsid w:val="00EC1B68"/>
    <w:rsid w:val="00ED4200"/>
    <w:rsid w:val="00ED6D5C"/>
    <w:rsid w:val="00EE2547"/>
    <w:rsid w:val="00EE3BBC"/>
    <w:rsid w:val="00EE439B"/>
    <w:rsid w:val="00EF0046"/>
    <w:rsid w:val="00EF10D7"/>
    <w:rsid w:val="00EF1E95"/>
    <w:rsid w:val="00EF7EEB"/>
    <w:rsid w:val="00F02746"/>
    <w:rsid w:val="00F03A6C"/>
    <w:rsid w:val="00F03B74"/>
    <w:rsid w:val="00F04D86"/>
    <w:rsid w:val="00F17700"/>
    <w:rsid w:val="00F210DD"/>
    <w:rsid w:val="00F21C8B"/>
    <w:rsid w:val="00F24511"/>
    <w:rsid w:val="00F31AC3"/>
    <w:rsid w:val="00F33A56"/>
    <w:rsid w:val="00F42374"/>
    <w:rsid w:val="00F5038C"/>
    <w:rsid w:val="00F52804"/>
    <w:rsid w:val="00F540A9"/>
    <w:rsid w:val="00F54675"/>
    <w:rsid w:val="00F54D01"/>
    <w:rsid w:val="00F565C3"/>
    <w:rsid w:val="00F6056F"/>
    <w:rsid w:val="00F6147F"/>
    <w:rsid w:val="00F628EC"/>
    <w:rsid w:val="00F71545"/>
    <w:rsid w:val="00F7217F"/>
    <w:rsid w:val="00F727A0"/>
    <w:rsid w:val="00F746E6"/>
    <w:rsid w:val="00F74B3C"/>
    <w:rsid w:val="00F83FC7"/>
    <w:rsid w:val="00F85FF0"/>
    <w:rsid w:val="00F8668D"/>
    <w:rsid w:val="00F91256"/>
    <w:rsid w:val="00F92F41"/>
    <w:rsid w:val="00F960B8"/>
    <w:rsid w:val="00F96E38"/>
    <w:rsid w:val="00FA1C94"/>
    <w:rsid w:val="00FA312A"/>
    <w:rsid w:val="00FA7C48"/>
    <w:rsid w:val="00FB0537"/>
    <w:rsid w:val="00FB204D"/>
    <w:rsid w:val="00FB6A26"/>
    <w:rsid w:val="00FB7805"/>
    <w:rsid w:val="00FD2784"/>
    <w:rsid w:val="00FD370B"/>
    <w:rsid w:val="00FE05CA"/>
    <w:rsid w:val="00FE309C"/>
    <w:rsid w:val="00FE4096"/>
    <w:rsid w:val="00FF03B2"/>
    <w:rsid w:val="00FF06DA"/>
    <w:rsid w:val="00FF21E0"/>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7F394"/>
  <w15:docId w15:val="{C95DAF2F-0E0F-413D-AF4F-992B2D2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ALTS FOOTNOTE Char1,Footnote Text Char Char Char Char Char Char Char,Footnote Text Char1 Char Char Char Char1,Footnote Text Char1 Char1 Char1,Footnote Text Char1 Char2,Footnote Text Char2 Char1,f Char1"/>
    <w:locked/>
    <w:rsid w:val="006F2C1A"/>
    <w:rPr>
      <w:rFonts w:ascii="Courier New" w:hAnsi="Courier New" w:cs="Times New Roman"/>
      <w:sz w:val="24"/>
      <w:lang w:val="en-US" w:eastAsia="en-US" w:bidi="ar-SA"/>
    </w:rPr>
  </w:style>
  <w:style w:type="character" w:styleId="UnresolvedMention">
    <w:name w:val="Unresolved Mention"/>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