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1365A6CA"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DBC4F67" w14:textId="77777777">
      <w:pPr>
        <w:pStyle w:val="StyleBoldCentered"/>
      </w:pPr>
      <w:r>
        <w:t>F</w:t>
      </w:r>
      <w:r>
        <w:rPr>
          <w:caps w:val="0"/>
        </w:rPr>
        <w:t>ederal Communications Commission</w:t>
      </w:r>
    </w:p>
    <w:p w:rsidR="004C2EE3" w:rsidP="00096D8C" w14:paraId="7C3EE8D9" w14:textId="77777777">
      <w:pPr>
        <w:pStyle w:val="StyleBoldCentered"/>
      </w:pPr>
      <w:r>
        <w:rPr>
          <w:caps w:val="0"/>
        </w:rPr>
        <w:t>Washington, D.C. 20554</w:t>
      </w:r>
    </w:p>
    <w:p w:rsidR="004C2EE3" w:rsidP="0070224F" w14:paraId="1477C326" w14:textId="77777777"/>
    <w:tbl>
      <w:tblPr>
        <w:tblW w:w="9576" w:type="dxa"/>
        <w:tblLayout w:type="fixed"/>
        <w:tblLook w:val="0000"/>
      </w:tblPr>
      <w:tblGrid>
        <w:gridCol w:w="4698"/>
        <w:gridCol w:w="630"/>
        <w:gridCol w:w="4248"/>
      </w:tblGrid>
      <w:tr w14:paraId="5577B83F" w14:textId="77777777" w:rsidTr="00D50856">
        <w:tblPrEx>
          <w:tblW w:w="9576" w:type="dxa"/>
          <w:tblLayout w:type="fixed"/>
          <w:tblLook w:val="0000"/>
        </w:tblPrEx>
        <w:tc>
          <w:tcPr>
            <w:tcW w:w="4698" w:type="dxa"/>
          </w:tcPr>
          <w:p w:rsidR="00D50856" w:rsidP="00427BEC" w14:paraId="56C3A8B3" w14:textId="77777777">
            <w:pPr>
              <w:tabs>
                <w:tab w:val="center" w:pos="4680"/>
              </w:tabs>
              <w:rPr>
                <w:spacing w:val="-2"/>
              </w:rPr>
            </w:pPr>
            <w:r>
              <w:rPr>
                <w:spacing w:val="-2"/>
              </w:rPr>
              <w:t>In the Matter of</w:t>
            </w:r>
          </w:p>
          <w:p w:rsidR="00D50856" w:rsidP="00427BEC" w14:paraId="2B2BB7B7" w14:textId="77777777">
            <w:pPr>
              <w:tabs>
                <w:tab w:val="center" w:pos="4680"/>
              </w:tabs>
              <w:rPr>
                <w:spacing w:val="-2"/>
              </w:rPr>
            </w:pPr>
          </w:p>
          <w:p w:rsidR="00D50856" w:rsidP="00427BEC" w14:paraId="4733B568" w14:textId="77777777">
            <w:pPr>
              <w:tabs>
                <w:tab w:val="center" w:pos="4680"/>
              </w:tabs>
              <w:rPr>
                <w:spacing w:val="-2"/>
              </w:rPr>
            </w:pPr>
            <w:r w:rsidRPr="004F0299">
              <w:rPr>
                <w:spacing w:val="-2"/>
              </w:rPr>
              <w:t>Amendment of section 73.202(b),</w:t>
            </w:r>
            <w:r>
              <w:rPr>
                <w:spacing w:val="-2"/>
              </w:rPr>
              <w:t xml:space="preserve"> </w:t>
            </w:r>
            <w:r w:rsidRPr="004A3C48">
              <w:rPr>
                <w:spacing w:val="-2"/>
              </w:rPr>
              <w:t>Table of Allotments,</w:t>
            </w:r>
            <w:r>
              <w:t xml:space="preserve"> FM Broadcast Stations (</w:t>
            </w:r>
            <w:r w:rsidRPr="001B575D">
              <w:t>Big Coppitt Key, Florida</w:t>
            </w:r>
            <w:r>
              <w:t>)</w:t>
            </w:r>
          </w:p>
          <w:p w:rsidR="00D50856" w:rsidRPr="007115F7" w:rsidP="00427BEC" w14:paraId="25C32D07" w14:textId="77777777">
            <w:pPr>
              <w:tabs>
                <w:tab w:val="center" w:pos="4680"/>
              </w:tabs>
              <w:rPr>
                <w:spacing w:val="-2"/>
              </w:rPr>
            </w:pPr>
          </w:p>
        </w:tc>
        <w:tc>
          <w:tcPr>
            <w:tcW w:w="630" w:type="dxa"/>
          </w:tcPr>
          <w:p w:rsidR="00D50856" w:rsidP="00427BEC" w14:paraId="4BA31BA4" w14:textId="77777777">
            <w:pPr>
              <w:tabs>
                <w:tab w:val="center" w:pos="4680"/>
              </w:tabs>
              <w:rPr>
                <w:b/>
                <w:spacing w:val="-2"/>
              </w:rPr>
            </w:pPr>
            <w:r>
              <w:rPr>
                <w:b/>
                <w:spacing w:val="-2"/>
              </w:rPr>
              <w:t>)</w:t>
            </w:r>
          </w:p>
          <w:p w:rsidR="00D50856" w:rsidP="00427BEC" w14:paraId="4B6841F6" w14:textId="77777777">
            <w:pPr>
              <w:tabs>
                <w:tab w:val="center" w:pos="4680"/>
              </w:tabs>
              <w:rPr>
                <w:b/>
                <w:spacing w:val="-2"/>
              </w:rPr>
            </w:pPr>
            <w:r>
              <w:rPr>
                <w:b/>
                <w:spacing w:val="-2"/>
              </w:rPr>
              <w:t>)</w:t>
            </w:r>
          </w:p>
          <w:p w:rsidR="00D50856" w:rsidP="00427BEC" w14:paraId="79B75CF8" w14:textId="77777777">
            <w:pPr>
              <w:tabs>
                <w:tab w:val="center" w:pos="4680"/>
              </w:tabs>
              <w:rPr>
                <w:b/>
                <w:spacing w:val="-2"/>
              </w:rPr>
            </w:pPr>
            <w:r>
              <w:rPr>
                <w:b/>
                <w:spacing w:val="-2"/>
              </w:rPr>
              <w:t>)</w:t>
            </w:r>
          </w:p>
          <w:p w:rsidR="00D50856" w:rsidP="00427BEC" w14:paraId="0A7697CC" w14:textId="77777777">
            <w:pPr>
              <w:tabs>
                <w:tab w:val="center" w:pos="4680"/>
              </w:tabs>
              <w:rPr>
                <w:b/>
                <w:spacing w:val="-2"/>
              </w:rPr>
            </w:pPr>
            <w:r>
              <w:rPr>
                <w:b/>
                <w:spacing w:val="-2"/>
              </w:rPr>
              <w:t>)</w:t>
            </w:r>
          </w:p>
          <w:p w:rsidR="00D50856" w:rsidRPr="009F2562" w:rsidP="00427BEC" w14:paraId="02AA30C6" w14:textId="77777777">
            <w:pPr>
              <w:tabs>
                <w:tab w:val="center" w:pos="4680"/>
              </w:tabs>
              <w:rPr>
                <w:b/>
                <w:spacing w:val="-2"/>
              </w:rPr>
            </w:pPr>
            <w:r>
              <w:rPr>
                <w:b/>
                <w:spacing w:val="-2"/>
              </w:rPr>
              <w:t>)</w:t>
            </w:r>
          </w:p>
        </w:tc>
        <w:tc>
          <w:tcPr>
            <w:tcW w:w="4248" w:type="dxa"/>
          </w:tcPr>
          <w:p w:rsidR="00D50856" w:rsidP="00427BEC" w14:paraId="561DD03B" w14:textId="77777777">
            <w:pPr>
              <w:tabs>
                <w:tab w:val="center" w:pos="4680"/>
              </w:tabs>
              <w:rPr>
                <w:spacing w:val="-2"/>
              </w:rPr>
            </w:pPr>
          </w:p>
          <w:p w:rsidR="00D50856" w:rsidP="00427BEC" w14:paraId="50CA3908" w14:textId="77777777">
            <w:pPr>
              <w:pStyle w:val="TOAHeading"/>
              <w:tabs>
                <w:tab w:val="center" w:pos="4680"/>
                <w:tab w:val="clear" w:pos="9360"/>
              </w:tabs>
              <w:suppressAutoHyphens w:val="0"/>
              <w:rPr>
                <w:spacing w:val="-2"/>
              </w:rPr>
            </w:pPr>
          </w:p>
          <w:p w:rsidR="00D50856" w:rsidRPr="009F2562" w:rsidP="00427BEC" w14:paraId="78FAD154" w14:textId="77777777">
            <w:pPr>
              <w:pStyle w:val="TOAHeading"/>
              <w:tabs>
                <w:tab w:val="center" w:pos="4680"/>
              </w:tabs>
              <w:suppressAutoHyphens w:val="0"/>
              <w:rPr>
                <w:spacing w:val="-2"/>
              </w:rPr>
            </w:pPr>
            <w:r w:rsidRPr="009F2562">
              <w:rPr>
                <w:spacing w:val="-2"/>
              </w:rPr>
              <w:t>MB Docket No. 2</w:t>
            </w:r>
            <w:r>
              <w:rPr>
                <w:spacing w:val="-2"/>
              </w:rPr>
              <w:t>2-188</w:t>
            </w:r>
          </w:p>
          <w:p w:rsidR="00D50856" w:rsidP="00427BEC" w14:paraId="493D7329" w14:textId="77777777">
            <w:pPr>
              <w:tabs>
                <w:tab w:val="center" w:pos="4680"/>
              </w:tabs>
              <w:rPr>
                <w:spacing w:val="-2"/>
              </w:rPr>
            </w:pPr>
            <w:r w:rsidRPr="009F2562">
              <w:rPr>
                <w:spacing w:val="-2"/>
              </w:rPr>
              <w:t>RM-</w:t>
            </w:r>
            <w:r>
              <w:rPr>
                <w:spacing w:val="-2"/>
              </w:rPr>
              <w:t>11928</w:t>
            </w:r>
          </w:p>
        </w:tc>
      </w:tr>
      <w:tr w14:paraId="62004B45" w14:textId="77777777" w:rsidTr="00D50856">
        <w:tblPrEx>
          <w:tblW w:w="9576" w:type="dxa"/>
          <w:tblLayout w:type="fixed"/>
          <w:tblLook w:val="0000"/>
        </w:tblPrEx>
        <w:tc>
          <w:tcPr>
            <w:tcW w:w="4698" w:type="dxa"/>
          </w:tcPr>
          <w:p w:rsidR="00DB0978" w:rsidRPr="007115F7" w:rsidP="007C254B" w14:paraId="377EC858" w14:textId="04FC8099">
            <w:pPr>
              <w:tabs>
                <w:tab w:val="center" w:pos="4680"/>
              </w:tabs>
              <w:suppressAutoHyphens/>
              <w:rPr>
                <w:spacing w:val="-2"/>
              </w:rPr>
            </w:pPr>
          </w:p>
        </w:tc>
        <w:tc>
          <w:tcPr>
            <w:tcW w:w="630" w:type="dxa"/>
          </w:tcPr>
          <w:p w:rsidR="00DB0978" w:rsidRPr="00130ABE" w14:paraId="70EA9A07" w14:textId="7A4A0707">
            <w:pPr>
              <w:tabs>
                <w:tab w:val="center" w:pos="4680"/>
              </w:tabs>
              <w:suppressAutoHyphens/>
              <w:rPr>
                <w:b/>
                <w:spacing w:val="-2"/>
              </w:rPr>
            </w:pPr>
          </w:p>
        </w:tc>
        <w:tc>
          <w:tcPr>
            <w:tcW w:w="4248" w:type="dxa"/>
          </w:tcPr>
          <w:p w:rsidR="00DB0978" w:rsidP="00DB0978" w14:paraId="50477FD7" w14:textId="17DC5232">
            <w:pPr>
              <w:tabs>
                <w:tab w:val="center" w:pos="4680"/>
              </w:tabs>
              <w:suppressAutoHyphens/>
              <w:rPr>
                <w:spacing w:val="-2"/>
              </w:rPr>
            </w:pPr>
          </w:p>
        </w:tc>
      </w:tr>
    </w:tbl>
    <w:p w:rsidR="004C2EE3" w:rsidP="0070224F" w14:paraId="4054930C" w14:textId="77777777"/>
    <w:p w:rsidR="00BE71FE" w:rsidP="00F021FA" w14:paraId="079A0C4E" w14:textId="77777777">
      <w:pPr>
        <w:pStyle w:val="StyleBoldCentered"/>
      </w:pPr>
      <w:r>
        <w:t>Report and order</w:t>
      </w:r>
    </w:p>
    <w:p w:rsidR="004C2EE3" w14:paraId="3BD6B0C0" w14:textId="77777777">
      <w:pPr>
        <w:tabs>
          <w:tab w:val="left" w:pos="-720"/>
        </w:tabs>
        <w:suppressAutoHyphens/>
        <w:spacing w:line="227" w:lineRule="auto"/>
        <w:rPr>
          <w:spacing w:val="-2"/>
        </w:rPr>
      </w:pPr>
    </w:p>
    <w:p w:rsidR="004C2EE3" w:rsidP="0003218D" w14:paraId="36479A3B" w14:textId="7D5504EA">
      <w:pPr>
        <w:tabs>
          <w:tab w:val="left" w:pos="720"/>
          <w:tab w:val="left" w:pos="6480"/>
          <w:tab w:val="left" w:pos="7200"/>
          <w:tab w:val="right" w:pos="9360"/>
        </w:tabs>
        <w:suppressAutoHyphens/>
        <w:spacing w:line="227" w:lineRule="auto"/>
        <w:rPr>
          <w:spacing w:val="-2"/>
        </w:rPr>
      </w:pPr>
      <w:r>
        <w:rPr>
          <w:b/>
          <w:spacing w:val="-2"/>
        </w:rPr>
        <w:t xml:space="preserve">Adopted:  </w:t>
      </w:r>
      <w:r w:rsidR="00DC289D">
        <w:rPr>
          <w:b/>
          <w:spacing w:val="-2"/>
        </w:rPr>
        <w:t xml:space="preserve">August </w:t>
      </w:r>
      <w:r w:rsidR="00F46971">
        <w:rPr>
          <w:b/>
          <w:spacing w:val="-2"/>
        </w:rPr>
        <w:t>2</w:t>
      </w:r>
      <w:r w:rsidR="0039277B">
        <w:rPr>
          <w:b/>
          <w:spacing w:val="-2"/>
        </w:rPr>
        <w:t>5</w:t>
      </w:r>
      <w:r w:rsidR="00DC289D">
        <w:rPr>
          <w:b/>
          <w:spacing w:val="-2"/>
        </w:rPr>
        <w:t>, 2022</w:t>
      </w:r>
      <w:r w:rsidR="0003218D">
        <w:rPr>
          <w:b/>
          <w:spacing w:val="-2"/>
        </w:rPr>
        <w:tab/>
      </w:r>
      <w:r w:rsidR="00822CE0">
        <w:rPr>
          <w:b/>
          <w:spacing w:val="-2"/>
        </w:rPr>
        <w:t>Released</w:t>
      </w:r>
      <w:r>
        <w:rPr>
          <w:b/>
          <w:spacing w:val="-2"/>
        </w:rPr>
        <w:t>:</w:t>
      </w:r>
      <w:r w:rsidR="00822CE0">
        <w:rPr>
          <w:b/>
          <w:spacing w:val="-2"/>
        </w:rPr>
        <w:t xml:space="preserve"> </w:t>
      </w:r>
      <w:r>
        <w:rPr>
          <w:b/>
          <w:spacing w:val="-2"/>
        </w:rPr>
        <w:t xml:space="preserve"> </w:t>
      </w:r>
      <w:r w:rsidR="00DC289D">
        <w:rPr>
          <w:b/>
          <w:spacing w:val="-2"/>
        </w:rPr>
        <w:t xml:space="preserve">August </w:t>
      </w:r>
      <w:r w:rsidR="00F46971">
        <w:rPr>
          <w:b/>
          <w:spacing w:val="-2"/>
        </w:rPr>
        <w:t>26</w:t>
      </w:r>
      <w:r w:rsidR="00DC289D">
        <w:rPr>
          <w:b/>
          <w:spacing w:val="-2"/>
        </w:rPr>
        <w:t>, 2022</w:t>
      </w:r>
    </w:p>
    <w:p w:rsidR="00822CE0" w14:paraId="73F49329" w14:textId="77777777"/>
    <w:p w:rsidR="00822CE0" w:rsidP="00861121" w14:paraId="08BE81E9" w14:textId="77777777">
      <w:pPr>
        <w:rPr>
          <w:spacing w:val="-2"/>
        </w:rPr>
      </w:pPr>
      <w:r>
        <w:t xml:space="preserve">By </w:t>
      </w:r>
      <w:r w:rsidR="004E4A22">
        <w:t>the</w:t>
      </w:r>
      <w:r w:rsidR="002A2D2E">
        <w:t xml:space="preserve"> </w:t>
      </w:r>
      <w:r w:rsidR="00187E1B">
        <w:t xml:space="preserve">Assistant </w:t>
      </w:r>
      <w:r w:rsidR="00BE71FE">
        <w:rPr>
          <w:spacing w:val="-2"/>
        </w:rPr>
        <w:t>Chief, Audio Division, Media Bureau:</w:t>
      </w:r>
    </w:p>
    <w:p w:rsidR="00BE71FE" w:rsidP="00861121" w14:paraId="0F8A7E6C" w14:textId="77777777">
      <w:pPr>
        <w:rPr>
          <w:spacing w:val="-2"/>
        </w:rPr>
      </w:pPr>
    </w:p>
    <w:p w:rsidR="00130ABE" w:rsidP="00861121" w14:paraId="4F20A03E" w14:textId="70FDBC55">
      <w:pPr>
        <w:pStyle w:val="Heading1"/>
        <w:keepNext w:val="0"/>
        <w:suppressAutoHyphens w:val="0"/>
        <w:spacing w:after="0"/>
      </w:pPr>
      <w:r w:rsidRPr="00B62D98">
        <w:t>introduction</w:t>
      </w:r>
    </w:p>
    <w:p w:rsidR="00861121" w:rsidRPr="00861121" w:rsidP="00861121" w14:paraId="512EF8E5" w14:textId="77777777">
      <w:pPr>
        <w:pStyle w:val="ParaNum"/>
        <w:numPr>
          <w:ilvl w:val="0"/>
          <w:numId w:val="0"/>
        </w:numPr>
        <w:spacing w:after="0"/>
        <w:ind w:left="720"/>
      </w:pPr>
    </w:p>
    <w:p w:rsidR="00D50856" w:rsidRPr="00D50856" w:rsidP="00861121" w14:paraId="07D8E85A" w14:textId="5842ADC6">
      <w:pPr>
        <w:pStyle w:val="ParaNum"/>
        <w:widowControl/>
        <w:spacing w:after="0"/>
      </w:pPr>
      <w:bookmarkStart w:id="0" w:name="_Hlk72422816"/>
      <w:bookmarkStart w:id="1" w:name="_Hlk72486199"/>
      <w:r w:rsidRPr="00BF7554">
        <w:rPr>
          <w:szCs w:val="22"/>
        </w:rPr>
        <w:t xml:space="preserve">The Audio Division has before it a </w:t>
      </w:r>
      <w:r w:rsidRPr="00BF7554">
        <w:rPr>
          <w:i/>
          <w:szCs w:val="22"/>
        </w:rPr>
        <w:t>Notice of Proposed Rule Making,</w:t>
      </w:r>
      <w:r>
        <w:rPr>
          <w:i/>
          <w:spacing w:val="-2"/>
          <w:szCs w:val="22"/>
          <w:vertAlign w:val="superscript"/>
        </w:rPr>
        <w:footnoteReference w:id="3"/>
      </w:r>
      <w:r w:rsidRPr="00BF7554">
        <w:rPr>
          <w:i/>
          <w:szCs w:val="22"/>
        </w:rPr>
        <w:t xml:space="preserve"> </w:t>
      </w:r>
      <w:r w:rsidRPr="00BF7554">
        <w:rPr>
          <w:iCs/>
          <w:szCs w:val="22"/>
        </w:rPr>
        <w:t xml:space="preserve">issued in response to a Petition for Rule Making </w:t>
      </w:r>
      <w:r w:rsidRPr="00FE623A">
        <w:rPr>
          <w:iCs/>
          <w:szCs w:val="22"/>
        </w:rPr>
        <w:t xml:space="preserve">filed by </w:t>
      </w:r>
      <w:r w:rsidRPr="00026336" w:rsidR="00026336">
        <w:rPr>
          <w:iCs/>
          <w:szCs w:val="22"/>
        </w:rPr>
        <w:t>Spottswood Partners II, Ltd. (Petitioner)</w:t>
      </w:r>
      <w:r w:rsidR="0015009B">
        <w:rPr>
          <w:iCs/>
          <w:szCs w:val="22"/>
        </w:rPr>
        <w:t xml:space="preserve">.  </w:t>
      </w:r>
      <w:r w:rsidRPr="00BF7554">
        <w:rPr>
          <w:szCs w:val="22"/>
        </w:rPr>
        <w:t>Petitioner</w:t>
      </w:r>
      <w:r w:rsidRPr="00BF7554">
        <w:rPr>
          <w:iCs/>
          <w:szCs w:val="22"/>
        </w:rPr>
        <w:t xml:space="preserve"> filed </w:t>
      </w:r>
      <w:r w:rsidR="00026336">
        <w:rPr>
          <w:iCs/>
          <w:szCs w:val="22"/>
        </w:rPr>
        <w:t>C</w:t>
      </w:r>
      <w:r w:rsidRPr="00BF7554">
        <w:rPr>
          <w:iCs/>
          <w:szCs w:val="22"/>
        </w:rPr>
        <w:t>omments</w:t>
      </w:r>
      <w:r w:rsidR="00026336">
        <w:rPr>
          <w:iCs/>
          <w:szCs w:val="22"/>
        </w:rPr>
        <w:t xml:space="preserve"> and </w:t>
      </w:r>
      <w:r>
        <w:t>Reply Comments</w:t>
      </w:r>
      <w:r w:rsidR="00026336">
        <w:t xml:space="preserve">.  No counterproposals or other comments </w:t>
      </w:r>
      <w:r w:rsidRPr="00BF7554">
        <w:rPr>
          <w:szCs w:val="22"/>
        </w:rPr>
        <w:t xml:space="preserve">were received in response to this </w:t>
      </w:r>
      <w:r w:rsidRPr="00BF7554">
        <w:rPr>
          <w:i/>
          <w:szCs w:val="22"/>
        </w:rPr>
        <w:t>Notice</w:t>
      </w:r>
      <w:r w:rsidRPr="00BF7554">
        <w:rPr>
          <w:szCs w:val="22"/>
        </w:rPr>
        <w:t xml:space="preserve">.  For the reasons discussed below, we amend the FM Table of Allotments, </w:t>
      </w:r>
      <w:r>
        <w:rPr>
          <w:szCs w:val="22"/>
        </w:rPr>
        <w:t>s</w:t>
      </w:r>
      <w:r w:rsidRPr="00BF7554">
        <w:rPr>
          <w:szCs w:val="22"/>
        </w:rPr>
        <w:t>ection 73.202(b) of the Commission’s Rules,</w:t>
      </w:r>
      <w:r>
        <w:rPr>
          <w:spacing w:val="-2"/>
          <w:szCs w:val="22"/>
          <w:vertAlign w:val="superscript"/>
        </w:rPr>
        <w:footnoteReference w:id="4"/>
      </w:r>
      <w:r>
        <w:rPr>
          <w:szCs w:val="22"/>
        </w:rPr>
        <w:t xml:space="preserve"> by allotting </w:t>
      </w:r>
      <w:r w:rsidRPr="00FE623A">
        <w:rPr>
          <w:szCs w:val="22"/>
        </w:rPr>
        <w:t>Channel 2</w:t>
      </w:r>
      <w:r w:rsidR="0015009B">
        <w:rPr>
          <w:szCs w:val="22"/>
        </w:rPr>
        <w:t>65C3</w:t>
      </w:r>
      <w:r w:rsidRPr="00FE623A">
        <w:rPr>
          <w:szCs w:val="22"/>
        </w:rPr>
        <w:t xml:space="preserve"> at </w:t>
      </w:r>
      <w:r w:rsidR="0015009B">
        <w:rPr>
          <w:szCs w:val="22"/>
        </w:rPr>
        <w:t>Big Coppitt Key, Florida</w:t>
      </w:r>
      <w:r>
        <w:rPr>
          <w:szCs w:val="22"/>
        </w:rPr>
        <w:t>.</w:t>
      </w:r>
    </w:p>
    <w:p w:rsidR="00D50856" w:rsidRPr="0025094D" w:rsidP="00861121" w14:paraId="047AEC86" w14:textId="77777777">
      <w:pPr>
        <w:pStyle w:val="ParaNum"/>
        <w:widowControl/>
        <w:numPr>
          <w:ilvl w:val="0"/>
          <w:numId w:val="0"/>
        </w:numPr>
        <w:spacing w:after="0"/>
        <w:ind w:left="720"/>
      </w:pPr>
    </w:p>
    <w:p w:rsidR="00BE71FE" w:rsidP="00861121" w14:paraId="53BCA420" w14:textId="0996379D">
      <w:pPr>
        <w:pStyle w:val="Heading1"/>
        <w:spacing w:after="0"/>
      </w:pPr>
      <w:r>
        <w:t>Background</w:t>
      </w:r>
    </w:p>
    <w:p w:rsidR="00861121" w:rsidRPr="00861121" w:rsidP="00861121" w14:paraId="62E0343C" w14:textId="77777777">
      <w:pPr>
        <w:pStyle w:val="ParaNum"/>
        <w:numPr>
          <w:ilvl w:val="0"/>
          <w:numId w:val="0"/>
        </w:numPr>
        <w:spacing w:after="0"/>
        <w:ind w:left="720"/>
      </w:pPr>
    </w:p>
    <w:p w:rsidR="00181079" w:rsidP="00861121" w14:paraId="4CAF5DF5" w14:textId="1A786CB5">
      <w:pPr>
        <w:pStyle w:val="ParaNum"/>
        <w:spacing w:after="0"/>
      </w:pPr>
      <w:bookmarkStart w:id="2" w:name="_Hlk72486263"/>
      <w:r>
        <w:t xml:space="preserve">The </w:t>
      </w:r>
      <w:r w:rsidRPr="00181079">
        <w:rPr>
          <w:i/>
        </w:rPr>
        <w:t xml:space="preserve">Notice </w:t>
      </w:r>
      <w:r>
        <w:t xml:space="preserve">proposed the allotment </w:t>
      </w:r>
      <w:r w:rsidRPr="0025094D">
        <w:t>of Channel 2</w:t>
      </w:r>
      <w:r w:rsidR="0015009B">
        <w:t>65C3</w:t>
      </w:r>
      <w:r w:rsidRPr="0025094D">
        <w:t xml:space="preserve"> at </w:t>
      </w:r>
      <w:r w:rsidR="0015009B">
        <w:t>Big Coppitt Key, Florida</w:t>
      </w:r>
      <w:r w:rsidRPr="0025094D">
        <w:t xml:space="preserve">, as a first local service.  </w:t>
      </w:r>
      <w:r w:rsidRPr="0015009B" w:rsidR="0015009B">
        <w:t>Big Coppitt Key is an unincorporated community in Monroe County</w:t>
      </w:r>
      <w:r w:rsidR="0015009B">
        <w:t xml:space="preserve"> that is </w:t>
      </w:r>
      <w:r w:rsidRPr="0015009B" w:rsidR="0015009B">
        <w:t>listed in the 2020 U.S. Census</w:t>
      </w:r>
      <w:r w:rsidR="0015009B">
        <w:t xml:space="preserve"> as a census designated place (CDP)</w:t>
      </w:r>
      <w:r w:rsidRPr="0015009B" w:rsidR="0015009B">
        <w:t xml:space="preserve"> with a population of 2,869 persons</w:t>
      </w:r>
      <w:r w:rsidRPr="00FE623A">
        <w:t xml:space="preserve">.  </w:t>
      </w:r>
      <w:r w:rsidRPr="00181079">
        <w:t>The designation of an area as a CDP raises the presumption that an area is a “community” for allotment purposes, but that presumption is rebuttable.</w:t>
      </w:r>
      <w:r>
        <w:rPr>
          <w:sz w:val="20"/>
          <w:vertAlign w:val="superscript"/>
        </w:rPr>
        <w:footnoteReference w:id="5"/>
      </w:r>
      <w:r>
        <w:t xml:space="preserve"> The </w:t>
      </w:r>
      <w:r w:rsidRPr="00181079">
        <w:rPr>
          <w:i/>
          <w:iCs/>
        </w:rPr>
        <w:t xml:space="preserve">Notice </w:t>
      </w:r>
      <w:r>
        <w:t xml:space="preserve">requested that the </w:t>
      </w:r>
      <w:r w:rsidRPr="00181079">
        <w:t>Petitioner submit additional information demonstrating that Big Coppitt Key is a “community” for allotment purposes</w:t>
      </w:r>
      <w:r>
        <w:t xml:space="preserve"> to </w:t>
      </w:r>
      <w:r w:rsidR="00AB0BD3">
        <w:t>support</w:t>
      </w:r>
      <w:r>
        <w:t xml:space="preserve"> the presumption.  </w:t>
      </w:r>
    </w:p>
    <w:p w:rsidR="00861121" w:rsidP="00861121" w14:paraId="35B99647" w14:textId="77777777">
      <w:pPr>
        <w:pStyle w:val="ParaNum"/>
        <w:numPr>
          <w:ilvl w:val="0"/>
          <w:numId w:val="0"/>
        </w:numPr>
        <w:spacing w:after="0"/>
        <w:ind w:left="720"/>
      </w:pPr>
    </w:p>
    <w:p w:rsidR="00D50856" w:rsidP="00861121" w14:paraId="51D7D603" w14:textId="35EB3C99">
      <w:pPr>
        <w:pStyle w:val="ParaNum"/>
        <w:spacing w:after="0"/>
      </w:pPr>
      <w:r>
        <w:t xml:space="preserve">In its Comments, Petitioner states that </w:t>
      </w:r>
      <w:r w:rsidR="004A52FD">
        <w:t xml:space="preserve">Big Coppitt Key is </w:t>
      </w:r>
      <w:r w:rsidRPr="004A52FD" w:rsidR="004A52FD">
        <w:t xml:space="preserve">home to a number of establishments which incorporate the community name, </w:t>
      </w:r>
      <w:r w:rsidR="00A71696">
        <w:t xml:space="preserve">such as </w:t>
      </w:r>
      <w:r w:rsidRPr="004A52FD" w:rsidR="004A52FD">
        <w:t>Big Coppitt Key Mart, Big Coppitt Gun Club, and Big Coppitt First Baptist Church.</w:t>
      </w:r>
      <w:r w:rsidR="004A52FD">
        <w:t xml:space="preserve">  </w:t>
      </w:r>
      <w:r w:rsidR="00A71696">
        <w:t xml:space="preserve">Petitioner claims that </w:t>
      </w:r>
      <w:r w:rsidR="004A52FD">
        <w:t>Big Coppitt Key has multiple</w:t>
      </w:r>
      <w:r w:rsidRPr="004A52FD" w:rsidR="004A52FD">
        <w:t xml:space="preserve"> religious establishments, including: Big Coppitt First Baptist Church, La Premiere Eglise Evangelique, Keys Presbyterian Church, and New Life Tabernacle.</w:t>
      </w:r>
      <w:r w:rsidR="00A71696">
        <w:t xml:space="preserve">  Petitioner states that Big Coppitt Key </w:t>
      </w:r>
      <w:r w:rsidRPr="004A52FD" w:rsidR="004A52FD">
        <w:t xml:space="preserve">also </w:t>
      </w:r>
      <w:r w:rsidR="00A71696">
        <w:t xml:space="preserve">has </w:t>
      </w:r>
      <w:r w:rsidRPr="004A52FD" w:rsidR="004A52FD">
        <w:t>a number of civic organizations, such as Big Coppitt Volunteer Fire Rescue (Monroe County Fire Rescue Station)</w:t>
      </w:r>
      <w:r w:rsidR="00A71696">
        <w:t xml:space="preserve"> </w:t>
      </w:r>
      <w:r w:rsidRPr="004A52FD" w:rsidR="004A52FD">
        <w:t>and Habitat for Humanity of Key West and Lower Florida Keys.</w:t>
      </w:r>
      <w:r w:rsidR="004A52FD">
        <w:t xml:space="preserve">  Additionally, </w:t>
      </w:r>
      <w:r w:rsidR="00F80E20">
        <w:t xml:space="preserve">Petitioner contends that </w:t>
      </w:r>
      <w:r w:rsidR="004A52FD">
        <w:t xml:space="preserve">Big Coppitt Key has </w:t>
      </w:r>
      <w:r w:rsidRPr="004A52FD" w:rsidR="004A52FD">
        <w:t>other establishments that are</w:t>
      </w:r>
      <w:r w:rsidR="00247396">
        <w:t xml:space="preserve"> </w:t>
      </w:r>
      <w:r w:rsidRPr="00247396" w:rsidR="00247396">
        <w:t>indicative of a permanent, year-round population comprising the community, including but not limited to</w:t>
      </w:r>
      <w:r w:rsidR="00A71696">
        <w:t>,</w:t>
      </w:r>
      <w:r w:rsidRPr="00247396" w:rsidR="00247396">
        <w:t xml:space="preserve"> the Wilhelmina Harvey Children’s Park</w:t>
      </w:r>
      <w:r w:rsidR="00A71696">
        <w:t xml:space="preserve">, </w:t>
      </w:r>
      <w:r w:rsidRPr="00247396" w:rsidR="00247396">
        <w:t>Big Mama’s Alterations and Tailoring</w:t>
      </w:r>
      <w:r w:rsidR="00A71696">
        <w:t>,</w:t>
      </w:r>
      <w:r w:rsidR="00F80E20">
        <w:t xml:space="preserve"> </w:t>
      </w:r>
      <w:r w:rsidRPr="00247396" w:rsidR="00247396">
        <w:t>and Keys Animal Care Center.</w:t>
      </w:r>
      <w:r w:rsidR="00247396">
        <w:t xml:space="preserve">  </w:t>
      </w:r>
      <w:r w:rsidR="00A71696">
        <w:t xml:space="preserve">Moreover, Petitioner states that </w:t>
      </w:r>
      <w:r w:rsidRPr="00247396" w:rsidR="00247396">
        <w:t>Southern Keys Cemetery</w:t>
      </w:r>
      <w:r w:rsidR="00247396">
        <w:t xml:space="preserve">, located in Big Coppitt Key, </w:t>
      </w:r>
      <w:r w:rsidRPr="00247396" w:rsidR="00247396">
        <w:t xml:space="preserve">provides a peaceful resting place for </w:t>
      </w:r>
      <w:r w:rsidR="000742B7">
        <w:t>deceased</w:t>
      </w:r>
      <w:r w:rsidRPr="00247396" w:rsidR="00247396">
        <w:t xml:space="preserve"> residents where their families and loved ones can visit from dawn to dusk.</w:t>
      </w:r>
      <w:r w:rsidR="00247396">
        <w:t xml:space="preserve">  </w:t>
      </w:r>
      <w:r>
        <w:t>Petitioner</w:t>
      </w:r>
      <w:r w:rsidR="00247396">
        <w:t xml:space="preserve"> re</w:t>
      </w:r>
      <w:r>
        <w:t>iterat</w:t>
      </w:r>
      <w:r w:rsidR="00247396">
        <w:t>es</w:t>
      </w:r>
      <w:r>
        <w:t xml:space="preserve"> its expression of interest in Channel 2</w:t>
      </w:r>
      <w:r w:rsidR="00247396">
        <w:t>65C3</w:t>
      </w:r>
      <w:r>
        <w:t xml:space="preserve"> at </w:t>
      </w:r>
      <w:r w:rsidR="00247396">
        <w:t>Big Coppitt Key, Florida</w:t>
      </w:r>
      <w:r>
        <w:t>.  Petitioner states that,</w:t>
      </w:r>
      <w:r w:rsidRPr="006F4BD0">
        <w:t xml:space="preserve"> </w:t>
      </w:r>
      <w:r>
        <w:t xml:space="preserve">if the channel is allotted, it will apply for the channel in any FM auction for the </w:t>
      </w:r>
      <w:r w:rsidR="00247396">
        <w:t>Big Coppitt Key</w:t>
      </w:r>
      <w:r>
        <w:t xml:space="preserve"> allotment, and it will prosecute its application and promptly construct the facilities in the event the Commission grants its application.</w:t>
      </w:r>
      <w:r>
        <w:rPr>
          <w:rStyle w:val="FootnoteReference"/>
        </w:rPr>
        <w:footnoteReference w:id="6"/>
      </w:r>
    </w:p>
    <w:p w:rsidR="00861121" w:rsidP="00861121" w14:paraId="0B880956" w14:textId="77777777">
      <w:pPr>
        <w:pStyle w:val="ParaNum"/>
        <w:numPr>
          <w:ilvl w:val="0"/>
          <w:numId w:val="0"/>
        </w:numPr>
        <w:spacing w:after="0"/>
        <w:ind w:left="720"/>
      </w:pPr>
    </w:p>
    <w:p w:rsidR="003B4380" w:rsidP="00861121" w14:paraId="6E32B85F" w14:textId="53F09B9B">
      <w:pPr>
        <w:pStyle w:val="ParaNum"/>
        <w:spacing w:after="0"/>
      </w:pPr>
      <w:r>
        <w:t xml:space="preserve">In its Reply Comments, Petitioner </w:t>
      </w:r>
      <w:r w:rsidR="00CA1453">
        <w:t xml:space="preserve">reaffirms that </w:t>
      </w:r>
      <w:r w:rsidRPr="00CA1453" w:rsidR="00CA1453">
        <w:t>Big Coppitt Key is a “community” for allotment purposes</w:t>
      </w:r>
      <w:r w:rsidR="00CA1453">
        <w:t>.  Petitioner contends that t</w:t>
      </w:r>
      <w:r w:rsidRPr="00CA1453" w:rsidR="00CA1453">
        <w:t>he proposal will create a preferential arrangement of allotments by providing Big Coppitt Key, Florida</w:t>
      </w:r>
      <w:r w:rsidR="00CA1453">
        <w:t xml:space="preserve"> </w:t>
      </w:r>
      <w:r w:rsidRPr="00CA1453" w:rsidR="00CA1453">
        <w:t>with its first local service</w:t>
      </w:r>
      <w:r w:rsidR="00F80E20">
        <w:t xml:space="preserve">.  Petitioner </w:t>
      </w:r>
      <w:r w:rsidR="00DC289D">
        <w:t xml:space="preserve">maintains </w:t>
      </w:r>
      <w:r w:rsidRPr="00CA1453" w:rsidR="00CA1453">
        <w:t>its</w:t>
      </w:r>
      <w:r w:rsidR="00CA1453">
        <w:t xml:space="preserve"> interest in the proposed </w:t>
      </w:r>
      <w:r w:rsidR="007C4EB0">
        <w:t xml:space="preserve">Big Coppitt Key </w:t>
      </w:r>
      <w:r w:rsidR="00CA1453">
        <w:t>allotment</w:t>
      </w:r>
      <w:r w:rsidR="00DC289D">
        <w:t xml:space="preserve"> and </w:t>
      </w:r>
      <w:r w:rsidR="00CA1453">
        <w:t>stat</w:t>
      </w:r>
      <w:r w:rsidR="00DC289D">
        <w:t>es</w:t>
      </w:r>
      <w:r w:rsidR="00CA1453">
        <w:t xml:space="preserve"> that it </w:t>
      </w:r>
      <w:r w:rsidRPr="00CA1453" w:rsidR="00CA1453">
        <w:t xml:space="preserve">intends to apply for the channel if it is allotted and, if authorized, </w:t>
      </w:r>
      <w:r w:rsidR="00CA1453">
        <w:t xml:space="preserve">it will </w:t>
      </w:r>
      <w:r w:rsidRPr="00CA1453" w:rsidR="00CA1453">
        <w:t>promptly construct the authorized facilities.</w:t>
      </w:r>
      <w:r w:rsidR="007C68B1">
        <w:t xml:space="preserve">  No other party filed comments or reply comments.</w:t>
      </w:r>
    </w:p>
    <w:p w:rsidR="00861121" w:rsidP="00861121" w14:paraId="760052EC" w14:textId="77777777">
      <w:pPr>
        <w:pStyle w:val="ParaNum"/>
        <w:numPr>
          <w:ilvl w:val="0"/>
          <w:numId w:val="0"/>
        </w:numPr>
        <w:spacing w:after="0"/>
      </w:pPr>
    </w:p>
    <w:p w:rsidR="00130ABE" w:rsidP="00861121" w14:paraId="070E4513" w14:textId="03616CCD">
      <w:pPr>
        <w:pStyle w:val="Heading1"/>
        <w:spacing w:after="0"/>
      </w:pPr>
      <w:r>
        <w:t>Discussion</w:t>
      </w:r>
    </w:p>
    <w:p w:rsidR="00861121" w:rsidRPr="00861121" w:rsidP="00861121" w14:paraId="4B9794D7" w14:textId="77777777">
      <w:pPr>
        <w:pStyle w:val="ParaNum"/>
        <w:numPr>
          <w:ilvl w:val="0"/>
          <w:numId w:val="0"/>
        </w:numPr>
        <w:spacing w:after="0"/>
        <w:ind w:left="720"/>
      </w:pPr>
    </w:p>
    <w:bookmarkEnd w:id="0"/>
    <w:bookmarkEnd w:id="1"/>
    <w:bookmarkEnd w:id="2"/>
    <w:p w:rsidR="008D6791" w:rsidRPr="00861121" w:rsidP="007C4EB0" w14:paraId="10BCA72E" w14:textId="19FCD157">
      <w:pPr>
        <w:pStyle w:val="ParaNum"/>
        <w:spacing w:after="0"/>
      </w:pPr>
      <w:r w:rsidRPr="008D6791">
        <w:t>We find</w:t>
      </w:r>
      <w:r>
        <w:t xml:space="preserve"> that</w:t>
      </w:r>
      <w:r w:rsidRPr="008D6791">
        <w:t xml:space="preserve"> </w:t>
      </w:r>
      <w:r w:rsidRPr="008D6791" w:rsidR="003B4380">
        <w:t xml:space="preserve">Petitioner has demonstrated that Big Coppitt Key, Florida is a “community” for allotment proposes.  We conclude that </w:t>
      </w:r>
      <w:r w:rsidRPr="008D6791">
        <w:t>the public interest would be served by allotting a first local service at</w:t>
      </w:r>
      <w:r w:rsidRPr="008D6791">
        <w:t xml:space="preserve"> Big Coppitt Key, Florida</w:t>
      </w:r>
      <w:r w:rsidRPr="008D6791">
        <w:t>, under Priority (3).</w:t>
      </w:r>
      <w:r>
        <w:rPr>
          <w:rStyle w:val="FootnoteReference"/>
        </w:rPr>
        <w:footnoteReference w:id="7"/>
      </w:r>
      <w:r>
        <w:t xml:space="preserve">  </w:t>
      </w:r>
      <w:r w:rsidRPr="008D6791">
        <w:t>A staff engineering analysis indicates that Channel 2</w:t>
      </w:r>
      <w:r w:rsidRPr="008D6791">
        <w:t>65C3</w:t>
      </w:r>
      <w:r w:rsidRPr="008D6791">
        <w:t xml:space="preserve"> can be allotted to </w:t>
      </w:r>
      <w:r w:rsidRPr="008D6791">
        <w:t>Big Coppitt Key, Florida</w:t>
      </w:r>
      <w:r w:rsidRPr="008D6791">
        <w:t xml:space="preserve">, consistent with the minimum distance separation requirements of the Commission’s rules, </w:t>
      </w:r>
      <w:r w:rsidRPr="008D6791">
        <w:rPr>
          <w:snapToGrid/>
        </w:rPr>
        <w:t>with a site restriction of 14.5 km (9.0 miles) northeast of the community.</w:t>
      </w:r>
      <w:r>
        <w:rPr>
          <w:snapToGrid/>
          <w:sz w:val="20"/>
          <w:vertAlign w:val="superscript"/>
        </w:rPr>
        <w:footnoteReference w:id="8"/>
      </w:r>
      <w:r w:rsidRPr="008D6791">
        <w:rPr>
          <w:snapToGrid/>
        </w:rPr>
        <w:t xml:space="preserve">  The reference coordinates are 24-39-34 NL and 81-32-17 WL</w:t>
      </w:r>
      <w:r>
        <w:rPr>
          <w:snapToGrid/>
        </w:rPr>
        <w:t>.</w:t>
      </w:r>
      <w:r w:rsidRPr="008D6791">
        <w:rPr>
          <w:i/>
          <w:iCs/>
        </w:rPr>
        <w:t xml:space="preserve"> </w:t>
      </w:r>
    </w:p>
    <w:p w:rsidR="00861121" w:rsidRPr="008D6791" w:rsidP="007C4EB0" w14:paraId="537E550A" w14:textId="77777777">
      <w:pPr>
        <w:pStyle w:val="ParaNum"/>
        <w:numPr>
          <w:ilvl w:val="0"/>
          <w:numId w:val="0"/>
        </w:numPr>
        <w:spacing w:after="0"/>
        <w:ind w:left="720"/>
      </w:pPr>
    </w:p>
    <w:p w:rsidR="00F15288" w:rsidRPr="00F15288" w:rsidP="007C4EB0" w14:paraId="1E7969A0" w14:textId="225ACECF">
      <w:pPr>
        <w:pStyle w:val="ParaNum"/>
        <w:numPr>
          <w:ilvl w:val="0"/>
          <w:numId w:val="58"/>
        </w:numPr>
        <w:spacing w:after="0"/>
      </w:pPr>
      <w:r w:rsidRPr="008D6791">
        <w:rPr>
          <w:i/>
          <w:iCs/>
        </w:rPr>
        <w:t>Paperwork Reduction and Regulatory Flexibility</w:t>
      </w:r>
      <w:r>
        <w:t>.  The Commission has determined that the relevant provisions of the Regulatory Flexibility Act of 1980, as amended,</w:t>
      </w:r>
      <w:r>
        <w:rPr>
          <w:rStyle w:val="FootnoteReference"/>
        </w:rPr>
        <w:footnoteReference w:id="9"/>
      </w:r>
      <w:r>
        <w:t xml:space="preserve"> do not apply to a rulemaking proceeding to amend the FM Table of Allotments, section </w:t>
      </w:r>
      <w:r w:rsidRPr="005E3497">
        <w:t>73.202(b)</w:t>
      </w:r>
      <w:r>
        <w:t xml:space="preserve"> of the Rules.</w:t>
      </w:r>
      <w:r>
        <w:rPr>
          <w:rStyle w:val="FootnoteReference"/>
        </w:rPr>
        <w:footnoteReference w:id="10"/>
      </w:r>
      <w:r>
        <w:t xml:space="preserve">  This document does not contain information collection requirements subject to the Paperwork Reduction Act of 1995.</w:t>
      </w:r>
      <w:r>
        <w:rPr>
          <w:rStyle w:val="FootnoteReference"/>
        </w:rPr>
        <w:footnoteReference w:id="11"/>
      </w:r>
      <w:r>
        <w:t xml:space="preserve">  In addition, therefore, it does not contain any proposed information collection burden “for small business concerns with fewer than 25 employees,” pursuant to the Small Business Paperwork Relief Act of 2002.</w:t>
      </w:r>
      <w:r>
        <w:rPr>
          <w:rStyle w:val="FootnoteReference"/>
        </w:rPr>
        <w:footnoteReference w:id="12"/>
      </w:r>
    </w:p>
    <w:p w:rsidR="0073585D" w:rsidP="00861121" w14:paraId="32D5D407" w14:textId="77777777">
      <w:pPr>
        <w:widowControl/>
        <w:rPr>
          <w:spacing w:val="-2"/>
        </w:rPr>
      </w:pPr>
    </w:p>
    <w:p w:rsidR="00232001" w:rsidP="00861121" w14:paraId="5033CD29" w14:textId="40966E43">
      <w:pPr>
        <w:pStyle w:val="Heading1"/>
        <w:spacing w:after="0"/>
      </w:pPr>
      <w:r>
        <w:t>Ordering Clauses</w:t>
      </w:r>
    </w:p>
    <w:p w:rsidR="00861121" w:rsidRPr="00861121" w:rsidP="00861121" w14:paraId="6610CB7E" w14:textId="77777777">
      <w:pPr>
        <w:pStyle w:val="ParaNum"/>
        <w:numPr>
          <w:ilvl w:val="0"/>
          <w:numId w:val="0"/>
        </w:numPr>
        <w:spacing w:after="0"/>
        <w:ind w:left="720"/>
      </w:pPr>
    </w:p>
    <w:p w:rsidR="00861121" w:rsidP="00861121" w14:paraId="2CACD85D" w14:textId="34023BBB">
      <w:pPr>
        <w:pStyle w:val="ParaNum"/>
        <w:spacing w:after="0"/>
      </w:pPr>
      <w:r>
        <w:t>IT IS FURTHER ORDERED that, purs</w:t>
      </w:r>
      <w:r>
        <w:rPr>
          <w:spacing w:val="-3"/>
          <w:szCs w:val="22"/>
        </w:rPr>
        <w:t xml:space="preserve">uant to </w:t>
      </w:r>
      <w:r w:rsidRPr="009F2562">
        <w:t xml:space="preserve">authority found in 47 U.S.C. sections 4(i), 5(c)(1), 303(g) and (r), and 307(b) of the Communications Act of 1934, as amended, </w:t>
      </w:r>
      <w:r w:rsidRPr="00CE5579">
        <w:t>47 U.S.C. §§ 154</w:t>
      </w:r>
      <w:r>
        <w:t>(i)</w:t>
      </w:r>
      <w:r w:rsidRPr="00CE5579">
        <w:t xml:space="preserve">, </w:t>
      </w:r>
      <w:r w:rsidRPr="00CE5579">
        <w:t>15</w:t>
      </w:r>
      <w:r>
        <w:t>5(c)(1)</w:t>
      </w:r>
      <w:r w:rsidRPr="00CE5579">
        <w:t>, 303</w:t>
      </w:r>
      <w:r>
        <w:t>(g)</w:t>
      </w:r>
      <w:r w:rsidRPr="00CE5579">
        <w:t>,</w:t>
      </w:r>
      <w:r>
        <w:t xml:space="preserve"> (r), and</w:t>
      </w:r>
      <w:r w:rsidRPr="00CE5579">
        <w:t xml:space="preserve"> 307</w:t>
      </w:r>
      <w:r>
        <w:t>(b)</w:t>
      </w:r>
      <w:r w:rsidRPr="00CE5579">
        <w:t xml:space="preserve"> </w:t>
      </w:r>
      <w:r w:rsidRPr="009F2562">
        <w:t>and sections 0.61, 0.204(b)</w:t>
      </w:r>
      <w:r>
        <w:t>,</w:t>
      </w:r>
      <w:r w:rsidRPr="009F2562">
        <w:t xml:space="preserve"> and 0.283</w:t>
      </w:r>
      <w:r>
        <w:t xml:space="preserve"> of the Rules</w:t>
      </w:r>
      <w:r w:rsidRPr="009F2562">
        <w:t>,</w:t>
      </w:r>
      <w:r>
        <w:t xml:space="preserve"> 47 CFR §§ 0.61, 0.204(b), and 0.283,</w:t>
      </w:r>
      <w:r w:rsidRPr="009F2562">
        <w:t xml:space="preserve"> </w:t>
      </w:r>
      <w:r>
        <w:rPr>
          <w:color w:val="000000"/>
          <w:szCs w:val="22"/>
        </w:rPr>
        <w:t xml:space="preserve">effective </w:t>
      </w:r>
      <w:r w:rsidR="00F46971">
        <w:rPr>
          <w:color w:val="000000"/>
          <w:szCs w:val="22"/>
        </w:rPr>
        <w:t>October 11, 2022</w:t>
      </w:r>
      <w:r>
        <w:rPr>
          <w:color w:val="000000"/>
          <w:szCs w:val="22"/>
        </w:rPr>
        <w:t xml:space="preserve">, </w:t>
      </w:r>
      <w:r w:rsidRPr="009F2562">
        <w:t xml:space="preserve">the </w:t>
      </w:r>
      <w:r>
        <w:t>FM</w:t>
      </w:r>
      <w:r w:rsidRPr="009F2562">
        <w:t xml:space="preserve"> Table of Allotments, </w:t>
      </w:r>
      <w:r>
        <w:t>47 CFR § 73.202(b),</w:t>
      </w:r>
      <w:r w:rsidRPr="009F2562">
        <w:t xml:space="preserve"> </w:t>
      </w:r>
      <w:r>
        <w:rPr>
          <w:color w:val="000000"/>
          <w:szCs w:val="22"/>
        </w:rPr>
        <w:t>IS AMENDED, with respect to the community listed below, to read</w:t>
      </w:r>
      <w:r>
        <w:t xml:space="preserve"> as follows:</w:t>
      </w:r>
    </w:p>
    <w:p w:rsidR="00E90584" w:rsidP="00861121" w14:paraId="1B0639AD" w14:textId="5C79187A">
      <w:pPr>
        <w:pStyle w:val="ParaNum"/>
        <w:numPr>
          <w:ilvl w:val="0"/>
          <w:numId w:val="0"/>
        </w:numPr>
        <w:spacing w:after="0"/>
        <w:ind w:left="720"/>
      </w:pPr>
      <w:r>
        <w:rPr>
          <w:b/>
        </w:rPr>
        <w:t xml:space="preserve"> </w:t>
      </w:r>
      <w:r>
        <w:t xml:space="preserve">  </w:t>
      </w:r>
    </w:p>
    <w:p w:rsidR="00E90584" w:rsidRPr="007051D0" w:rsidP="00861121" w14:paraId="58DF746B" w14:textId="77777777">
      <w:pPr>
        <w:pStyle w:val="ParaNum"/>
        <w:widowControl/>
        <w:numPr>
          <w:ilvl w:val="0"/>
          <w:numId w:val="0"/>
        </w:numPr>
        <w:spacing w:after="0"/>
        <w:ind w:left="720" w:firstLine="720"/>
        <w:rPr>
          <w:b/>
          <w:bCs/>
          <w:u w:val="single"/>
        </w:rPr>
      </w:pPr>
      <w:r>
        <w:rPr>
          <w:b/>
          <w:bCs/>
          <w:u w:val="single"/>
        </w:rPr>
        <w:t>Community</w:t>
      </w:r>
      <w:r>
        <w:tab/>
      </w:r>
      <w:r>
        <w:tab/>
      </w:r>
      <w:r>
        <w:tab/>
      </w:r>
      <w:r>
        <w:tab/>
      </w:r>
      <w:r>
        <w:tab/>
      </w:r>
      <w:r>
        <w:tab/>
      </w:r>
      <w:r w:rsidRPr="007051D0">
        <w:rPr>
          <w:b/>
          <w:bCs/>
          <w:u w:val="single"/>
        </w:rPr>
        <w:t>Channel No.</w:t>
      </w:r>
      <w:r>
        <w:tab/>
      </w:r>
      <w:r>
        <w:tab/>
      </w:r>
    </w:p>
    <w:p w:rsidR="00E90584" w:rsidP="00861121" w14:paraId="7A989CE8" w14:textId="0BB9E77F">
      <w:pPr>
        <w:widowControl/>
        <w:ind w:left="720" w:firstLine="720"/>
        <w:rPr>
          <w:spacing w:val="-2"/>
        </w:rPr>
      </w:pPr>
      <w:r>
        <w:rPr>
          <w:spacing w:val="-2"/>
        </w:rPr>
        <w:t>Big Coppitt Key, Florida</w:t>
      </w:r>
      <w:r>
        <w:rPr>
          <w:spacing w:val="-2"/>
        </w:rPr>
        <w:tab/>
      </w:r>
      <w:r>
        <w:rPr>
          <w:spacing w:val="-2"/>
        </w:rPr>
        <w:tab/>
      </w:r>
      <w:r>
        <w:rPr>
          <w:spacing w:val="-2"/>
        </w:rPr>
        <w:tab/>
      </w:r>
      <w:r>
        <w:rPr>
          <w:spacing w:val="-2"/>
        </w:rPr>
        <w:tab/>
      </w:r>
      <w:r>
        <w:rPr>
          <w:spacing w:val="-2"/>
        </w:rPr>
        <w:tab/>
        <w:t>2</w:t>
      </w:r>
      <w:r>
        <w:rPr>
          <w:spacing w:val="-2"/>
        </w:rPr>
        <w:t>65C3</w:t>
      </w:r>
    </w:p>
    <w:p w:rsidR="006E2C60" w:rsidRPr="00E90584" w:rsidP="00861121" w14:paraId="75F2AAE1" w14:textId="77777777">
      <w:pPr>
        <w:widowControl/>
        <w:ind w:left="720" w:firstLine="720"/>
        <w:rPr>
          <w:spacing w:val="-2"/>
        </w:rPr>
      </w:pPr>
    </w:p>
    <w:p w:rsidR="00DC289D" w:rsidP="00861121" w14:paraId="09D3515C" w14:textId="00EF5FBE">
      <w:pPr>
        <w:pStyle w:val="ParaNum"/>
        <w:spacing w:after="0"/>
      </w:pPr>
      <w:r>
        <w:t>The window period for filing applications for Channel 2</w:t>
      </w:r>
      <w:r w:rsidR="008D6791">
        <w:t>65C3</w:t>
      </w:r>
      <w:r>
        <w:t xml:space="preserve"> at </w:t>
      </w:r>
      <w:r w:rsidR="008D6791">
        <w:t>Big Coppitt Key, Florida</w:t>
      </w:r>
      <w:r>
        <w:t xml:space="preserve"> will not be opened at this time.  Instead, the issue of opening this allotment for filing will be addressed by the Commission in subsequent order.</w:t>
      </w:r>
    </w:p>
    <w:p w:rsidR="00DC289D" w:rsidP="00861121" w14:paraId="7A389B31" w14:textId="77777777">
      <w:pPr>
        <w:pStyle w:val="ParaNum"/>
        <w:numPr>
          <w:ilvl w:val="0"/>
          <w:numId w:val="0"/>
        </w:numPr>
        <w:spacing w:after="0"/>
        <w:ind w:left="720"/>
      </w:pPr>
    </w:p>
    <w:p w:rsidR="00E90584" w:rsidP="00861121" w14:paraId="4F30AAAB" w14:textId="42BDA0E0">
      <w:pPr>
        <w:pStyle w:val="ParaNum"/>
        <w:spacing w:after="0"/>
      </w:pPr>
      <w:r w:rsidRPr="00E90584">
        <w:t>IT IS FURTHER ORDERED</w:t>
      </w:r>
      <w:r w:rsidR="004E4D93">
        <w:t>, T</w:t>
      </w:r>
      <w:r>
        <w:t xml:space="preserve">hat the Commission will send a copy of this </w:t>
      </w:r>
      <w:r w:rsidRPr="007258BB">
        <w:rPr>
          <w:i/>
          <w:iCs/>
        </w:rPr>
        <w:t>Report and Order</w:t>
      </w:r>
      <w:r>
        <w:t xml:space="preserve"> in a report to Congress and the Government Accountability Office pursuant to the Congressional Review Act, </w:t>
      </w:r>
      <w:r w:rsidRPr="007258BB">
        <w:rPr>
          <w:i/>
          <w:iCs/>
        </w:rPr>
        <w:t>see</w:t>
      </w:r>
      <w:r>
        <w:t xml:space="preserve"> 5 U.S.C. § 801(a)(1)(A).</w:t>
      </w:r>
    </w:p>
    <w:p w:rsidR="00861121" w:rsidP="00861121" w14:paraId="6A4EF728" w14:textId="77777777">
      <w:pPr>
        <w:pStyle w:val="ListParagraph"/>
      </w:pPr>
    </w:p>
    <w:p w:rsidR="00E90584" w:rsidP="00861121" w14:paraId="20F86599" w14:textId="726CA0EE">
      <w:pPr>
        <w:pStyle w:val="ParaNum"/>
        <w:spacing w:after="0"/>
      </w:pPr>
      <w:r>
        <w:t>IT IS FURTHER ORDERED, That this proceeding IS TERMINATED.</w:t>
      </w:r>
    </w:p>
    <w:p w:rsidR="00861121" w:rsidP="00861121" w14:paraId="4C66BDC6" w14:textId="77777777">
      <w:pPr>
        <w:pStyle w:val="ParaNum"/>
        <w:numPr>
          <w:ilvl w:val="0"/>
          <w:numId w:val="0"/>
        </w:numPr>
        <w:spacing w:after="0"/>
      </w:pPr>
    </w:p>
    <w:p w:rsidR="00E90584" w:rsidP="00861121" w14:paraId="745E6C5B" w14:textId="69C837AE">
      <w:pPr>
        <w:pStyle w:val="ParaNum"/>
        <w:spacing w:after="0"/>
      </w:pPr>
      <w:r>
        <w:t>For further information concerning this proceeding, contact Rolanda F. Smith, Media Bureau, (202) 418-2</w:t>
      </w:r>
      <w:r w:rsidR="007258BB">
        <w:t>054</w:t>
      </w:r>
      <w:r>
        <w:t>.</w:t>
      </w:r>
    </w:p>
    <w:p w:rsidR="00F15288" w:rsidP="00861121" w14:paraId="7AF9782D" w14:textId="77777777">
      <w:pPr>
        <w:widowControl/>
        <w:rPr>
          <w:spacing w:val="-2"/>
        </w:rPr>
      </w:pPr>
      <w:r>
        <w:rPr>
          <w:spacing w:val="-2"/>
        </w:rPr>
        <w:tab/>
      </w:r>
    </w:p>
    <w:p w:rsidR="004559D1" w:rsidP="00861121" w14:paraId="1AD87619"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bookmarkStart w:id="3" w:name="_Ref342151419"/>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t>FEDERAL COMMUNICATIONS COMMISSION</w:t>
      </w:r>
    </w:p>
    <w:p w:rsidR="004559D1" w:rsidP="00861121" w14:paraId="7D376FF4"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p w:rsidR="004559D1" w:rsidP="00861121" w14:paraId="52CED070"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p w:rsidR="004559D1" w:rsidP="00861121" w14:paraId="631F28A2"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bookmarkEnd w:id="3"/>
    <w:p w:rsidR="0073585D" w:rsidP="00861121" w14:paraId="3D66C7C9" w14:textId="77777777">
      <w:pPr>
        <w:ind w:left="3600" w:firstLine="720"/>
      </w:pPr>
      <w:r>
        <w:t>Nazifa Sawez</w:t>
      </w:r>
    </w:p>
    <w:p w:rsidR="0073585D" w:rsidP="00861121" w14:paraId="2B0B4A4E" w14:textId="77777777">
      <w:pPr>
        <w:ind w:left="3600" w:firstLine="720"/>
      </w:pPr>
      <w:r>
        <w:t xml:space="preserve">Assistant Chief, Audio Division </w:t>
      </w:r>
    </w:p>
    <w:p w:rsidR="00412FC5" w:rsidP="00A85A7B" w14:paraId="6B2E5578" w14:textId="77777777">
      <w:pPr>
        <w:ind w:left="3600" w:firstLine="720"/>
      </w:pPr>
      <w:r>
        <w:t>Media Bureau</w:t>
      </w:r>
    </w:p>
    <w:sectPr w:rsidSect="00232001">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09B" w:rsidP="0055614C" w14:paraId="3C824A2B" w14:textId="77777777">
    <w:pPr>
      <w:pStyle w:val="Footer"/>
      <w:framePr w:wrap="around" w:vAnchor="text" w:hAnchor="margin" w:xAlign="center" w:y="1"/>
    </w:pPr>
    <w:r>
      <w:fldChar w:fldCharType="begin"/>
    </w:r>
    <w:r>
      <w:instrText xml:space="preserve">PAGE  </w:instrText>
    </w:r>
    <w:r w:rsidR="00F155E1">
      <w:fldChar w:fldCharType="separate"/>
    </w:r>
    <w:r>
      <w:fldChar w:fldCharType="end"/>
    </w:r>
  </w:p>
  <w:p w:rsidR="00C2209B" w14:paraId="6D6424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09B" w:rsidP="00130ABE" w14:paraId="5A87E5D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09B" w14:paraId="3DF5C5E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2908" w14:paraId="4EFF7F8F" w14:textId="77777777">
      <w:r>
        <w:separator/>
      </w:r>
    </w:p>
  </w:footnote>
  <w:footnote w:type="continuationSeparator" w:id="1">
    <w:p w:rsidR="00D92908" w:rsidP="00C721AC" w14:paraId="762791CF" w14:textId="77777777">
      <w:pPr>
        <w:spacing w:before="120"/>
        <w:rPr>
          <w:sz w:val="20"/>
        </w:rPr>
      </w:pPr>
      <w:r>
        <w:rPr>
          <w:sz w:val="20"/>
        </w:rPr>
        <w:t xml:space="preserve">(Continued from previous page)  </w:t>
      </w:r>
      <w:r>
        <w:rPr>
          <w:sz w:val="20"/>
        </w:rPr>
        <w:separator/>
      </w:r>
    </w:p>
  </w:footnote>
  <w:footnote w:type="continuationNotice" w:id="2">
    <w:p w:rsidR="00D92908" w:rsidP="00C721AC" w14:paraId="2CCDACFA" w14:textId="77777777">
      <w:pPr>
        <w:jc w:val="right"/>
        <w:rPr>
          <w:sz w:val="20"/>
        </w:rPr>
      </w:pPr>
      <w:r>
        <w:rPr>
          <w:sz w:val="20"/>
        </w:rPr>
        <w:t>(continued….)</w:t>
      </w:r>
    </w:p>
  </w:footnote>
  <w:footnote w:id="3">
    <w:p w:rsidR="00D50856" w:rsidP="00D50856" w14:paraId="27566D3C" w14:textId="7D85DFC4">
      <w:pPr>
        <w:pStyle w:val="FootnoteText"/>
      </w:pPr>
      <w:r>
        <w:rPr>
          <w:rStyle w:val="FootnoteReference"/>
        </w:rPr>
        <w:footnoteRef/>
      </w:r>
      <w:r>
        <w:t xml:space="preserve"> </w:t>
      </w:r>
      <w:r>
        <w:rPr>
          <w:i/>
        </w:rPr>
        <w:t xml:space="preserve">See </w:t>
      </w:r>
      <w:r w:rsidR="003B4380">
        <w:rPr>
          <w:i/>
        </w:rPr>
        <w:t>Big Coppitt Key, Florida</w:t>
      </w:r>
      <w:r>
        <w:rPr>
          <w:i/>
        </w:rPr>
        <w:t xml:space="preserve">, </w:t>
      </w:r>
      <w:r>
        <w:t xml:space="preserve">Notice of Proposed Rule Making, </w:t>
      </w:r>
      <w:r w:rsidRPr="003B4380" w:rsidR="003B4380">
        <w:t>DA-22-540</w:t>
      </w:r>
      <w:r w:rsidR="003B4380">
        <w:t xml:space="preserve">, rel. </w:t>
      </w:r>
      <w:r w:rsidRPr="003B4380" w:rsidR="003B4380">
        <w:t xml:space="preserve">May 18, 2022 </w:t>
      </w:r>
      <w:r w:rsidRPr="003C6FD9">
        <w:t>(</w:t>
      </w:r>
      <w:r>
        <w:t xml:space="preserve">MB </w:t>
      </w:r>
      <w:r w:rsidRPr="003C6FD9">
        <w:t>20</w:t>
      </w:r>
      <w:r>
        <w:t>2</w:t>
      </w:r>
      <w:r w:rsidR="003B4380">
        <w:t>2</w:t>
      </w:r>
      <w:r w:rsidRPr="003C6FD9">
        <w:t>)</w:t>
      </w:r>
      <w:r>
        <w:rPr>
          <w:color w:val="1F497D"/>
        </w:rPr>
        <w:t xml:space="preserve"> </w:t>
      </w:r>
      <w:r>
        <w:t>(“</w:t>
      </w:r>
      <w:r>
        <w:rPr>
          <w:i/>
        </w:rPr>
        <w:t>Notice</w:t>
      </w:r>
      <w:r>
        <w:t>”).</w:t>
      </w:r>
    </w:p>
  </w:footnote>
  <w:footnote w:id="4">
    <w:p w:rsidR="00D50856" w:rsidP="00D50856" w14:paraId="39A9548A" w14:textId="77777777">
      <w:pPr>
        <w:pStyle w:val="FootnoteText"/>
      </w:pPr>
      <w:r>
        <w:rPr>
          <w:rStyle w:val="FootnoteReference"/>
        </w:rPr>
        <w:footnoteRef/>
      </w:r>
      <w:r>
        <w:t xml:space="preserve"> </w:t>
      </w:r>
      <w:r>
        <w:t>47 C.F.R. § 73.202(b).</w:t>
      </w:r>
    </w:p>
  </w:footnote>
  <w:footnote w:id="5">
    <w:p w:rsidR="00181079" w:rsidP="00181079" w14:paraId="74E34614" w14:textId="77777777">
      <w:pPr>
        <w:pStyle w:val="FootnoteText"/>
        <w:spacing w:after="0"/>
      </w:pPr>
      <w:r>
        <w:rPr>
          <w:rStyle w:val="FootnoteReference"/>
        </w:rPr>
        <w:footnoteRef/>
      </w:r>
      <w:r>
        <w:t xml:space="preserve"> </w:t>
      </w:r>
      <w:r>
        <w:rPr>
          <w:i/>
          <w:iCs/>
        </w:rPr>
        <w:t xml:space="preserve">See </w:t>
      </w:r>
      <w:r w:rsidRPr="00890899">
        <w:rPr>
          <w:i/>
          <w:iCs/>
        </w:rPr>
        <w:t>Stock Island, Florida</w:t>
      </w:r>
      <w:r w:rsidRPr="00890899">
        <w:t>, 8 FCC Rcd 343 (M</w:t>
      </w:r>
      <w:r>
        <w:t xml:space="preserve">MB </w:t>
      </w:r>
      <w:r w:rsidRPr="00890899">
        <w:t xml:space="preserve">1993); </w:t>
      </w:r>
      <w:r w:rsidRPr="00890899">
        <w:rPr>
          <w:i/>
          <w:iCs/>
        </w:rPr>
        <w:t>Hannahs Mill and Milledgeville, Georgia</w:t>
      </w:r>
      <w:r w:rsidRPr="00890899">
        <w:t>, 7 FCC Rcd 3944 (M</w:t>
      </w:r>
      <w:r>
        <w:t>MB</w:t>
      </w:r>
      <w:r w:rsidRPr="00890899">
        <w:t>1992)</w:t>
      </w:r>
      <w:r>
        <w:t xml:space="preserve">; and </w:t>
      </w:r>
      <w:r w:rsidRPr="00890899">
        <w:rPr>
          <w:i/>
          <w:iCs/>
        </w:rPr>
        <w:t>East Hemet, California, et al</w:t>
      </w:r>
      <w:r w:rsidRPr="00890899">
        <w:t>., 4 FCC Rcd 7895 (</w:t>
      </w:r>
      <w:r>
        <w:t xml:space="preserve">MMB </w:t>
      </w:r>
      <w:r w:rsidRPr="00890899">
        <w:t>1989)</w:t>
      </w:r>
      <w:r w:rsidRPr="003D6CBA">
        <w:t>(denying community status because petitioner failed to identify any other businesses or political, social and commercial organizations which identify themselves with the community in question).</w:t>
      </w:r>
    </w:p>
    <w:p w:rsidR="00181079" w:rsidP="00181079" w14:paraId="4E047363" w14:textId="77777777">
      <w:pPr>
        <w:pStyle w:val="FootnoteText"/>
        <w:spacing w:after="0"/>
      </w:pPr>
    </w:p>
  </w:footnote>
  <w:footnote w:id="6">
    <w:p w:rsidR="00D50856" w:rsidP="00D50856" w14:paraId="603A0C0D" w14:textId="4AD83553">
      <w:pPr>
        <w:pStyle w:val="FootnoteText"/>
      </w:pPr>
      <w:r>
        <w:rPr>
          <w:rStyle w:val="FootnoteReference"/>
        </w:rPr>
        <w:footnoteRef/>
      </w:r>
      <w:r>
        <w:t xml:space="preserve"> </w:t>
      </w:r>
      <w:r w:rsidRPr="0025094D">
        <w:rPr>
          <w:i/>
        </w:rPr>
        <w:t xml:space="preserve">See </w:t>
      </w:r>
      <w:r w:rsidR="00A72CDE">
        <w:t>Application</w:t>
      </w:r>
      <w:r w:rsidRPr="008D6791" w:rsidR="00A72CDE">
        <w:t xml:space="preserve"> </w:t>
      </w:r>
      <w:r w:rsidRPr="008D6791" w:rsidR="008D6791">
        <w:t>File No. 0000187154</w:t>
      </w:r>
      <w:r w:rsidR="00B73127">
        <w:t>.</w:t>
      </w:r>
    </w:p>
  </w:footnote>
  <w:footnote w:id="7">
    <w:p w:rsidR="00F80E20" w:rsidRPr="00F80E20" w:rsidP="00F80E20" w14:paraId="48997072" w14:textId="77777777">
      <w:pPr>
        <w:pStyle w:val="FootnoteText"/>
        <w:spacing w:after="0"/>
      </w:pPr>
      <w:r>
        <w:rPr>
          <w:rStyle w:val="FootnoteReference"/>
        </w:rPr>
        <w:footnoteRef/>
      </w:r>
      <w:r>
        <w:t xml:space="preserve"> </w:t>
      </w:r>
      <w:r w:rsidRPr="00F80E20">
        <w:rPr>
          <w:i/>
          <w:iCs/>
        </w:rPr>
        <w:t xml:space="preserve">See </w:t>
      </w:r>
      <w:r w:rsidRPr="00F80E20">
        <w:rPr>
          <w:i/>
        </w:rPr>
        <w:t xml:space="preserve">Revision of FM Assignment Policies and Procedures, </w:t>
      </w:r>
      <w:r w:rsidRPr="00F80E20">
        <w:t xml:space="preserve">Second Report and Order, 90 FCC 2d 88 (1982).  The FM allotment priorities are: (1) First fulltime aural service, (2) Second fulltime aural service, (3) First local service and (4) Other public interest matters.  Co-equal weight is given to Priorities (2) and (3). </w:t>
      </w:r>
    </w:p>
    <w:p w:rsidR="00F80E20" w:rsidP="00F80E20" w14:paraId="12F7AC7B" w14:textId="417B9849">
      <w:pPr>
        <w:pStyle w:val="FootnoteText"/>
        <w:spacing w:after="0"/>
      </w:pPr>
    </w:p>
  </w:footnote>
  <w:footnote w:id="8">
    <w:p w:rsidR="008D6791" w:rsidP="00F80E20" w14:paraId="43260F9A" w14:textId="77777777">
      <w:pPr>
        <w:pStyle w:val="FootnoteText"/>
        <w:widowControl w:val="0"/>
        <w:spacing w:after="0"/>
      </w:pPr>
      <w:r w:rsidRPr="00890899">
        <w:rPr>
          <w:rStyle w:val="FootnoteReference"/>
        </w:rPr>
        <w:footnoteRef/>
      </w:r>
      <w:r w:rsidRPr="00890899">
        <w:t xml:space="preserve"> </w:t>
      </w:r>
      <w:r w:rsidRPr="00890899">
        <w:t>47 CFR § 73.207.</w:t>
      </w:r>
    </w:p>
    <w:p w:rsidR="008D6791" w:rsidRPr="00890899" w:rsidP="008D6791" w14:paraId="26316D73" w14:textId="77777777">
      <w:pPr>
        <w:pStyle w:val="FootnoteText"/>
        <w:widowControl w:val="0"/>
        <w:spacing w:after="0"/>
      </w:pPr>
    </w:p>
  </w:footnote>
  <w:footnote w:id="9">
    <w:p w:rsidR="00F15288" w:rsidP="00F15288" w14:paraId="062C5845" w14:textId="77777777">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10">
    <w:p w:rsidR="00F15288" w:rsidP="00F15288" w14:paraId="6E430BC1" w14:textId="0D86D3C3">
      <w:pPr>
        <w:pStyle w:val="FootnoteText"/>
        <w:widowControl w:val="0"/>
      </w:pPr>
      <w:r>
        <w:rPr>
          <w:rStyle w:val="FootnoteReference"/>
        </w:rPr>
        <w:footnoteRef/>
      </w:r>
      <w:r>
        <w:t xml:space="preserve"> </w:t>
      </w:r>
      <w:r w:rsidRPr="009F2562">
        <w:t>47 CFR § 73.</w:t>
      </w:r>
      <w:r w:rsidR="00315E55">
        <w:t>202</w:t>
      </w:r>
      <w:r w:rsidRPr="009F2562">
        <w:t>(</w:t>
      </w:r>
      <w:r>
        <w:t>b</w:t>
      </w:r>
      <w:r w:rsidRPr="009F2562">
        <w:t>).</w:t>
      </w:r>
    </w:p>
  </w:footnote>
  <w:footnote w:id="11">
    <w:p w:rsidR="00F15288" w:rsidP="00F15288" w14:paraId="1D26F043" w14:textId="77777777">
      <w:pPr>
        <w:pStyle w:val="FootnoteText"/>
        <w:widowControl w:val="0"/>
      </w:pPr>
      <w:r>
        <w:rPr>
          <w:rStyle w:val="FootnoteReference"/>
        </w:rPr>
        <w:footnoteRef/>
      </w:r>
      <w:r>
        <w:t xml:space="preserve"> </w:t>
      </w:r>
      <w:r w:rsidRPr="000A72DA">
        <w:rPr>
          <w:i/>
          <w:iCs/>
        </w:rPr>
        <w:t>See</w:t>
      </w:r>
      <w:r w:rsidRPr="000A72DA">
        <w:rPr>
          <w:szCs w:val="22"/>
        </w:rPr>
        <w:t xml:space="preserve"> </w:t>
      </w:r>
      <w:r w:rsidRPr="00522221">
        <w:rPr>
          <w:szCs w:val="22"/>
        </w:rPr>
        <w:t>44 U.S.C. §§ 3501-3520</w:t>
      </w:r>
      <w:r>
        <w:rPr>
          <w:szCs w:val="22"/>
        </w:rPr>
        <w:t>.</w:t>
      </w:r>
    </w:p>
  </w:footnote>
  <w:footnote w:id="12">
    <w:p w:rsidR="00F15288" w:rsidP="00F15288" w14:paraId="79DC0BA2" w14:textId="77777777">
      <w:pPr>
        <w:pStyle w:val="FootnoteText"/>
        <w:widowControl w:val="0"/>
      </w:pPr>
      <w:r>
        <w:rPr>
          <w:rStyle w:val="FootnoteReference"/>
        </w:rPr>
        <w:footnoteRef/>
      </w:r>
      <w:r>
        <w:t xml:space="preserve"> </w:t>
      </w:r>
      <w:r w:rsidRPr="000A72DA">
        <w:rPr>
          <w:i/>
          <w:iCs/>
        </w:rPr>
        <w:t>See</w:t>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09B" w:rsidP="00810B6F" w14:paraId="7FBB8FDD" w14:textId="6FCAC77B">
    <w:pPr>
      <w:pStyle w:val="Header"/>
      <w:rPr>
        <w:b w:val="0"/>
      </w:rPr>
    </w:pPr>
    <w:r>
      <w:tab/>
    </w:r>
    <w:r>
      <w:t>Federal Communications Commission</w:t>
    </w:r>
    <w:r>
      <w:tab/>
    </w:r>
    <w:r w:rsidRPr="001218C8">
      <w:t>DA 2</w:t>
    </w:r>
    <w:r w:rsidRPr="001218C8" w:rsidR="00BC0942">
      <w:t>2</w:t>
    </w:r>
    <w:r w:rsidRPr="001218C8">
      <w:t>-</w:t>
    </w:r>
    <w:r w:rsidR="00F155E1">
      <w:t>889</w:t>
    </w:r>
  </w:p>
  <w:p w:rsidR="00C2209B" w14:paraId="598B079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C2209B" w14:paraId="45AF4B3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09B" w:rsidP="00810B6F" w14:paraId="0E814305" w14:textId="7777777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r>
    <w:r>
      <w:t>Federal Communications Commission</w:t>
    </w:r>
    <w:r>
      <w:tab/>
    </w:r>
    <w:r w:rsidRPr="00BE71FE">
      <w:rPr>
        <w:spacing w:val="-2"/>
        <w:highlight w:val="yellow"/>
      </w:rPr>
      <w:t>DA 21-XX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7D723F0"/>
    <w:multiLevelType w:val="hybridMultilevel"/>
    <w:tmpl w:val="9B56D55C"/>
    <w:lvl w:ilvl="0">
      <w:start w:val="1"/>
      <w:numFmt w:val="decimal"/>
      <w:lvlText w:val="%1."/>
      <w:lvlJc w:val="left"/>
      <w:pPr>
        <w:tabs>
          <w:tab w:val="num" w:pos="1080"/>
        </w:tabs>
        <w:ind w:left="0" w:firstLine="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B83765B"/>
    <w:multiLevelType w:val="hybridMultilevel"/>
    <w:tmpl w:val="13E6E47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5FC43AE0"/>
    <w:multiLevelType w:val="hybridMultilevel"/>
    <w:tmpl w:val="DF58CB0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9"/>
  </w:num>
  <w:num w:numId="3">
    <w:abstractNumId w:val="4"/>
  </w:num>
  <w:num w:numId="4">
    <w:abstractNumId w:val="5"/>
  </w:num>
  <w:num w:numId="5">
    <w:abstractNumId w:val="3"/>
  </w:num>
  <w:num w:numId="6">
    <w:abstractNumId w:val="0"/>
  </w:num>
  <w:num w:numId="7">
    <w:abstractNumId w:val="8"/>
  </w:num>
  <w:num w:numId="8">
    <w:abstractNumId w:val="9"/>
    <w:lvlOverride w:ilvl="0">
      <w:startOverride w:val="1"/>
    </w:lvlOverride>
  </w:num>
  <w:num w:numId="9">
    <w:abstractNumId w:val="7"/>
  </w:num>
  <w:num w:numId="10">
    <w:abstractNumId w:val="6"/>
  </w:num>
  <w:num w:numId="11">
    <w:abstractNumId w:val="6"/>
    <w:lvlOverride w:ilvl="0">
      <w:startOverride w:val="1"/>
    </w:lvlOverride>
  </w:num>
  <w:num w:numId="12">
    <w:abstractNumId w:val="9"/>
    <w:lvlOverride w:ilvl="0">
      <w:startOverride w:val="11"/>
    </w:lvlOverride>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10"/>
  </w:num>
  <w:num w:numId="34">
    <w:abstractNumId w:val="9"/>
    <w:lvlOverride w:ilvl="0">
      <w:startOverride w:val="1"/>
    </w:lvlOverride>
  </w:num>
  <w:num w:numId="35">
    <w:abstractNumId w:val="1"/>
  </w:num>
  <w:num w:numId="36">
    <w:abstractNumId w:val="11"/>
  </w:num>
  <w:num w:numId="37">
    <w:abstractNumId w:val="9"/>
  </w:num>
  <w:num w:numId="38">
    <w:abstractNumId w:val="9"/>
    <w:lvlOverride w:ilvl="0">
      <w:startOverride w:val="3"/>
    </w:lvlOverride>
  </w:num>
  <w:num w:numId="39">
    <w:abstractNumId w:val="9"/>
    <w:lvlOverride w:ilvl="0">
      <w:startOverride w:val="1"/>
    </w:lvlOverride>
  </w:num>
  <w:num w:numId="40">
    <w:abstractNumId w:val="9"/>
    <w:lvlOverride w:ilvl="0">
      <w:startOverride w:val="1"/>
    </w:lvlOverride>
  </w:num>
  <w:num w:numId="41">
    <w:abstractNumId w:val="9"/>
    <w:lvlOverride w:ilvl="0">
      <w:startOverride w:val="1"/>
    </w:lvlOverride>
  </w:num>
  <w:num w:numId="42">
    <w:abstractNumId w:val="9"/>
  </w:num>
  <w:num w:numId="43">
    <w:abstractNumId w:val="9"/>
    <w:lvlOverride w:ilvl="0">
      <w:startOverride w:val="1"/>
    </w:lvlOverride>
  </w:num>
  <w:num w:numId="44">
    <w:abstractNumId w:val="9"/>
  </w:num>
  <w:num w:numId="45">
    <w:abstractNumId w:val="9"/>
  </w:num>
  <w:num w:numId="46">
    <w:abstractNumId w:val="9"/>
  </w:num>
  <w:num w:numId="47">
    <w:abstractNumId w:val="9"/>
  </w:num>
  <w:num w:numId="48">
    <w:abstractNumId w:val="9"/>
    <w:lvlOverride w:ilvl="0">
      <w:startOverride w:val="1"/>
    </w:lvlOverride>
  </w:num>
  <w:num w:numId="49">
    <w:abstractNumId w:val="9"/>
  </w:num>
  <w:num w:numId="50">
    <w:abstractNumId w:val="9"/>
  </w:num>
  <w:num w:numId="51">
    <w:abstractNumId w:val="9"/>
    <w:lvlOverride w:ilvl="0">
      <w:startOverride w:val="1"/>
    </w:lvlOverride>
  </w:num>
  <w:num w:numId="52">
    <w:abstractNumId w:val="9"/>
  </w:num>
  <w:num w:numId="53">
    <w:abstractNumId w:val="9"/>
  </w:num>
  <w:num w:numId="54">
    <w:abstractNumId w:val="9"/>
  </w:num>
  <w:num w:numId="55">
    <w:abstractNumId w:val="9"/>
  </w:num>
  <w:num w:numId="56">
    <w:abstractNumId w:val="9"/>
  </w:num>
  <w:num w:numId="57">
    <w:abstractNumId w:val="9"/>
  </w:num>
  <w:num w:numId="58">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ABE"/>
    <w:rsid w:val="00003C3A"/>
    <w:rsid w:val="000201C4"/>
    <w:rsid w:val="00026336"/>
    <w:rsid w:val="00030646"/>
    <w:rsid w:val="0003218D"/>
    <w:rsid w:val="000348D7"/>
    <w:rsid w:val="00036039"/>
    <w:rsid w:val="00037F90"/>
    <w:rsid w:val="00043C6B"/>
    <w:rsid w:val="00063F4B"/>
    <w:rsid w:val="000742B7"/>
    <w:rsid w:val="00087349"/>
    <w:rsid w:val="000875BF"/>
    <w:rsid w:val="00093EF0"/>
    <w:rsid w:val="00096D8C"/>
    <w:rsid w:val="000A72DA"/>
    <w:rsid w:val="000B6054"/>
    <w:rsid w:val="000C0B65"/>
    <w:rsid w:val="000C0E3A"/>
    <w:rsid w:val="000C634C"/>
    <w:rsid w:val="000E05FE"/>
    <w:rsid w:val="000E3D42"/>
    <w:rsid w:val="001078C4"/>
    <w:rsid w:val="001078E7"/>
    <w:rsid w:val="001168C6"/>
    <w:rsid w:val="00117AD6"/>
    <w:rsid w:val="001218C8"/>
    <w:rsid w:val="00122BD5"/>
    <w:rsid w:val="00130ABE"/>
    <w:rsid w:val="001334DB"/>
    <w:rsid w:val="00133F79"/>
    <w:rsid w:val="00136FF1"/>
    <w:rsid w:val="00140AD9"/>
    <w:rsid w:val="00140EA0"/>
    <w:rsid w:val="00141BE9"/>
    <w:rsid w:val="0015009B"/>
    <w:rsid w:val="00150172"/>
    <w:rsid w:val="00173667"/>
    <w:rsid w:val="00176266"/>
    <w:rsid w:val="00180144"/>
    <w:rsid w:val="00181079"/>
    <w:rsid w:val="00187E1B"/>
    <w:rsid w:val="00194A66"/>
    <w:rsid w:val="00194E58"/>
    <w:rsid w:val="001A5A25"/>
    <w:rsid w:val="001B575D"/>
    <w:rsid w:val="001C59EA"/>
    <w:rsid w:val="001D6BCF"/>
    <w:rsid w:val="001E01CA"/>
    <w:rsid w:val="001E09E3"/>
    <w:rsid w:val="001E1CCF"/>
    <w:rsid w:val="001E74F8"/>
    <w:rsid w:val="001F250D"/>
    <w:rsid w:val="001F63CC"/>
    <w:rsid w:val="00232001"/>
    <w:rsid w:val="00232546"/>
    <w:rsid w:val="00240A70"/>
    <w:rsid w:val="00241A10"/>
    <w:rsid w:val="00244028"/>
    <w:rsid w:val="00247396"/>
    <w:rsid w:val="0025094D"/>
    <w:rsid w:val="00262C8A"/>
    <w:rsid w:val="00264B43"/>
    <w:rsid w:val="00266362"/>
    <w:rsid w:val="00272C07"/>
    <w:rsid w:val="00275B35"/>
    <w:rsid w:val="00275CF5"/>
    <w:rsid w:val="00280A64"/>
    <w:rsid w:val="0028301F"/>
    <w:rsid w:val="00285017"/>
    <w:rsid w:val="002A2D2E"/>
    <w:rsid w:val="002A3645"/>
    <w:rsid w:val="002B13AC"/>
    <w:rsid w:val="002C00E8"/>
    <w:rsid w:val="002C087B"/>
    <w:rsid w:val="002C3027"/>
    <w:rsid w:val="002C4AAE"/>
    <w:rsid w:val="002C4D06"/>
    <w:rsid w:val="002E384C"/>
    <w:rsid w:val="002E77EE"/>
    <w:rsid w:val="002F216F"/>
    <w:rsid w:val="002F74F2"/>
    <w:rsid w:val="00300DE3"/>
    <w:rsid w:val="00310197"/>
    <w:rsid w:val="003109C6"/>
    <w:rsid w:val="00310F41"/>
    <w:rsid w:val="0031292A"/>
    <w:rsid w:val="00315E55"/>
    <w:rsid w:val="003160B9"/>
    <w:rsid w:val="003306AC"/>
    <w:rsid w:val="00342787"/>
    <w:rsid w:val="00343749"/>
    <w:rsid w:val="00344663"/>
    <w:rsid w:val="003528EE"/>
    <w:rsid w:val="003660ED"/>
    <w:rsid w:val="00367F21"/>
    <w:rsid w:val="003801C1"/>
    <w:rsid w:val="003907DF"/>
    <w:rsid w:val="0039277B"/>
    <w:rsid w:val="003957C2"/>
    <w:rsid w:val="003A7466"/>
    <w:rsid w:val="003B0550"/>
    <w:rsid w:val="003B4380"/>
    <w:rsid w:val="003B694F"/>
    <w:rsid w:val="003B7C5F"/>
    <w:rsid w:val="003C3BA5"/>
    <w:rsid w:val="003C5D37"/>
    <w:rsid w:val="003C6FD9"/>
    <w:rsid w:val="003D4391"/>
    <w:rsid w:val="003D6045"/>
    <w:rsid w:val="003D6CBA"/>
    <w:rsid w:val="003E40FC"/>
    <w:rsid w:val="003F171C"/>
    <w:rsid w:val="00402AD5"/>
    <w:rsid w:val="00412FC5"/>
    <w:rsid w:val="00422276"/>
    <w:rsid w:val="00423671"/>
    <w:rsid w:val="004242F1"/>
    <w:rsid w:val="00427A25"/>
    <w:rsid w:val="00427BEC"/>
    <w:rsid w:val="004372AA"/>
    <w:rsid w:val="00442FC7"/>
    <w:rsid w:val="00445A00"/>
    <w:rsid w:val="00451B0F"/>
    <w:rsid w:val="004559D1"/>
    <w:rsid w:val="004639AE"/>
    <w:rsid w:val="00463F73"/>
    <w:rsid w:val="00467815"/>
    <w:rsid w:val="0047615F"/>
    <w:rsid w:val="00477592"/>
    <w:rsid w:val="00481178"/>
    <w:rsid w:val="00482B4E"/>
    <w:rsid w:val="0048711B"/>
    <w:rsid w:val="004927D9"/>
    <w:rsid w:val="00492F57"/>
    <w:rsid w:val="004A3C48"/>
    <w:rsid w:val="004A52FD"/>
    <w:rsid w:val="004A6044"/>
    <w:rsid w:val="004B62AD"/>
    <w:rsid w:val="004C2EE3"/>
    <w:rsid w:val="004C5267"/>
    <w:rsid w:val="004D0E27"/>
    <w:rsid w:val="004D2394"/>
    <w:rsid w:val="004D7142"/>
    <w:rsid w:val="004E4A22"/>
    <w:rsid w:val="004E4D93"/>
    <w:rsid w:val="004E6573"/>
    <w:rsid w:val="004E788D"/>
    <w:rsid w:val="004F0299"/>
    <w:rsid w:val="00511968"/>
    <w:rsid w:val="00522221"/>
    <w:rsid w:val="00525DBD"/>
    <w:rsid w:val="00535E1E"/>
    <w:rsid w:val="00541284"/>
    <w:rsid w:val="00545634"/>
    <w:rsid w:val="0055614C"/>
    <w:rsid w:val="00561F56"/>
    <w:rsid w:val="00566D06"/>
    <w:rsid w:val="005706D3"/>
    <w:rsid w:val="00577D11"/>
    <w:rsid w:val="005873EB"/>
    <w:rsid w:val="00595657"/>
    <w:rsid w:val="00597C3C"/>
    <w:rsid w:val="005A3372"/>
    <w:rsid w:val="005B5AF2"/>
    <w:rsid w:val="005B6EC6"/>
    <w:rsid w:val="005D4BE9"/>
    <w:rsid w:val="005E14C2"/>
    <w:rsid w:val="005E3497"/>
    <w:rsid w:val="005F609E"/>
    <w:rsid w:val="00600518"/>
    <w:rsid w:val="0060153B"/>
    <w:rsid w:val="00601725"/>
    <w:rsid w:val="00601B27"/>
    <w:rsid w:val="00607BA5"/>
    <w:rsid w:val="0061180A"/>
    <w:rsid w:val="00626EB6"/>
    <w:rsid w:val="00641C4C"/>
    <w:rsid w:val="006452B4"/>
    <w:rsid w:val="0064670C"/>
    <w:rsid w:val="006526C0"/>
    <w:rsid w:val="00655D03"/>
    <w:rsid w:val="0067553D"/>
    <w:rsid w:val="00682899"/>
    <w:rsid w:val="00682F01"/>
    <w:rsid w:val="00683388"/>
    <w:rsid w:val="00683F84"/>
    <w:rsid w:val="006905B5"/>
    <w:rsid w:val="00697C06"/>
    <w:rsid w:val="006A2A85"/>
    <w:rsid w:val="006A6A18"/>
    <w:rsid w:val="006A6A81"/>
    <w:rsid w:val="006A7080"/>
    <w:rsid w:val="006B3D7F"/>
    <w:rsid w:val="006B7CAA"/>
    <w:rsid w:val="006C59BA"/>
    <w:rsid w:val="006E2C60"/>
    <w:rsid w:val="006F4BD0"/>
    <w:rsid w:val="006F563D"/>
    <w:rsid w:val="006F7393"/>
    <w:rsid w:val="0070224F"/>
    <w:rsid w:val="007051D0"/>
    <w:rsid w:val="007115F7"/>
    <w:rsid w:val="00712D22"/>
    <w:rsid w:val="007248D6"/>
    <w:rsid w:val="007258BB"/>
    <w:rsid w:val="00726173"/>
    <w:rsid w:val="007314AB"/>
    <w:rsid w:val="007319C6"/>
    <w:rsid w:val="00732AAB"/>
    <w:rsid w:val="0073585D"/>
    <w:rsid w:val="007550CE"/>
    <w:rsid w:val="00760F44"/>
    <w:rsid w:val="00770081"/>
    <w:rsid w:val="0077478F"/>
    <w:rsid w:val="00776245"/>
    <w:rsid w:val="0078203E"/>
    <w:rsid w:val="00785689"/>
    <w:rsid w:val="0079754B"/>
    <w:rsid w:val="007A1E6D"/>
    <w:rsid w:val="007A3E77"/>
    <w:rsid w:val="007A76D0"/>
    <w:rsid w:val="007B0EB2"/>
    <w:rsid w:val="007C254B"/>
    <w:rsid w:val="007C2AB3"/>
    <w:rsid w:val="007C4EB0"/>
    <w:rsid w:val="007C68B1"/>
    <w:rsid w:val="007D6E13"/>
    <w:rsid w:val="007E0236"/>
    <w:rsid w:val="007E1CE9"/>
    <w:rsid w:val="0080462B"/>
    <w:rsid w:val="00807549"/>
    <w:rsid w:val="00810B6F"/>
    <w:rsid w:val="00810BB3"/>
    <w:rsid w:val="008120D0"/>
    <w:rsid w:val="0081678C"/>
    <w:rsid w:val="00821ADC"/>
    <w:rsid w:val="00822CE0"/>
    <w:rsid w:val="00836298"/>
    <w:rsid w:val="00841AB1"/>
    <w:rsid w:val="00861121"/>
    <w:rsid w:val="00881EE8"/>
    <w:rsid w:val="0088378E"/>
    <w:rsid w:val="00890899"/>
    <w:rsid w:val="00890C0F"/>
    <w:rsid w:val="00891F13"/>
    <w:rsid w:val="00897CC7"/>
    <w:rsid w:val="008A6458"/>
    <w:rsid w:val="008A74F2"/>
    <w:rsid w:val="008C03C0"/>
    <w:rsid w:val="008C5D86"/>
    <w:rsid w:val="008C68F1"/>
    <w:rsid w:val="008D6791"/>
    <w:rsid w:val="008E6865"/>
    <w:rsid w:val="008F7664"/>
    <w:rsid w:val="0090665A"/>
    <w:rsid w:val="00921803"/>
    <w:rsid w:val="0092467F"/>
    <w:rsid w:val="00926503"/>
    <w:rsid w:val="00930833"/>
    <w:rsid w:val="00931000"/>
    <w:rsid w:val="00942274"/>
    <w:rsid w:val="00966A4C"/>
    <w:rsid w:val="009726D8"/>
    <w:rsid w:val="00984E80"/>
    <w:rsid w:val="0098602B"/>
    <w:rsid w:val="00993363"/>
    <w:rsid w:val="009A0D13"/>
    <w:rsid w:val="009A6A84"/>
    <w:rsid w:val="009B2C09"/>
    <w:rsid w:val="009B4543"/>
    <w:rsid w:val="009D7308"/>
    <w:rsid w:val="009E1733"/>
    <w:rsid w:val="009E284B"/>
    <w:rsid w:val="009F2562"/>
    <w:rsid w:val="009F76DB"/>
    <w:rsid w:val="00A137F5"/>
    <w:rsid w:val="00A1761E"/>
    <w:rsid w:val="00A31FFF"/>
    <w:rsid w:val="00A32C3B"/>
    <w:rsid w:val="00A32F09"/>
    <w:rsid w:val="00A41E4A"/>
    <w:rsid w:val="00A45F4F"/>
    <w:rsid w:val="00A554A9"/>
    <w:rsid w:val="00A5671B"/>
    <w:rsid w:val="00A56AE0"/>
    <w:rsid w:val="00A600A9"/>
    <w:rsid w:val="00A639AC"/>
    <w:rsid w:val="00A71696"/>
    <w:rsid w:val="00A72CDE"/>
    <w:rsid w:val="00A84284"/>
    <w:rsid w:val="00A85A7B"/>
    <w:rsid w:val="00AA55B7"/>
    <w:rsid w:val="00AA5B9E"/>
    <w:rsid w:val="00AB0BD3"/>
    <w:rsid w:val="00AB2407"/>
    <w:rsid w:val="00AB53DF"/>
    <w:rsid w:val="00AC14DE"/>
    <w:rsid w:val="00B01369"/>
    <w:rsid w:val="00B0314F"/>
    <w:rsid w:val="00B07E5C"/>
    <w:rsid w:val="00B12CFF"/>
    <w:rsid w:val="00B24DE4"/>
    <w:rsid w:val="00B52530"/>
    <w:rsid w:val="00B56F98"/>
    <w:rsid w:val="00B62D98"/>
    <w:rsid w:val="00B63CC8"/>
    <w:rsid w:val="00B64CE7"/>
    <w:rsid w:val="00B71AEF"/>
    <w:rsid w:val="00B72FFB"/>
    <w:rsid w:val="00B73127"/>
    <w:rsid w:val="00B811F7"/>
    <w:rsid w:val="00B84DBC"/>
    <w:rsid w:val="00B97491"/>
    <w:rsid w:val="00BA0473"/>
    <w:rsid w:val="00BA5DC6"/>
    <w:rsid w:val="00BA6196"/>
    <w:rsid w:val="00BA7F4E"/>
    <w:rsid w:val="00BB2F26"/>
    <w:rsid w:val="00BC0942"/>
    <w:rsid w:val="00BC6D8C"/>
    <w:rsid w:val="00BC7C12"/>
    <w:rsid w:val="00BE542E"/>
    <w:rsid w:val="00BE71FE"/>
    <w:rsid w:val="00BF2BFF"/>
    <w:rsid w:val="00BF7554"/>
    <w:rsid w:val="00BF7F4B"/>
    <w:rsid w:val="00C05CE1"/>
    <w:rsid w:val="00C20CFA"/>
    <w:rsid w:val="00C2186F"/>
    <w:rsid w:val="00C2209B"/>
    <w:rsid w:val="00C26E6B"/>
    <w:rsid w:val="00C27BAE"/>
    <w:rsid w:val="00C34006"/>
    <w:rsid w:val="00C36B4C"/>
    <w:rsid w:val="00C426B1"/>
    <w:rsid w:val="00C557F5"/>
    <w:rsid w:val="00C61A49"/>
    <w:rsid w:val="00C654F0"/>
    <w:rsid w:val="00C66160"/>
    <w:rsid w:val="00C721AC"/>
    <w:rsid w:val="00C7511F"/>
    <w:rsid w:val="00C804B1"/>
    <w:rsid w:val="00C90D6A"/>
    <w:rsid w:val="00C9429C"/>
    <w:rsid w:val="00C97098"/>
    <w:rsid w:val="00CA1453"/>
    <w:rsid w:val="00CA247E"/>
    <w:rsid w:val="00CA6D21"/>
    <w:rsid w:val="00CA72CC"/>
    <w:rsid w:val="00CC72B6"/>
    <w:rsid w:val="00CE5579"/>
    <w:rsid w:val="00CF153E"/>
    <w:rsid w:val="00D0218D"/>
    <w:rsid w:val="00D1666E"/>
    <w:rsid w:val="00D16A13"/>
    <w:rsid w:val="00D17708"/>
    <w:rsid w:val="00D20256"/>
    <w:rsid w:val="00D2099D"/>
    <w:rsid w:val="00D22F5B"/>
    <w:rsid w:val="00D23450"/>
    <w:rsid w:val="00D25FB5"/>
    <w:rsid w:val="00D37F2F"/>
    <w:rsid w:val="00D405E1"/>
    <w:rsid w:val="00D44223"/>
    <w:rsid w:val="00D473C2"/>
    <w:rsid w:val="00D50856"/>
    <w:rsid w:val="00D632C9"/>
    <w:rsid w:val="00D73CE2"/>
    <w:rsid w:val="00D92908"/>
    <w:rsid w:val="00D9350E"/>
    <w:rsid w:val="00D94AE2"/>
    <w:rsid w:val="00DA2529"/>
    <w:rsid w:val="00DB0978"/>
    <w:rsid w:val="00DB130A"/>
    <w:rsid w:val="00DB2323"/>
    <w:rsid w:val="00DB2EBB"/>
    <w:rsid w:val="00DB3EDF"/>
    <w:rsid w:val="00DC10A1"/>
    <w:rsid w:val="00DC289D"/>
    <w:rsid w:val="00DC43D4"/>
    <w:rsid w:val="00DC47A6"/>
    <w:rsid w:val="00DC655F"/>
    <w:rsid w:val="00DD0B59"/>
    <w:rsid w:val="00DD7EBD"/>
    <w:rsid w:val="00DE2975"/>
    <w:rsid w:val="00DE38EC"/>
    <w:rsid w:val="00DE6102"/>
    <w:rsid w:val="00DF62B6"/>
    <w:rsid w:val="00E00F16"/>
    <w:rsid w:val="00E03332"/>
    <w:rsid w:val="00E05CFC"/>
    <w:rsid w:val="00E07225"/>
    <w:rsid w:val="00E16D0B"/>
    <w:rsid w:val="00E356DC"/>
    <w:rsid w:val="00E36C1D"/>
    <w:rsid w:val="00E42C52"/>
    <w:rsid w:val="00E454A8"/>
    <w:rsid w:val="00E46A07"/>
    <w:rsid w:val="00E46ABA"/>
    <w:rsid w:val="00E5409F"/>
    <w:rsid w:val="00E62A4B"/>
    <w:rsid w:val="00E661E0"/>
    <w:rsid w:val="00E6749A"/>
    <w:rsid w:val="00E72FB2"/>
    <w:rsid w:val="00E90584"/>
    <w:rsid w:val="00EA5597"/>
    <w:rsid w:val="00EB47F6"/>
    <w:rsid w:val="00EB4CE8"/>
    <w:rsid w:val="00EC5F79"/>
    <w:rsid w:val="00EC7FBE"/>
    <w:rsid w:val="00ED2625"/>
    <w:rsid w:val="00ED4E89"/>
    <w:rsid w:val="00ED5629"/>
    <w:rsid w:val="00EE6488"/>
    <w:rsid w:val="00F021FA"/>
    <w:rsid w:val="00F02707"/>
    <w:rsid w:val="00F05721"/>
    <w:rsid w:val="00F14F24"/>
    <w:rsid w:val="00F15288"/>
    <w:rsid w:val="00F155E1"/>
    <w:rsid w:val="00F2353C"/>
    <w:rsid w:val="00F32FD5"/>
    <w:rsid w:val="00F335DC"/>
    <w:rsid w:val="00F34F0A"/>
    <w:rsid w:val="00F34F3D"/>
    <w:rsid w:val="00F46971"/>
    <w:rsid w:val="00F6225C"/>
    <w:rsid w:val="00F62E97"/>
    <w:rsid w:val="00F64209"/>
    <w:rsid w:val="00F72AE6"/>
    <w:rsid w:val="00F75F1C"/>
    <w:rsid w:val="00F80E20"/>
    <w:rsid w:val="00F82947"/>
    <w:rsid w:val="00F84CBF"/>
    <w:rsid w:val="00F865C7"/>
    <w:rsid w:val="00F93BF5"/>
    <w:rsid w:val="00F944B7"/>
    <w:rsid w:val="00F97C54"/>
    <w:rsid w:val="00FB2443"/>
    <w:rsid w:val="00FB7373"/>
    <w:rsid w:val="00FB795E"/>
    <w:rsid w:val="00FC09D0"/>
    <w:rsid w:val="00FD099E"/>
    <w:rsid w:val="00FD4637"/>
    <w:rsid w:val="00FE623A"/>
    <w:rsid w:val="00FF25D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92BD961"/>
  <w15:docId w15:val="{C6E36FB5-DF16-461C-AF8F-D7726365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155E1"/>
    <w:pPr>
      <w:widowControl w:val="0"/>
    </w:pPr>
    <w:rPr>
      <w:snapToGrid w:val="0"/>
      <w:kern w:val="28"/>
      <w:sz w:val="22"/>
    </w:rPr>
  </w:style>
  <w:style w:type="paragraph" w:styleId="Heading1">
    <w:name w:val="heading 1"/>
    <w:aliases w:val="H1,Heading 1 Char Char,Heading 1 Char Char Char Char,Heading 1 Char Char Char Char Char Char,Heading 1 Char1,Heading 1 Char1 Char Char Char Char,Heading 1 Char2,Heading 1 Char2 Char Char,Heading 1 Char2 Char Char Char Char Char Char"/>
    <w:basedOn w:val="Normal"/>
    <w:next w:val="ParaNum"/>
    <w:qFormat/>
    <w:rsid w:val="00F155E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Heading 2 Char Char1 Char Char Char Char,Heading 2 Char1 Char,Heading 2 Char1 Char Char1 Char Char Char Char,Heading 2 Char2,Heading 2 Char3 Char Char Char Char,Heading 2 Char4 Char Char Char"/>
    <w:basedOn w:val="Normal"/>
    <w:next w:val="ParaNum"/>
    <w:link w:val="Heading2Char"/>
    <w:autoRedefine/>
    <w:qFormat/>
    <w:rsid w:val="00F155E1"/>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F155E1"/>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F155E1"/>
    <w:pPr>
      <w:keepNext/>
      <w:numPr>
        <w:ilvl w:val="3"/>
        <w:numId w:val="3"/>
      </w:numPr>
      <w:tabs>
        <w:tab w:val="left" w:pos="2880"/>
      </w:tabs>
      <w:spacing w:after="120"/>
      <w:outlineLvl w:val="3"/>
    </w:pPr>
    <w:rPr>
      <w:b/>
    </w:rPr>
  </w:style>
  <w:style w:type="paragraph" w:styleId="Heading5">
    <w:name w:val="heading 5"/>
    <w:basedOn w:val="Normal"/>
    <w:next w:val="ParaNum"/>
    <w:qFormat/>
    <w:rsid w:val="00F155E1"/>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F155E1"/>
    <w:pPr>
      <w:numPr>
        <w:ilvl w:val="5"/>
        <w:numId w:val="3"/>
      </w:numPr>
      <w:tabs>
        <w:tab w:val="left" w:pos="4320"/>
      </w:tabs>
      <w:spacing w:after="120"/>
      <w:outlineLvl w:val="5"/>
    </w:pPr>
    <w:rPr>
      <w:b/>
    </w:rPr>
  </w:style>
  <w:style w:type="paragraph" w:styleId="Heading7">
    <w:name w:val="heading 7"/>
    <w:basedOn w:val="Normal"/>
    <w:next w:val="ParaNum"/>
    <w:qFormat/>
    <w:rsid w:val="00F155E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155E1"/>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F155E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155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155E1"/>
  </w:style>
  <w:style w:type="paragraph" w:customStyle="1" w:styleId="ParaNum">
    <w:name w:val="ParaNum"/>
    <w:basedOn w:val="Normal"/>
    <w:link w:val="ParaNumChar1"/>
    <w:rsid w:val="00F155E1"/>
    <w:pPr>
      <w:numPr>
        <w:numId w:val="2"/>
      </w:numPr>
      <w:tabs>
        <w:tab w:val="clear" w:pos="1080"/>
        <w:tab w:val="num" w:pos="1440"/>
      </w:tabs>
      <w:spacing w:after="120"/>
    </w:pPr>
  </w:style>
  <w:style w:type="paragraph" w:styleId="EndnoteText">
    <w:name w:val="endnote text"/>
    <w:basedOn w:val="Normal"/>
    <w:semiHidden/>
    <w:rsid w:val="00F155E1"/>
    <w:rPr>
      <w:sz w:val="20"/>
    </w:rPr>
  </w:style>
  <w:style w:type="character" w:styleId="EndnoteReference">
    <w:name w:val="endnote reference"/>
    <w:semiHidden/>
    <w:rsid w:val="00F155E1"/>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F155E1"/>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F155E1"/>
    <w:rPr>
      <w:rFonts w:ascii="Times New Roman" w:hAnsi="Times New Roman"/>
      <w:dstrike w:val="0"/>
      <w:color w:val="auto"/>
      <w:sz w:val="20"/>
      <w:vertAlign w:val="superscript"/>
    </w:rPr>
  </w:style>
  <w:style w:type="paragraph" w:styleId="TOC1">
    <w:name w:val="toc 1"/>
    <w:basedOn w:val="Normal"/>
    <w:next w:val="Normal"/>
    <w:semiHidden/>
    <w:rsid w:val="00F155E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155E1"/>
    <w:pPr>
      <w:tabs>
        <w:tab w:val="left" w:pos="720"/>
        <w:tab w:val="right" w:leader="dot" w:pos="9360"/>
      </w:tabs>
      <w:suppressAutoHyphens/>
      <w:ind w:left="720" w:right="720" w:hanging="360"/>
    </w:pPr>
    <w:rPr>
      <w:noProof/>
    </w:rPr>
  </w:style>
  <w:style w:type="paragraph" w:styleId="TOC3">
    <w:name w:val="toc 3"/>
    <w:basedOn w:val="Normal"/>
    <w:next w:val="Normal"/>
    <w:semiHidden/>
    <w:rsid w:val="00F155E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155E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155E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155E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155E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155E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155E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155E1"/>
    <w:pPr>
      <w:tabs>
        <w:tab w:val="right" w:pos="9360"/>
      </w:tabs>
      <w:suppressAutoHyphens/>
    </w:pPr>
  </w:style>
  <w:style w:type="character" w:customStyle="1" w:styleId="EquationCaption">
    <w:name w:val="_Equation Caption"/>
    <w:rsid w:val="00F155E1"/>
  </w:style>
  <w:style w:type="paragraph" w:styleId="Header">
    <w:name w:val="header"/>
    <w:basedOn w:val="Normal"/>
    <w:autoRedefine/>
    <w:rsid w:val="00F155E1"/>
    <w:pPr>
      <w:tabs>
        <w:tab w:val="center" w:pos="4680"/>
        <w:tab w:val="right" w:pos="9360"/>
      </w:tabs>
    </w:pPr>
    <w:rPr>
      <w:b/>
    </w:rPr>
  </w:style>
  <w:style w:type="paragraph" w:styleId="Footer">
    <w:name w:val="footer"/>
    <w:basedOn w:val="Normal"/>
    <w:link w:val="FooterChar"/>
    <w:uiPriority w:val="99"/>
    <w:rsid w:val="00F155E1"/>
    <w:pPr>
      <w:tabs>
        <w:tab w:val="center" w:pos="4320"/>
        <w:tab w:val="right" w:pos="8640"/>
      </w:tabs>
    </w:pPr>
  </w:style>
  <w:style w:type="character" w:styleId="PageNumber">
    <w:name w:val="page number"/>
    <w:basedOn w:val="DefaultParagraphFont"/>
    <w:rsid w:val="00F155E1"/>
  </w:style>
  <w:style w:type="paragraph" w:styleId="BlockText">
    <w:name w:val="Block Text"/>
    <w:basedOn w:val="Normal"/>
    <w:rsid w:val="00F155E1"/>
    <w:pPr>
      <w:spacing w:after="240"/>
      <w:ind w:left="1440" w:right="1440"/>
    </w:pPr>
  </w:style>
  <w:style w:type="paragraph" w:customStyle="1" w:styleId="Paratitle">
    <w:name w:val="Para title"/>
    <w:basedOn w:val="Normal"/>
    <w:rsid w:val="00F155E1"/>
    <w:pPr>
      <w:tabs>
        <w:tab w:val="center" w:pos="9270"/>
      </w:tabs>
      <w:spacing w:after="240"/>
    </w:pPr>
    <w:rPr>
      <w:spacing w:val="-2"/>
    </w:rPr>
  </w:style>
  <w:style w:type="paragraph" w:customStyle="1" w:styleId="Bullet">
    <w:name w:val="Bullet"/>
    <w:basedOn w:val="Normal"/>
    <w:rsid w:val="00F155E1"/>
    <w:pPr>
      <w:tabs>
        <w:tab w:val="left" w:pos="2160"/>
      </w:tabs>
      <w:spacing w:after="220"/>
      <w:ind w:left="2160" w:hanging="720"/>
    </w:pPr>
  </w:style>
  <w:style w:type="paragraph" w:customStyle="1" w:styleId="TableFormat">
    <w:name w:val="TableFormat"/>
    <w:basedOn w:val="Bullet"/>
    <w:rsid w:val="00F155E1"/>
    <w:pPr>
      <w:tabs>
        <w:tab w:val="clear" w:pos="2160"/>
        <w:tab w:val="left" w:pos="5040"/>
      </w:tabs>
      <w:ind w:left="5040" w:hanging="3600"/>
    </w:pPr>
  </w:style>
  <w:style w:type="paragraph" w:customStyle="1" w:styleId="TOCTitle">
    <w:name w:val="TOC Title"/>
    <w:basedOn w:val="Normal"/>
    <w:rsid w:val="00F155E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155E1"/>
    <w:pPr>
      <w:jc w:val="center"/>
    </w:pPr>
    <w:rPr>
      <w:rFonts w:ascii="Times New Roman Bold" w:hAnsi="Times New Roman Bold"/>
      <w:b/>
      <w:bCs/>
      <w:caps/>
      <w:szCs w:val="22"/>
    </w:rPr>
  </w:style>
  <w:style w:type="character" w:styleId="Hyperlink">
    <w:name w:val="Hyperlink"/>
    <w:rsid w:val="00F155E1"/>
    <w:rPr>
      <w:color w:val="0000FF"/>
      <w:u w:val="single"/>
    </w:rPr>
  </w:style>
  <w:style w:type="character" w:customStyle="1" w:styleId="FooterChar">
    <w:name w:val="Footer Char"/>
    <w:link w:val="Footer"/>
    <w:uiPriority w:val="99"/>
    <w:rsid w:val="00F155E1"/>
    <w:rPr>
      <w:snapToGrid w:val="0"/>
      <w:kern w:val="28"/>
      <w:sz w:val="22"/>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link w:val="FootnoteText"/>
    <w:rsid w:val="00130ABE"/>
  </w:style>
  <w:style w:type="character" w:customStyle="1" w:styleId="ParaNumChar1">
    <w:name w:val="ParaNum Char1"/>
    <w:link w:val="ParaNum"/>
    <w:locked/>
    <w:rsid w:val="00130ABE"/>
    <w:rPr>
      <w:snapToGrid w:val="0"/>
      <w:kern w:val="28"/>
      <w:sz w:val="22"/>
    </w:rPr>
  </w:style>
  <w:style w:type="character" w:customStyle="1" w:styleId="Heading2Char">
    <w:name w:val="Heading 2 Char"/>
    <w:aliases w:val="Heading 2 Char Char Char Char,Heading 2 Char Char1 Char,Heading 2 Char Char1 Char Char Char Char Char,Heading 2 Char1 Char Char,Heading 2 Char1 Char Char1 Char Char Char Char Char,Heading 2 Char2 Char,Heading 2 Char4 Char Char Char Char"/>
    <w:link w:val="Heading2"/>
    <w:rsid w:val="00130ABE"/>
    <w:rPr>
      <w:b/>
      <w:snapToGrid w:val="0"/>
      <w:kern w:val="28"/>
      <w:sz w:val="22"/>
    </w:rPr>
  </w:style>
  <w:style w:type="character" w:customStyle="1" w:styleId="normaltextrun">
    <w:name w:val="normaltextrun"/>
    <w:rsid w:val="00130ABE"/>
  </w:style>
  <w:style w:type="character" w:customStyle="1" w:styleId="cohovertext">
    <w:name w:val="co_hovertext"/>
    <w:rsid w:val="00130ABE"/>
  </w:style>
  <w:style w:type="character" w:styleId="Emphasis">
    <w:name w:val="Emphasis"/>
    <w:uiPriority w:val="20"/>
    <w:qFormat/>
    <w:rsid w:val="00130ABE"/>
    <w:rPr>
      <w:i/>
      <w:iCs/>
    </w:rPr>
  </w:style>
  <w:style w:type="character" w:customStyle="1" w:styleId="FootnoteTextChar2">
    <w:name w:val="Footnote Text Char2"/>
    <w:aliases w:val="Footnote Text Char Char Char4 Char Char1,Footnote Text Char1 Char1,Footnote Text Char4 Char1 Char Char Char Char Char1,Footnote Text Char4 Char1 Char Char1,Footnote Text Char7 Char Char Char Char Char1,Footnote Text Char7 Char Char1"/>
    <w:locked/>
    <w:rsid w:val="00194E58"/>
    <w:rPr>
      <w:lang w:val="en-US" w:eastAsia="en-US" w:bidi="ar-SA"/>
    </w:rPr>
  </w:style>
  <w:style w:type="paragraph" w:styleId="ListParagraph">
    <w:name w:val="List Paragraph"/>
    <w:basedOn w:val="Normal"/>
    <w:uiPriority w:val="34"/>
    <w:qFormat/>
    <w:rsid w:val="000B6054"/>
    <w:pPr>
      <w:ind w:left="720"/>
      <w:contextualSpacing/>
    </w:pPr>
  </w:style>
  <w:style w:type="paragraph" w:styleId="BodyText2">
    <w:name w:val="Body Text 2"/>
    <w:basedOn w:val="Normal"/>
    <w:link w:val="BodyText2Char"/>
    <w:rsid w:val="008C5D86"/>
    <w:rPr>
      <w:kern w:val="0"/>
      <w:sz w:val="24"/>
    </w:rPr>
  </w:style>
  <w:style w:type="character" w:customStyle="1" w:styleId="BodyText2Char">
    <w:name w:val="Body Text 2 Char"/>
    <w:basedOn w:val="DefaultParagraphFont"/>
    <w:link w:val="BodyText2"/>
    <w:rsid w:val="008C5D86"/>
    <w:rPr>
      <w:snapToGrid w:val="0"/>
      <w:sz w:val="24"/>
    </w:rPr>
  </w:style>
  <w:style w:type="character" w:styleId="CommentReference">
    <w:name w:val="annotation reference"/>
    <w:rsid w:val="005706D3"/>
    <w:rPr>
      <w:sz w:val="16"/>
      <w:szCs w:val="16"/>
    </w:rPr>
  </w:style>
  <w:style w:type="paragraph" w:styleId="CommentText">
    <w:name w:val="annotation text"/>
    <w:basedOn w:val="Normal"/>
    <w:link w:val="CommentTextChar"/>
    <w:rsid w:val="005706D3"/>
    <w:rPr>
      <w:sz w:val="20"/>
    </w:rPr>
  </w:style>
  <w:style w:type="character" w:customStyle="1" w:styleId="CommentTextChar">
    <w:name w:val="Comment Text Char"/>
    <w:basedOn w:val="DefaultParagraphFont"/>
    <w:link w:val="CommentText"/>
    <w:rsid w:val="005706D3"/>
    <w:rPr>
      <w:snapToGrid w:val="0"/>
      <w:kern w:val="28"/>
    </w:rPr>
  </w:style>
  <w:style w:type="paragraph" w:styleId="CommentSubject">
    <w:name w:val="annotation subject"/>
    <w:basedOn w:val="CommentText"/>
    <w:next w:val="CommentText"/>
    <w:link w:val="CommentSubjectChar"/>
    <w:rsid w:val="00595657"/>
    <w:rPr>
      <w:b/>
      <w:bCs/>
    </w:rPr>
  </w:style>
  <w:style w:type="character" w:customStyle="1" w:styleId="CommentSubjectChar">
    <w:name w:val="Comment Subject Char"/>
    <w:basedOn w:val="CommentTextChar"/>
    <w:link w:val="CommentSubject"/>
    <w:rsid w:val="00595657"/>
    <w:rPr>
      <w:b/>
      <w:bCs/>
      <w:snapToGrid w:val="0"/>
      <w:kern w:val="28"/>
    </w:rPr>
  </w:style>
  <w:style w:type="paragraph" w:styleId="Revision">
    <w:name w:val="Revision"/>
    <w:hidden/>
    <w:uiPriority w:val="99"/>
    <w:semiHidden/>
    <w:rsid w:val="009E173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