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30898DAD" w14:textId="30AC898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4DEC566C" w14:textId="6840E1D3">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2671C7">
        <w:rPr>
          <w:b/>
          <w:snapToGrid w:val="0"/>
          <w:kern w:val="28"/>
          <w:szCs w:val="22"/>
        </w:rPr>
        <w:t>890</w:t>
      </w:r>
    </w:p>
    <w:p w:rsidR="00AD440B" w:rsidRPr="00CB6B4E" w:rsidP="00ED51D0" w14:paraId="150A7C80" w14:textId="63E11735">
      <w:pPr>
        <w:widowControl w:val="0"/>
        <w:jc w:val="right"/>
        <w:rPr>
          <w:b/>
          <w:snapToGrid w:val="0"/>
          <w:kern w:val="28"/>
          <w:szCs w:val="22"/>
        </w:rPr>
      </w:pPr>
      <w:r w:rsidRPr="00CB6B4E">
        <w:rPr>
          <w:b/>
          <w:snapToGrid w:val="0"/>
          <w:kern w:val="28"/>
          <w:szCs w:val="22"/>
        </w:rPr>
        <w:t xml:space="preserve">Released:  </w:t>
      </w:r>
      <w:r w:rsidR="00FF10C6">
        <w:rPr>
          <w:b/>
          <w:snapToGrid w:val="0"/>
          <w:kern w:val="28"/>
          <w:szCs w:val="22"/>
        </w:rPr>
        <w:t>August</w:t>
      </w:r>
      <w:r w:rsidR="00193234">
        <w:rPr>
          <w:b/>
          <w:snapToGrid w:val="0"/>
          <w:kern w:val="28"/>
          <w:szCs w:val="22"/>
        </w:rPr>
        <w:t xml:space="preserve"> </w:t>
      </w:r>
      <w:r w:rsidR="008047F1">
        <w:rPr>
          <w:b/>
          <w:snapToGrid w:val="0"/>
          <w:kern w:val="28"/>
          <w:szCs w:val="22"/>
        </w:rPr>
        <w:t>25</w:t>
      </w:r>
      <w:r w:rsidRPr="00CB6B4E">
        <w:rPr>
          <w:b/>
          <w:snapToGrid w:val="0"/>
          <w:kern w:val="28"/>
          <w:szCs w:val="22"/>
        </w:rPr>
        <w:t>, 202</w:t>
      </w:r>
      <w:r w:rsidRPr="00CB6B4E" w:rsidR="0089666B">
        <w:rPr>
          <w:b/>
          <w:snapToGrid w:val="0"/>
          <w:kern w:val="28"/>
          <w:szCs w:val="22"/>
        </w:rPr>
        <w:t>2</w:t>
      </w:r>
    </w:p>
    <w:p w:rsidR="00AD440B" w:rsidRPr="00CB6B4E" w:rsidP="00AD440B" w14:paraId="4E5702BB" w14:textId="77777777">
      <w:pPr>
        <w:widowControl w:val="0"/>
        <w:spacing w:before="60"/>
        <w:jc w:val="center"/>
        <w:rPr>
          <w:b/>
          <w:snapToGrid w:val="0"/>
          <w:kern w:val="28"/>
          <w:szCs w:val="22"/>
        </w:rPr>
      </w:pPr>
    </w:p>
    <w:p w:rsidR="00ED6E8F" w:rsidP="00A47EA1" w14:paraId="3A52A58B"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555990" w:rsidP="00AD440B" w14:paraId="7B8C435C" w14:textId="77777777">
      <w:pPr>
        <w:jc w:val="center"/>
        <w:rPr>
          <w:b/>
          <w:bCs/>
          <w:szCs w:val="22"/>
        </w:rPr>
      </w:pPr>
      <w:r w:rsidRPr="00CB6B4E">
        <w:rPr>
          <w:b/>
          <w:bCs/>
          <w:szCs w:val="22"/>
        </w:rPr>
        <w:t xml:space="preserve">THE </w:t>
      </w:r>
      <w:r w:rsidR="004B6625">
        <w:rPr>
          <w:b/>
          <w:bCs/>
          <w:szCs w:val="22"/>
        </w:rPr>
        <w:t xml:space="preserve">TRANSFER OF CONTROL OF </w:t>
      </w:r>
    </w:p>
    <w:p w:rsidR="004B6625" w:rsidP="00AD440B" w14:paraId="1B1E3AAD" w14:textId="65760435">
      <w:pPr>
        <w:jc w:val="center"/>
        <w:rPr>
          <w:b/>
          <w:bCs/>
          <w:szCs w:val="22"/>
        </w:rPr>
      </w:pPr>
      <w:r>
        <w:rPr>
          <w:b/>
          <w:bCs/>
          <w:szCs w:val="22"/>
        </w:rPr>
        <w:t xml:space="preserve">SUBSIDIARIES OF </w:t>
      </w:r>
      <w:r>
        <w:rPr>
          <w:b/>
          <w:bCs/>
          <w:szCs w:val="22"/>
        </w:rPr>
        <w:t xml:space="preserve">SACRED WIND ENTERPRISES, INC. </w:t>
      </w:r>
    </w:p>
    <w:p w:rsidR="001736D0" w:rsidP="004B6625" w14:paraId="07381E77" w14:textId="71BDB88A">
      <w:pPr>
        <w:jc w:val="center"/>
        <w:rPr>
          <w:b/>
          <w:bCs/>
          <w:caps/>
          <w:szCs w:val="22"/>
        </w:rPr>
      </w:pPr>
      <w:r>
        <w:rPr>
          <w:b/>
          <w:bCs/>
          <w:szCs w:val="22"/>
        </w:rPr>
        <w:t xml:space="preserve">TO ALLOY, INC.   </w:t>
      </w:r>
    </w:p>
    <w:p w:rsidR="00AD440B" w:rsidRPr="00AD440B" w:rsidP="00AD440B" w14:paraId="675AF6C0" w14:textId="4371FE5D">
      <w:pPr>
        <w:jc w:val="center"/>
        <w:rPr>
          <w:b/>
          <w:bCs/>
          <w:szCs w:val="22"/>
        </w:rPr>
      </w:pPr>
      <w:r w:rsidRPr="00AD440B">
        <w:rPr>
          <w:b/>
          <w:bCs/>
          <w:caps/>
          <w:szCs w:val="22"/>
        </w:rPr>
        <w:t xml:space="preserve"> </w:t>
      </w:r>
    </w:p>
    <w:p w:rsidR="00AD440B" w:rsidP="0055505D" w14:paraId="27B91651" w14:textId="0A808227">
      <w:pPr>
        <w:jc w:val="center"/>
        <w:rPr>
          <w:b/>
          <w:szCs w:val="22"/>
        </w:rPr>
      </w:pPr>
      <w:r>
        <w:rPr>
          <w:b/>
          <w:szCs w:val="22"/>
        </w:rPr>
        <w:t>NON-</w:t>
      </w:r>
      <w:r w:rsidRPr="00AD440B" w:rsidR="000C1460">
        <w:rPr>
          <w:b/>
          <w:szCs w:val="22"/>
        </w:rPr>
        <w:t>STREAMLINED PLEADING CYCLE ESTABLISHED</w:t>
      </w:r>
    </w:p>
    <w:p w:rsidR="00031C8B" w:rsidRPr="0055505D" w:rsidP="0055505D" w14:paraId="0299F0DB" w14:textId="77777777">
      <w:pPr>
        <w:jc w:val="center"/>
        <w:rPr>
          <w:b/>
          <w:szCs w:val="22"/>
        </w:rPr>
      </w:pPr>
    </w:p>
    <w:p w:rsidR="00AD440B" w:rsidRPr="00AD440B" w:rsidP="00AD440B" w14:paraId="66B9A359" w14:textId="72A87086">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504505">
        <w:rPr>
          <w:b/>
          <w:snapToGrid w:val="0"/>
          <w:kern w:val="28"/>
          <w:szCs w:val="22"/>
        </w:rPr>
        <w:t>2</w:t>
      </w:r>
      <w:r w:rsidR="004B6625">
        <w:rPr>
          <w:b/>
          <w:snapToGrid w:val="0"/>
          <w:kern w:val="28"/>
          <w:szCs w:val="22"/>
        </w:rPr>
        <w:t>92</w:t>
      </w:r>
    </w:p>
    <w:p w:rsidR="00E94F15" w:rsidP="00AD440B" w14:paraId="7ABC8A76" w14:textId="77777777">
      <w:pPr>
        <w:rPr>
          <w:b/>
          <w:szCs w:val="22"/>
        </w:rPr>
      </w:pPr>
    </w:p>
    <w:p w:rsidR="00AD440B" w:rsidRPr="00AD440B" w:rsidP="00AD440B" w14:paraId="2E18CEC0" w14:textId="4CBC05DB">
      <w:pPr>
        <w:rPr>
          <w:b/>
          <w:szCs w:val="22"/>
        </w:rPr>
      </w:pPr>
      <w:r w:rsidRPr="00AD440B">
        <w:rPr>
          <w:b/>
          <w:szCs w:val="22"/>
        </w:rPr>
        <w:t xml:space="preserve">Comments Due:  </w:t>
      </w:r>
      <w:r w:rsidR="008047F1">
        <w:rPr>
          <w:b/>
          <w:szCs w:val="22"/>
        </w:rPr>
        <w:t>September 8</w:t>
      </w:r>
      <w:r w:rsidRPr="00AD440B">
        <w:rPr>
          <w:b/>
          <w:szCs w:val="22"/>
        </w:rPr>
        <w:t>, 202</w:t>
      </w:r>
      <w:r w:rsidR="0089666B">
        <w:rPr>
          <w:b/>
          <w:szCs w:val="22"/>
        </w:rPr>
        <w:t>2</w:t>
      </w:r>
      <w:r w:rsidRPr="00AD440B">
        <w:rPr>
          <w:b/>
          <w:szCs w:val="22"/>
        </w:rPr>
        <w:t xml:space="preserve"> </w:t>
      </w:r>
    </w:p>
    <w:p w:rsidR="00AD440B" w:rsidRPr="00AD440B" w:rsidP="00AD440B" w14:paraId="08C05539" w14:textId="465964FC">
      <w:pPr>
        <w:rPr>
          <w:b/>
          <w:szCs w:val="22"/>
        </w:rPr>
      </w:pPr>
      <w:r w:rsidRPr="00AD440B">
        <w:rPr>
          <w:b/>
          <w:szCs w:val="22"/>
        </w:rPr>
        <w:t xml:space="preserve">Reply Comment Due:  </w:t>
      </w:r>
      <w:r w:rsidR="00C23C52">
        <w:rPr>
          <w:b/>
          <w:szCs w:val="22"/>
        </w:rPr>
        <w:t>September</w:t>
      </w:r>
      <w:r w:rsidR="00193234">
        <w:rPr>
          <w:b/>
          <w:szCs w:val="22"/>
        </w:rPr>
        <w:t xml:space="preserve"> </w:t>
      </w:r>
      <w:r w:rsidR="008047F1">
        <w:rPr>
          <w:b/>
          <w:szCs w:val="22"/>
        </w:rPr>
        <w:t>15</w:t>
      </w:r>
      <w:r w:rsidRPr="00AD440B">
        <w:rPr>
          <w:b/>
          <w:szCs w:val="22"/>
        </w:rPr>
        <w:t>, 202</w:t>
      </w:r>
      <w:r w:rsidR="0089666B">
        <w:rPr>
          <w:b/>
          <w:szCs w:val="22"/>
        </w:rPr>
        <w:t>2</w:t>
      </w:r>
      <w:r w:rsidRPr="00AD440B">
        <w:rPr>
          <w:b/>
          <w:szCs w:val="22"/>
        </w:rPr>
        <w:t xml:space="preserve"> </w:t>
      </w:r>
    </w:p>
    <w:p w:rsidR="00AD440B" w:rsidRPr="00AD440B" w:rsidP="00AD440B" w14:paraId="55922B65" w14:textId="77777777">
      <w:pPr>
        <w:rPr>
          <w:b/>
          <w:szCs w:val="22"/>
        </w:rPr>
      </w:pPr>
    </w:p>
    <w:p w:rsidR="00A8592F" w:rsidP="00A8592F" w14:paraId="6E6B944A" w14:textId="19F94D3D">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009A6314">
        <w:rPr>
          <w:szCs w:val="22"/>
        </w:rPr>
        <w:t xml:space="preserve">(Bureau)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00133E17">
        <w:rPr>
          <w:szCs w:val="22"/>
        </w:rPr>
        <w:t>S</w:t>
      </w:r>
      <w:r w:rsidR="004B6625">
        <w:rPr>
          <w:szCs w:val="22"/>
        </w:rPr>
        <w:t xml:space="preserve">acred Wind Enterprises, Inc. (Sacred Wind) and Alloy, Inc. (Alloy) </w:t>
      </w:r>
      <w:bookmarkEnd w:id="3"/>
      <w:r>
        <w:rPr>
          <w:szCs w:val="22"/>
        </w:rPr>
        <w:t>(</w:t>
      </w:r>
      <w:r w:rsidR="004B6625">
        <w:rPr>
          <w:szCs w:val="22"/>
        </w:rPr>
        <w:t>together</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4B6625">
        <w:rPr>
          <w:szCs w:val="22"/>
        </w:rPr>
        <w:t xml:space="preserve">control of Sacred Wind’s </w:t>
      </w:r>
      <w:r w:rsidR="00C042AF">
        <w:rPr>
          <w:szCs w:val="22"/>
        </w:rPr>
        <w:t xml:space="preserve">wholly-owned </w:t>
      </w:r>
      <w:r w:rsidR="004B6625">
        <w:rPr>
          <w:szCs w:val="22"/>
        </w:rPr>
        <w:t xml:space="preserve">operating subsidiaries </w:t>
      </w:r>
      <w:r w:rsidR="00E35512">
        <w:rPr>
          <w:szCs w:val="22"/>
        </w:rPr>
        <w:t xml:space="preserve">(Section 214 Holders) </w:t>
      </w:r>
      <w:r w:rsidR="004B6625">
        <w:rPr>
          <w:szCs w:val="22"/>
        </w:rPr>
        <w:t>to Alloy</w:t>
      </w:r>
      <w:r w:rsidR="0055505D">
        <w:rPr>
          <w:szCs w:val="22"/>
        </w:rPr>
        <w:t>.</w:t>
      </w:r>
      <w:bookmarkEnd w:id="4"/>
      <w:bookmarkEnd w:id="5"/>
      <w:r>
        <w:rPr>
          <w:szCs w:val="22"/>
          <w:vertAlign w:val="superscript"/>
        </w:rPr>
        <w:footnoteReference w:id="3"/>
      </w:r>
      <w:r w:rsidR="0055505D">
        <w:rPr>
          <w:szCs w:val="22"/>
        </w:rPr>
        <w:t xml:space="preserve"> </w:t>
      </w:r>
      <w:r w:rsidRPr="00AD440B" w:rsidR="0029098D">
        <w:rPr>
          <w:szCs w:val="22"/>
        </w:rPr>
        <w:t xml:space="preserve"> </w:t>
      </w:r>
    </w:p>
    <w:p w:rsidR="0026228F" w:rsidP="00A8592F" w14:paraId="046585A4" w14:textId="3D79E8A9">
      <w:pPr>
        <w:autoSpaceDE w:val="0"/>
        <w:autoSpaceDN w:val="0"/>
        <w:adjustRightInd w:val="0"/>
        <w:spacing w:after="120"/>
        <w:ind w:firstLine="720"/>
        <w:rPr>
          <w:szCs w:val="22"/>
        </w:rPr>
      </w:pPr>
      <w:r>
        <w:rPr>
          <w:szCs w:val="22"/>
        </w:rPr>
        <w:t>Sacred Wind</w:t>
      </w:r>
      <w:r w:rsidR="00B67EA8">
        <w:rPr>
          <w:szCs w:val="22"/>
        </w:rPr>
        <w:t xml:space="preserve">, </w:t>
      </w:r>
      <w:r w:rsidR="00C042AF">
        <w:rPr>
          <w:szCs w:val="22"/>
        </w:rPr>
        <w:t>a holding company</w:t>
      </w:r>
      <w:r w:rsidR="00B67EA8">
        <w:rPr>
          <w:szCs w:val="22"/>
        </w:rPr>
        <w:t xml:space="preserve">, provides telecommunications and broadband service through </w:t>
      </w:r>
      <w:r w:rsidR="002C6A3F">
        <w:rPr>
          <w:szCs w:val="22"/>
        </w:rPr>
        <w:t>the</w:t>
      </w:r>
      <w:r w:rsidR="00B67EA8">
        <w:rPr>
          <w:szCs w:val="22"/>
        </w:rPr>
        <w:t xml:space="preserve"> Section 214 Holders </w:t>
      </w:r>
      <w:r>
        <w:rPr>
          <w:szCs w:val="22"/>
        </w:rPr>
        <w:t>to residential and business customers on the Navajo Reservation and near-Reservation lands in New Mexico</w:t>
      </w:r>
      <w:r w:rsidR="002C6A3F">
        <w:rPr>
          <w:szCs w:val="22"/>
        </w:rPr>
        <w:t>.</w:t>
      </w:r>
      <w:r>
        <w:rPr>
          <w:rStyle w:val="FootnoteReference"/>
          <w:szCs w:val="22"/>
        </w:rPr>
        <w:footnoteReference w:id="4"/>
      </w:r>
      <w:r>
        <w:rPr>
          <w:szCs w:val="22"/>
        </w:rPr>
        <w:t xml:space="preserve">  </w:t>
      </w:r>
      <w:r w:rsidR="002C6A3F">
        <w:rPr>
          <w:szCs w:val="22"/>
        </w:rPr>
        <w:t xml:space="preserve">Specifically, </w:t>
      </w:r>
      <w:r w:rsidR="00173B42">
        <w:rPr>
          <w:szCs w:val="22"/>
        </w:rPr>
        <w:t>S</w:t>
      </w:r>
      <w:r>
        <w:rPr>
          <w:szCs w:val="22"/>
        </w:rPr>
        <w:t>acred Wind Enterprises, Inc. (SWC)</w:t>
      </w:r>
      <w:r w:rsidR="00B67EA8">
        <w:rPr>
          <w:szCs w:val="22"/>
        </w:rPr>
        <w:t xml:space="preserve"> </w:t>
      </w:r>
      <w:r w:rsidR="00173B42">
        <w:rPr>
          <w:szCs w:val="22"/>
        </w:rPr>
        <w:t xml:space="preserve">is </w:t>
      </w:r>
      <w:r>
        <w:rPr>
          <w:szCs w:val="22"/>
        </w:rPr>
        <w:t xml:space="preserve">a rural incumbent local exchange carrier (LEC) and Eligible </w:t>
      </w:r>
      <w:r w:rsidR="008E7780">
        <w:rPr>
          <w:szCs w:val="22"/>
        </w:rPr>
        <w:t>T</w:t>
      </w:r>
      <w:r>
        <w:rPr>
          <w:szCs w:val="22"/>
        </w:rPr>
        <w:t xml:space="preserve">elecommunications </w:t>
      </w:r>
      <w:r w:rsidR="008E7780">
        <w:rPr>
          <w:szCs w:val="22"/>
        </w:rPr>
        <w:t>C</w:t>
      </w:r>
      <w:r>
        <w:rPr>
          <w:szCs w:val="22"/>
        </w:rPr>
        <w:t>arrier</w:t>
      </w:r>
      <w:r w:rsidR="00173B42">
        <w:rPr>
          <w:szCs w:val="22"/>
        </w:rPr>
        <w:t xml:space="preserve"> (ETC)</w:t>
      </w:r>
      <w:r w:rsidR="00C042AF">
        <w:rPr>
          <w:szCs w:val="22"/>
        </w:rPr>
        <w:t xml:space="preserve"> serving</w:t>
      </w:r>
      <w:r w:rsidR="00555990">
        <w:rPr>
          <w:szCs w:val="22"/>
        </w:rPr>
        <w:t xml:space="preserve"> a population of approximately 23,300 customers, 98% of whom are Navajo citizens, in </w:t>
      </w:r>
      <w:r w:rsidR="00C042AF">
        <w:rPr>
          <w:szCs w:val="22"/>
        </w:rPr>
        <w:t>an area comprising approximately 3,200 square miles</w:t>
      </w:r>
      <w:r w:rsidR="00B67EA8">
        <w:rPr>
          <w:szCs w:val="22"/>
        </w:rPr>
        <w:t>.</w:t>
      </w:r>
      <w:r>
        <w:rPr>
          <w:rStyle w:val="FootnoteReference"/>
          <w:szCs w:val="22"/>
        </w:rPr>
        <w:footnoteReference w:id="5"/>
      </w:r>
      <w:r w:rsidR="00B67EA8">
        <w:rPr>
          <w:szCs w:val="22"/>
        </w:rPr>
        <w:t xml:space="preserve">  </w:t>
      </w:r>
      <w:r w:rsidR="008E7780">
        <w:rPr>
          <w:szCs w:val="22"/>
        </w:rPr>
        <w:t xml:space="preserve">SW </w:t>
      </w:r>
      <w:r w:rsidR="008E7780">
        <w:rPr>
          <w:szCs w:val="22"/>
        </w:rPr>
        <w:t>DinehNet</w:t>
      </w:r>
      <w:r w:rsidR="008E7780">
        <w:rPr>
          <w:szCs w:val="22"/>
        </w:rPr>
        <w:t xml:space="preserve">, LLC (SW </w:t>
      </w:r>
      <w:r w:rsidR="008E7780">
        <w:rPr>
          <w:szCs w:val="22"/>
        </w:rPr>
        <w:t>DinehNet</w:t>
      </w:r>
      <w:r w:rsidR="008E7780">
        <w:rPr>
          <w:szCs w:val="22"/>
        </w:rPr>
        <w:t>)</w:t>
      </w:r>
      <w:r w:rsidR="00B67EA8">
        <w:rPr>
          <w:szCs w:val="22"/>
        </w:rPr>
        <w:t xml:space="preserve"> is </w:t>
      </w:r>
      <w:r w:rsidR="008E7780">
        <w:rPr>
          <w:szCs w:val="22"/>
        </w:rPr>
        <w:t xml:space="preserve">a </w:t>
      </w:r>
      <w:r w:rsidR="008E7780">
        <w:rPr>
          <w:szCs w:val="22"/>
        </w:rPr>
        <w:t xml:space="preserve">subsidiary of SWC, </w:t>
      </w:r>
      <w:r w:rsidR="00173B42">
        <w:rPr>
          <w:szCs w:val="22"/>
        </w:rPr>
        <w:t>an ETC</w:t>
      </w:r>
      <w:r w:rsidR="00B67EA8">
        <w:rPr>
          <w:szCs w:val="22"/>
        </w:rPr>
        <w:t>,</w:t>
      </w:r>
      <w:r w:rsidR="00173B42">
        <w:rPr>
          <w:szCs w:val="22"/>
        </w:rPr>
        <w:t xml:space="preserve"> and provides competitive telecommunications and broadband services outside of SWC’s incumbent LEC territory</w:t>
      </w:r>
      <w:r>
        <w:rPr>
          <w:szCs w:val="22"/>
        </w:rPr>
        <w:t>.</w:t>
      </w:r>
      <w:r>
        <w:rPr>
          <w:rStyle w:val="FootnoteReference"/>
          <w:szCs w:val="22"/>
        </w:rPr>
        <w:footnoteReference w:id="6"/>
      </w:r>
      <w:r>
        <w:rPr>
          <w:szCs w:val="22"/>
        </w:rPr>
        <w:t xml:space="preserve">  </w:t>
      </w:r>
      <w:r w:rsidR="009A6314">
        <w:rPr>
          <w:szCs w:val="22"/>
        </w:rPr>
        <w:t xml:space="preserve">SW </w:t>
      </w:r>
      <w:r w:rsidR="009A6314">
        <w:rPr>
          <w:szCs w:val="22"/>
        </w:rPr>
        <w:t>DinehNet</w:t>
      </w:r>
      <w:r w:rsidR="009A6314">
        <w:rPr>
          <w:szCs w:val="22"/>
        </w:rPr>
        <w:t xml:space="preserve"> </w:t>
      </w:r>
      <w:r w:rsidRPr="009A6314" w:rsidR="009A6314">
        <w:rPr>
          <w:szCs w:val="22"/>
        </w:rPr>
        <w:t xml:space="preserve">receives </w:t>
      </w:r>
      <w:r w:rsidRPr="009A6314" w:rsidR="009A6314">
        <w:rPr>
          <w:snapToGrid w:val="0"/>
          <w:kern w:val="28"/>
          <w:szCs w:val="22"/>
        </w:rPr>
        <w:t>Connect America Fund (CAF) Phase II Auction 903 support</w:t>
      </w:r>
      <w:r w:rsidRPr="009A6314" w:rsidR="009A6314">
        <w:rPr>
          <w:szCs w:val="22"/>
        </w:rPr>
        <w:t xml:space="preserve"> in </w:t>
      </w:r>
      <w:r w:rsidR="009A6314">
        <w:rPr>
          <w:szCs w:val="22"/>
        </w:rPr>
        <w:t>New Mexico.</w:t>
      </w:r>
      <w:r>
        <w:rPr>
          <w:szCs w:val="22"/>
          <w:vertAlign w:val="superscript"/>
        </w:rPr>
        <w:footnoteReference w:id="7"/>
      </w:r>
      <w:r w:rsidRPr="009A6314" w:rsidR="009A6314">
        <w:rPr>
          <w:szCs w:val="22"/>
        </w:rPr>
        <w:t xml:space="preserve">  On </w:t>
      </w:r>
      <w:r w:rsidR="009A6314">
        <w:rPr>
          <w:szCs w:val="22"/>
        </w:rPr>
        <w:t>April 15</w:t>
      </w:r>
      <w:r w:rsidRPr="009A6314" w:rsidR="009A6314">
        <w:rPr>
          <w:szCs w:val="22"/>
        </w:rPr>
        <w:t xml:space="preserve">, 2022, the Bureau authorized </w:t>
      </w:r>
      <w:r w:rsidR="009A6314">
        <w:rPr>
          <w:szCs w:val="22"/>
        </w:rPr>
        <w:t xml:space="preserve">SW </w:t>
      </w:r>
      <w:r w:rsidR="009A6314">
        <w:rPr>
          <w:szCs w:val="22"/>
        </w:rPr>
        <w:t>DinehNet</w:t>
      </w:r>
      <w:r w:rsidR="009A6314">
        <w:rPr>
          <w:szCs w:val="22"/>
        </w:rPr>
        <w:t xml:space="preserve"> </w:t>
      </w:r>
      <w:r w:rsidRPr="009A6314" w:rsidR="009A6314">
        <w:rPr>
          <w:szCs w:val="22"/>
        </w:rPr>
        <w:t>to receive $</w:t>
      </w:r>
      <w:r w:rsidR="00BE6980">
        <w:rPr>
          <w:szCs w:val="22"/>
        </w:rPr>
        <w:t>2,598,030.00</w:t>
      </w:r>
      <w:r w:rsidRPr="009A6314" w:rsidR="009A6314">
        <w:rPr>
          <w:szCs w:val="22"/>
        </w:rPr>
        <w:t xml:space="preserve"> </w:t>
      </w:r>
      <w:r w:rsidR="00877D3D">
        <w:rPr>
          <w:szCs w:val="22"/>
        </w:rPr>
        <w:t xml:space="preserve">of </w:t>
      </w:r>
      <w:r w:rsidRPr="009A6314" w:rsidR="009A6314">
        <w:rPr>
          <w:szCs w:val="22"/>
        </w:rPr>
        <w:t xml:space="preserve">Rural Digital Opportunity Fund (RDOF) Auction 904 support to provide service to </w:t>
      </w:r>
      <w:r w:rsidR="00BE6980">
        <w:rPr>
          <w:szCs w:val="22"/>
        </w:rPr>
        <w:t xml:space="preserve">635 </w:t>
      </w:r>
      <w:r w:rsidRPr="009A6314" w:rsidR="009A6314">
        <w:rPr>
          <w:szCs w:val="22"/>
        </w:rPr>
        <w:t xml:space="preserve">locations in </w:t>
      </w:r>
      <w:r w:rsidR="00BE6980">
        <w:rPr>
          <w:szCs w:val="22"/>
        </w:rPr>
        <w:t>New Mexico</w:t>
      </w:r>
      <w:r w:rsidR="00B67EA8">
        <w:rPr>
          <w:szCs w:val="22"/>
        </w:rPr>
        <w:t>.</w:t>
      </w:r>
      <w:r>
        <w:rPr>
          <w:szCs w:val="22"/>
          <w:vertAlign w:val="superscript"/>
        </w:rPr>
        <w:footnoteReference w:id="8"/>
      </w:r>
      <w:r w:rsidRPr="009A6314" w:rsidR="009A6314">
        <w:rPr>
          <w:szCs w:val="22"/>
        </w:rPr>
        <w:t xml:space="preserve"> </w:t>
      </w:r>
      <w:r w:rsidR="00B67EA8">
        <w:rPr>
          <w:szCs w:val="22"/>
        </w:rPr>
        <w:t xml:space="preserve"> </w:t>
      </w:r>
      <w:r w:rsidR="00173B42">
        <w:rPr>
          <w:szCs w:val="22"/>
        </w:rPr>
        <w:t xml:space="preserve">SWC </w:t>
      </w:r>
      <w:r w:rsidR="00173B42">
        <w:rPr>
          <w:szCs w:val="22"/>
        </w:rPr>
        <w:t>Telesolutions</w:t>
      </w:r>
      <w:r w:rsidR="00173B42">
        <w:rPr>
          <w:szCs w:val="22"/>
        </w:rPr>
        <w:t xml:space="preserve">, Inc. (SWC </w:t>
      </w:r>
      <w:r w:rsidR="00173B42">
        <w:rPr>
          <w:szCs w:val="22"/>
        </w:rPr>
        <w:t>Telesolutions</w:t>
      </w:r>
      <w:r w:rsidR="00173B42">
        <w:rPr>
          <w:szCs w:val="22"/>
        </w:rPr>
        <w:t>)</w:t>
      </w:r>
      <w:r w:rsidR="00B67EA8">
        <w:rPr>
          <w:szCs w:val="22"/>
        </w:rPr>
        <w:t xml:space="preserve"> </w:t>
      </w:r>
      <w:r w:rsidR="00173B42">
        <w:rPr>
          <w:szCs w:val="22"/>
        </w:rPr>
        <w:t xml:space="preserve">provides interexchange services to SWC and SWC </w:t>
      </w:r>
      <w:r w:rsidR="00173B42">
        <w:rPr>
          <w:szCs w:val="22"/>
        </w:rPr>
        <w:t>DinehNet</w:t>
      </w:r>
      <w:r w:rsidR="00173B42">
        <w:rPr>
          <w:szCs w:val="22"/>
        </w:rPr>
        <w:t xml:space="preserve"> customers and also provides broadband services </w:t>
      </w:r>
      <w:r w:rsidR="0056614A">
        <w:rPr>
          <w:szCs w:val="22"/>
        </w:rPr>
        <w:t xml:space="preserve">in areas </w:t>
      </w:r>
      <w:r w:rsidR="00173B42">
        <w:rPr>
          <w:szCs w:val="22"/>
        </w:rPr>
        <w:t>adjacent to SWC’s service territory</w:t>
      </w:r>
      <w:r w:rsidR="00B67EA8">
        <w:rPr>
          <w:szCs w:val="22"/>
        </w:rPr>
        <w:t>.</w:t>
      </w:r>
      <w:r>
        <w:rPr>
          <w:rStyle w:val="FootnoteReference"/>
          <w:szCs w:val="22"/>
        </w:rPr>
        <w:footnoteReference w:id="9"/>
      </w:r>
      <w:r w:rsidR="004C737E">
        <w:rPr>
          <w:szCs w:val="22"/>
        </w:rPr>
        <w:t xml:space="preserve">  </w:t>
      </w:r>
    </w:p>
    <w:p w:rsidR="001B57A4" w:rsidP="00A8592F" w14:paraId="1A806BCC" w14:textId="03DC9D69">
      <w:pPr>
        <w:autoSpaceDE w:val="0"/>
        <w:autoSpaceDN w:val="0"/>
        <w:adjustRightInd w:val="0"/>
        <w:spacing w:after="120"/>
        <w:ind w:firstLine="720"/>
        <w:rPr>
          <w:szCs w:val="22"/>
        </w:rPr>
      </w:pPr>
      <w:r>
        <w:rPr>
          <w:szCs w:val="22"/>
        </w:rPr>
        <w:t xml:space="preserve">Alloy, </w:t>
      </w:r>
      <w:r w:rsidR="0037754A">
        <w:rPr>
          <w:szCs w:val="22"/>
        </w:rPr>
        <w:t xml:space="preserve">a </w:t>
      </w:r>
      <w:r w:rsidR="009517B4">
        <w:rPr>
          <w:szCs w:val="22"/>
        </w:rPr>
        <w:t>D</w:t>
      </w:r>
      <w:r w:rsidR="0037754A">
        <w:rPr>
          <w:szCs w:val="22"/>
        </w:rPr>
        <w:t>el</w:t>
      </w:r>
      <w:r w:rsidR="009517B4">
        <w:rPr>
          <w:szCs w:val="22"/>
        </w:rPr>
        <w:t>a</w:t>
      </w:r>
      <w:r w:rsidR="0037754A">
        <w:rPr>
          <w:szCs w:val="22"/>
        </w:rPr>
        <w:t>ware corporation</w:t>
      </w:r>
      <w:r w:rsidR="00357A7C">
        <w:rPr>
          <w:szCs w:val="22"/>
        </w:rPr>
        <w:t>,</w:t>
      </w:r>
      <w:r w:rsidR="0037754A">
        <w:rPr>
          <w:szCs w:val="22"/>
        </w:rPr>
        <w:t xml:space="preserve"> is a newly formed holding company created for</w:t>
      </w:r>
      <w:r w:rsidR="00B2041A">
        <w:rPr>
          <w:szCs w:val="22"/>
        </w:rPr>
        <w:t xml:space="preserve"> the </w:t>
      </w:r>
      <w:r w:rsidR="0037754A">
        <w:rPr>
          <w:szCs w:val="22"/>
        </w:rPr>
        <w:t xml:space="preserve">purpose of acquiring </w:t>
      </w:r>
      <w:r w:rsidR="009517B4">
        <w:rPr>
          <w:szCs w:val="22"/>
        </w:rPr>
        <w:t>S</w:t>
      </w:r>
      <w:r w:rsidR="0037754A">
        <w:rPr>
          <w:szCs w:val="22"/>
        </w:rPr>
        <w:t>ac</w:t>
      </w:r>
      <w:r w:rsidR="009517B4">
        <w:rPr>
          <w:szCs w:val="22"/>
        </w:rPr>
        <w:t>r</w:t>
      </w:r>
      <w:r w:rsidR="0037754A">
        <w:rPr>
          <w:szCs w:val="22"/>
        </w:rPr>
        <w:t>ed Wind and the Section 214 Holders.</w:t>
      </w:r>
      <w:r>
        <w:rPr>
          <w:rStyle w:val="FootnoteReference"/>
          <w:szCs w:val="22"/>
        </w:rPr>
        <w:footnoteReference w:id="10"/>
      </w:r>
      <w:r w:rsidR="0037754A">
        <w:rPr>
          <w:szCs w:val="22"/>
        </w:rPr>
        <w:t xml:space="preserve">  It is a wholly-owned subsidiary of ATN International, Inc.</w:t>
      </w:r>
      <w:r w:rsidR="00384B5F">
        <w:rPr>
          <w:szCs w:val="22"/>
        </w:rPr>
        <w:t xml:space="preserve"> (ATN)</w:t>
      </w:r>
      <w:r w:rsidR="0037754A">
        <w:rPr>
          <w:szCs w:val="22"/>
        </w:rPr>
        <w:t>, a publicly-traded Delaware corporation.</w:t>
      </w:r>
      <w:r>
        <w:rPr>
          <w:rStyle w:val="FootnoteReference"/>
          <w:szCs w:val="22"/>
        </w:rPr>
        <w:footnoteReference w:id="11"/>
      </w:r>
      <w:r w:rsidR="0037754A">
        <w:rPr>
          <w:szCs w:val="22"/>
        </w:rPr>
        <w:t xml:space="preserve">  Applicants state that Cornelius B. Prior, Jr., a U.S. citizen, holds 26.59% of ATN’s stock, and Bl</w:t>
      </w:r>
      <w:r w:rsidR="009517B4">
        <w:rPr>
          <w:szCs w:val="22"/>
        </w:rPr>
        <w:t>a</w:t>
      </w:r>
      <w:r w:rsidR="0037754A">
        <w:rPr>
          <w:szCs w:val="22"/>
        </w:rPr>
        <w:t>ckrock Fund Advisors</w:t>
      </w:r>
      <w:r w:rsidR="002C718F">
        <w:rPr>
          <w:szCs w:val="22"/>
        </w:rPr>
        <w:t xml:space="preserve"> (BlackRock)</w:t>
      </w:r>
      <w:r w:rsidR="0037754A">
        <w:rPr>
          <w:szCs w:val="22"/>
        </w:rPr>
        <w:t>, a U.S. investment entity, hol</w:t>
      </w:r>
      <w:r w:rsidR="009517B4">
        <w:rPr>
          <w:szCs w:val="22"/>
        </w:rPr>
        <w:t>ds 11.84% of ATN’s stock.</w:t>
      </w:r>
      <w:r>
        <w:rPr>
          <w:rStyle w:val="FootnoteReference"/>
          <w:szCs w:val="22"/>
        </w:rPr>
        <w:footnoteReference w:id="12"/>
      </w:r>
      <w:r w:rsidR="009517B4">
        <w:rPr>
          <w:szCs w:val="22"/>
        </w:rPr>
        <w:t xml:space="preserve">  </w:t>
      </w:r>
      <w:r w:rsidR="00B2041A">
        <w:rPr>
          <w:szCs w:val="22"/>
        </w:rPr>
        <w:t xml:space="preserve">ATN’s affiliates provide incumbent LEC services in the U.S. Virgin </w:t>
      </w:r>
      <w:r w:rsidR="009C3756">
        <w:rPr>
          <w:szCs w:val="22"/>
        </w:rPr>
        <w:t>I</w:t>
      </w:r>
      <w:r w:rsidR="00B2041A">
        <w:rPr>
          <w:szCs w:val="22"/>
        </w:rPr>
        <w:t xml:space="preserve">slands and Alaska and </w:t>
      </w:r>
      <w:r w:rsidR="009C3756">
        <w:rPr>
          <w:szCs w:val="22"/>
        </w:rPr>
        <w:t xml:space="preserve">competitive LEC, </w:t>
      </w:r>
      <w:r w:rsidR="00B2041A">
        <w:rPr>
          <w:szCs w:val="22"/>
        </w:rPr>
        <w:t>wireless</w:t>
      </w:r>
      <w:r w:rsidR="009C3756">
        <w:rPr>
          <w:szCs w:val="22"/>
        </w:rPr>
        <w:t>,</w:t>
      </w:r>
      <w:r w:rsidR="00B2041A">
        <w:rPr>
          <w:szCs w:val="22"/>
        </w:rPr>
        <w:t xml:space="preserve"> and broadband services in several states, including </w:t>
      </w:r>
      <w:r w:rsidR="009C3756">
        <w:rPr>
          <w:szCs w:val="22"/>
        </w:rPr>
        <w:t>N</w:t>
      </w:r>
      <w:r w:rsidR="00B2041A">
        <w:rPr>
          <w:szCs w:val="22"/>
        </w:rPr>
        <w:t>ew Mexico.</w:t>
      </w:r>
      <w:r>
        <w:rPr>
          <w:rStyle w:val="FootnoteReference"/>
          <w:szCs w:val="22"/>
        </w:rPr>
        <w:footnoteReference w:id="13"/>
      </w:r>
      <w:r w:rsidR="00B2041A">
        <w:rPr>
          <w:szCs w:val="22"/>
        </w:rPr>
        <w:t xml:space="preserve">  </w:t>
      </w:r>
      <w:r w:rsidR="009C3756">
        <w:rPr>
          <w:szCs w:val="22"/>
        </w:rPr>
        <w:t xml:space="preserve">Applicants state that ATN’s </w:t>
      </w:r>
      <w:r w:rsidR="008725E6">
        <w:rPr>
          <w:szCs w:val="22"/>
        </w:rPr>
        <w:t xml:space="preserve">wholly-owned </w:t>
      </w:r>
      <w:r w:rsidR="009C3756">
        <w:rPr>
          <w:szCs w:val="22"/>
        </w:rPr>
        <w:t xml:space="preserve">affiliates, </w:t>
      </w:r>
      <w:r w:rsidR="009C3756">
        <w:rPr>
          <w:szCs w:val="22"/>
        </w:rPr>
        <w:t>Commnet</w:t>
      </w:r>
      <w:r w:rsidR="009C3756">
        <w:rPr>
          <w:szCs w:val="22"/>
        </w:rPr>
        <w:t xml:space="preserve"> Wireless, LLC and </w:t>
      </w:r>
      <w:r w:rsidR="009C3756">
        <w:rPr>
          <w:szCs w:val="22"/>
        </w:rPr>
        <w:t>Commnet</w:t>
      </w:r>
      <w:r w:rsidR="009C3756">
        <w:rPr>
          <w:szCs w:val="22"/>
        </w:rPr>
        <w:t xml:space="preserve"> Broadband, LLC (together, </w:t>
      </w:r>
      <w:r w:rsidR="009C3756">
        <w:rPr>
          <w:szCs w:val="22"/>
        </w:rPr>
        <w:t>Commnet</w:t>
      </w:r>
      <w:r w:rsidR="009C3756">
        <w:rPr>
          <w:szCs w:val="22"/>
        </w:rPr>
        <w:t>)</w:t>
      </w:r>
      <w:r w:rsidR="008725E6">
        <w:rPr>
          <w:szCs w:val="22"/>
        </w:rPr>
        <w:t xml:space="preserve">, provide fixed and mobile broadband and commercial mobile radio services (CMRS) in </w:t>
      </w:r>
      <w:r w:rsidR="00384B5F">
        <w:rPr>
          <w:szCs w:val="22"/>
        </w:rPr>
        <w:t xml:space="preserve">the southwestern U.S., including in </w:t>
      </w:r>
      <w:r w:rsidR="00D50302">
        <w:rPr>
          <w:szCs w:val="22"/>
        </w:rPr>
        <w:t xml:space="preserve">some </w:t>
      </w:r>
      <w:r w:rsidR="008725E6">
        <w:rPr>
          <w:szCs w:val="22"/>
        </w:rPr>
        <w:t>areas served by SWC.</w:t>
      </w:r>
      <w:r>
        <w:rPr>
          <w:rStyle w:val="FootnoteReference"/>
          <w:szCs w:val="22"/>
        </w:rPr>
        <w:footnoteReference w:id="14"/>
      </w:r>
      <w:r w:rsidR="008725E6">
        <w:rPr>
          <w:szCs w:val="22"/>
        </w:rPr>
        <w:t xml:space="preserve">   </w:t>
      </w:r>
    </w:p>
    <w:p w:rsidR="00250782" w:rsidP="00217F0B" w14:paraId="2A15F3EE" w14:textId="05F2B513">
      <w:pPr>
        <w:autoSpaceDE w:val="0"/>
        <w:autoSpaceDN w:val="0"/>
        <w:adjustRightInd w:val="0"/>
        <w:spacing w:after="120"/>
        <w:ind w:firstLine="720"/>
        <w:rPr>
          <w:szCs w:val="22"/>
        </w:rPr>
      </w:pPr>
      <w:r>
        <w:rPr>
          <w:szCs w:val="22"/>
        </w:rPr>
        <w:t xml:space="preserve">According to Applicants, </w:t>
      </w:r>
      <w:r w:rsidR="008725E6">
        <w:t xml:space="preserve">ATN will contribute, </w:t>
      </w:r>
      <w:r>
        <w:t xml:space="preserve">in a </w:t>
      </w:r>
      <w:r w:rsidRPr="00CE5A04">
        <w:rPr>
          <w:i/>
          <w:iCs/>
        </w:rPr>
        <w:t>pro forma</w:t>
      </w:r>
      <w:r>
        <w:t xml:space="preserve"> transaction and </w:t>
      </w:r>
      <w:r w:rsidR="008725E6">
        <w:t xml:space="preserve">via a contribution agreement, all of the issued and outstanding </w:t>
      </w:r>
      <w:r w:rsidR="00D50302">
        <w:t xml:space="preserve">equity interests </w:t>
      </w:r>
      <w:r w:rsidR="008725E6">
        <w:t>held by ATN in</w:t>
      </w:r>
      <w:r>
        <w:t xml:space="preserve"> </w:t>
      </w:r>
      <w:r>
        <w:t>Commnet</w:t>
      </w:r>
      <w:r w:rsidR="00D50302">
        <w:t xml:space="preserve"> </w:t>
      </w:r>
      <w:r w:rsidR="00D50302">
        <w:t>to Alloy</w:t>
      </w:r>
      <w:r>
        <w:t>.</w:t>
      </w:r>
      <w:r>
        <w:rPr>
          <w:rStyle w:val="FootnoteReference"/>
        </w:rPr>
        <w:footnoteReference w:id="15"/>
      </w:r>
      <w:r>
        <w:t xml:space="preserve">  They further state</w:t>
      </w:r>
      <w:r w:rsidR="00676F41">
        <w:t xml:space="preserve"> that “t</w:t>
      </w:r>
      <w:r>
        <w:t xml:space="preserve">he Company Stockholders will transfer a portion of their shares of Sacred Wind’s common stock to Alloy and the remaining portion of their shares of Sacred Wind’s common stock to SW Holdings. </w:t>
      </w:r>
      <w:r w:rsidR="004B7C64">
        <w:t xml:space="preserve"> </w:t>
      </w:r>
      <w:r>
        <w:t xml:space="preserve">In consideration, SW Holdings will issue its membership interests to Sacred Wind stockholders and will sell to Alloy all the Sacred Wind shares of common stock that it owns in connection with the transaction. </w:t>
      </w:r>
      <w:r w:rsidR="004B7C64">
        <w:t xml:space="preserve"> </w:t>
      </w:r>
      <w:r>
        <w:t xml:space="preserve">In exchange, SW Holdings will receive shares of Alloy’s preferred stock, whereas other Company Stockholders that sell their Sacred Wind common stock directly to Alloy will receive cash. </w:t>
      </w:r>
      <w:r w:rsidR="004B7C64">
        <w:t xml:space="preserve"> </w:t>
      </w:r>
      <w:r>
        <w:t xml:space="preserve">As a result, Sacred Wind and the Section 214 Holders will become wholly owned subsidiaries of Alloy, which also will be the sole owner of </w:t>
      </w:r>
      <w:r>
        <w:t>Commnet</w:t>
      </w:r>
      <w:r>
        <w:t>.</w:t>
      </w:r>
      <w:r w:rsidR="004B7C64">
        <w:t xml:space="preserve"> </w:t>
      </w:r>
      <w:r>
        <w:t xml:space="preserve"> ATN will hold an ownership interest in Alloy of approximately 94.4 percent, and SW Holdings will hold an ownership interest in Alloy of approximately 5.6 percent.</w:t>
      </w:r>
      <w:r w:rsidR="004B7C64">
        <w:t xml:space="preserve"> </w:t>
      </w:r>
      <w:r w:rsidR="00123605">
        <w:t xml:space="preserve"> </w:t>
      </w:r>
      <w:r w:rsidR="004B7C64">
        <w:t xml:space="preserve">In addition, the direct ownership structures of SWC, SW </w:t>
      </w:r>
      <w:r w:rsidR="004B7C64">
        <w:t>DinehNet</w:t>
      </w:r>
      <w:r w:rsidR="004B7C64">
        <w:t xml:space="preserve">, and SWC </w:t>
      </w:r>
      <w:r w:rsidR="004B7C64">
        <w:t>Telesolutions</w:t>
      </w:r>
      <w:r w:rsidR="004B7C64">
        <w:t xml:space="preserve"> will remain unchanged.”</w:t>
      </w:r>
      <w:r>
        <w:rPr>
          <w:rStyle w:val="FootnoteReference"/>
        </w:rPr>
        <w:footnoteReference w:id="16"/>
      </w:r>
      <w:r w:rsidR="004B7C64">
        <w:t xml:space="preserve">  </w:t>
      </w:r>
      <w:r>
        <w:t xml:space="preserve"> </w:t>
      </w:r>
      <w:r w:rsidR="00E70C10">
        <w:rPr>
          <w:szCs w:val="22"/>
        </w:rPr>
        <w:t xml:space="preserve">  </w:t>
      </w:r>
    </w:p>
    <w:p w:rsidR="00AA583C" w:rsidP="00562812" w14:paraId="499BA552" w14:textId="057385C0">
      <w:pPr>
        <w:autoSpaceDE w:val="0"/>
        <w:autoSpaceDN w:val="0"/>
        <w:adjustRightInd w:val="0"/>
        <w:spacing w:after="120"/>
        <w:ind w:firstLine="720"/>
        <w:rPr>
          <w:szCs w:val="22"/>
        </w:rPr>
      </w:pPr>
      <w:r>
        <w:rPr>
          <w:szCs w:val="22"/>
        </w:rPr>
        <w:t xml:space="preserve">Applicants contend that the proposed transaction is in the public interest, will be transparent to customers, and </w:t>
      </w:r>
      <w:r w:rsidR="00123605">
        <w:rPr>
          <w:szCs w:val="22"/>
        </w:rPr>
        <w:t xml:space="preserve">that Alloy’s </w:t>
      </w:r>
      <w:r w:rsidR="00600AC9">
        <w:rPr>
          <w:szCs w:val="22"/>
        </w:rPr>
        <w:t>financial, managerial, and operational experience will “</w:t>
      </w:r>
      <w:r w:rsidR="00676F41">
        <w:rPr>
          <w:szCs w:val="22"/>
        </w:rPr>
        <w:t xml:space="preserve">further </w:t>
      </w:r>
      <w:r w:rsidR="00600AC9">
        <w:rPr>
          <w:szCs w:val="22"/>
        </w:rPr>
        <w:t xml:space="preserve">enhance Sacred Wind’s expansion </w:t>
      </w:r>
      <w:r w:rsidR="00676F41">
        <w:rPr>
          <w:szCs w:val="22"/>
        </w:rPr>
        <w:t xml:space="preserve">of </w:t>
      </w:r>
      <w:r w:rsidR="00600AC9">
        <w:rPr>
          <w:szCs w:val="22"/>
        </w:rPr>
        <w:t>broadband to many unserved and underserved areas of the Navajo Nation, as well as those of neighboring Tribes.”</w:t>
      </w:r>
      <w:r>
        <w:rPr>
          <w:rStyle w:val="FootnoteReference"/>
          <w:szCs w:val="22"/>
        </w:rPr>
        <w:footnoteReference w:id="17"/>
      </w:r>
      <w:r w:rsidR="00600AC9">
        <w:rPr>
          <w:szCs w:val="22"/>
        </w:rPr>
        <w:t xml:space="preserve">  The</w:t>
      </w:r>
      <w:r w:rsidR="00877D3D">
        <w:rPr>
          <w:szCs w:val="22"/>
        </w:rPr>
        <w:t>y</w:t>
      </w:r>
      <w:r w:rsidR="00600AC9">
        <w:rPr>
          <w:szCs w:val="22"/>
        </w:rPr>
        <w:t xml:space="preserve"> maintain that the proposed transaction will not diminish competition because there are competitive providers serving the areas in which both </w:t>
      </w:r>
      <w:r w:rsidR="00600AC9">
        <w:rPr>
          <w:szCs w:val="22"/>
        </w:rPr>
        <w:t>Commnet</w:t>
      </w:r>
      <w:r w:rsidR="00600AC9">
        <w:rPr>
          <w:szCs w:val="22"/>
        </w:rPr>
        <w:t xml:space="preserve"> and the Section 214 Holders provide service.</w:t>
      </w:r>
      <w:r>
        <w:rPr>
          <w:rStyle w:val="FootnoteReference"/>
          <w:szCs w:val="22"/>
        </w:rPr>
        <w:footnoteReference w:id="18"/>
      </w:r>
      <w:r w:rsidR="00600AC9">
        <w:rPr>
          <w:szCs w:val="22"/>
        </w:rPr>
        <w:t xml:space="preserve">  Applicants state that t</w:t>
      </w:r>
      <w:r w:rsidR="00600AC9">
        <w:t xml:space="preserve">here will be no changes to management, technology, or debt that would result from the proposed transaction that would compromise SW </w:t>
      </w:r>
      <w:r w:rsidR="00600AC9">
        <w:t>DinehNet’s</w:t>
      </w:r>
      <w:r w:rsidR="00600AC9">
        <w:t xml:space="preserve"> ability to meet its CAF</w:t>
      </w:r>
      <w:r w:rsidR="00BB385F">
        <w:t xml:space="preserve"> Phase II</w:t>
      </w:r>
      <w:r w:rsidR="00600AC9">
        <w:t xml:space="preserve"> and RDOF obligations.</w:t>
      </w:r>
      <w:r>
        <w:rPr>
          <w:rStyle w:val="FootnoteReference"/>
        </w:rPr>
        <w:footnoteReference w:id="19"/>
      </w:r>
      <w:r w:rsidR="00600AC9">
        <w:t xml:space="preserve">  </w:t>
      </w:r>
      <w:r>
        <w:rPr>
          <w:szCs w:val="22"/>
        </w:rPr>
        <w:t xml:space="preserve">  </w:t>
      </w:r>
    </w:p>
    <w:p w:rsidR="00562812" w:rsidP="00562812" w14:paraId="50C39C0E" w14:textId="3085E1CD">
      <w:pPr>
        <w:autoSpaceDE w:val="0"/>
        <w:autoSpaceDN w:val="0"/>
        <w:adjustRightInd w:val="0"/>
        <w:spacing w:after="120"/>
        <w:ind w:firstLine="720"/>
      </w:pPr>
      <w:r w:rsidRPr="00BB385F">
        <w:rPr>
          <w:snapToGrid w:val="0"/>
          <w:color w:val="000000"/>
          <w:kern w:val="28"/>
          <w:szCs w:val="22"/>
        </w:rPr>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BB385F">
        <w:rPr>
          <w:bCs/>
          <w:snapToGrid w:val="0"/>
          <w:kern w:val="28"/>
          <w:szCs w:val="22"/>
        </w:rPr>
        <w:t>.</w:t>
      </w:r>
      <w:r>
        <w:rPr>
          <w:bCs/>
          <w:snapToGrid w:val="0"/>
          <w:kern w:val="28"/>
          <w:szCs w:val="22"/>
          <w:vertAlign w:val="superscript"/>
        </w:rPr>
        <w:footnoteReference w:id="20"/>
      </w:r>
      <w:r w:rsidR="00840683">
        <w:rPr>
          <w:bCs/>
          <w:snapToGrid w:val="0"/>
          <w:kern w:val="28"/>
          <w:szCs w:val="22"/>
        </w:rPr>
        <w:t xml:space="preserve">  </w:t>
      </w:r>
      <w:r w:rsidR="0026228F">
        <w:rPr>
          <w:bCs/>
        </w:rPr>
        <w:t xml:space="preserve">  </w:t>
      </w:r>
    </w:p>
    <w:p w:rsidR="00AD440B" w:rsidRPr="00AD440B" w:rsidP="00840683" w14:paraId="460F9D03" w14:textId="51265102">
      <w:pPr>
        <w:ind w:left="720"/>
        <w:rPr>
          <w:szCs w:val="22"/>
        </w:rPr>
      </w:pPr>
      <w:r w:rsidRPr="00AD440B">
        <w:rPr>
          <w:szCs w:val="22"/>
        </w:rPr>
        <w:t xml:space="preserve">Domestic Section 214 Application Filed for the </w:t>
      </w:r>
      <w:r w:rsidR="00300AEE">
        <w:rPr>
          <w:szCs w:val="22"/>
        </w:rPr>
        <w:t>T</w:t>
      </w:r>
      <w:r w:rsidR="00840683">
        <w:rPr>
          <w:szCs w:val="22"/>
        </w:rPr>
        <w:t xml:space="preserve">ransfer of Control of </w:t>
      </w:r>
      <w:r w:rsidR="00505D1F">
        <w:rPr>
          <w:szCs w:val="22"/>
        </w:rPr>
        <w:t xml:space="preserve">Subsidiaries of </w:t>
      </w:r>
      <w:r w:rsidR="00840683">
        <w:rPr>
          <w:szCs w:val="22"/>
        </w:rPr>
        <w:t xml:space="preserve">Sacred Wind Enterprises, Inc. to Alloy, Inc., </w:t>
      </w:r>
      <w:r w:rsidRPr="0011590C">
        <w:rPr>
          <w:szCs w:val="22"/>
        </w:rPr>
        <w:t>WC Docket No. 2</w:t>
      </w:r>
      <w:r w:rsidRPr="0011590C" w:rsidR="00554D90">
        <w:rPr>
          <w:szCs w:val="22"/>
        </w:rPr>
        <w:t>2</w:t>
      </w:r>
      <w:r w:rsidRPr="0011590C">
        <w:rPr>
          <w:szCs w:val="22"/>
        </w:rPr>
        <w:t>-</w:t>
      </w:r>
      <w:r w:rsidR="00504505">
        <w:rPr>
          <w:szCs w:val="22"/>
        </w:rPr>
        <w:t>2</w:t>
      </w:r>
      <w:r w:rsidR="00840683">
        <w:rPr>
          <w:szCs w:val="22"/>
        </w:rPr>
        <w:t>92</w:t>
      </w:r>
      <w:r w:rsidRPr="0011590C">
        <w:rPr>
          <w:szCs w:val="22"/>
        </w:rPr>
        <w:t xml:space="preserve"> (filed </w:t>
      </w:r>
      <w:r w:rsidR="00840683">
        <w:rPr>
          <w:szCs w:val="22"/>
        </w:rPr>
        <w:t>Aug. 3,</w:t>
      </w:r>
      <w:r w:rsidRPr="0011590C">
        <w:rPr>
          <w:szCs w:val="22"/>
        </w:rPr>
        <w:t xml:space="preserve"> 202</w:t>
      </w:r>
      <w:r w:rsidRPr="0011590C" w:rsidR="00B07676">
        <w:rPr>
          <w:szCs w:val="22"/>
        </w:rPr>
        <w:t>2</w:t>
      </w:r>
      <w:r w:rsidRPr="0011590C">
        <w:rPr>
          <w:szCs w:val="22"/>
        </w:rPr>
        <w:t>).</w:t>
      </w:r>
    </w:p>
    <w:p w:rsidR="00AD440B" w:rsidRPr="00AD440B" w:rsidP="00AD440B" w14:paraId="600757BA" w14:textId="77777777">
      <w:pPr>
        <w:widowControl w:val="0"/>
        <w:rPr>
          <w:snapToGrid w:val="0"/>
          <w:kern w:val="28"/>
          <w:szCs w:val="22"/>
        </w:rPr>
      </w:pPr>
    </w:p>
    <w:p w:rsidR="00AD440B" w:rsidRPr="00AD440B" w:rsidP="00AD440B" w14:paraId="14BD5A08" w14:textId="77777777">
      <w:pPr>
        <w:autoSpaceDE w:val="0"/>
        <w:autoSpaceDN w:val="0"/>
        <w:adjustRightInd w:val="0"/>
        <w:rPr>
          <w:szCs w:val="22"/>
        </w:rPr>
      </w:pPr>
      <w:r w:rsidRPr="00AD440B">
        <w:rPr>
          <w:b/>
          <w:szCs w:val="22"/>
          <w:u w:val="single"/>
        </w:rPr>
        <w:t>GENERAL INFORMATION</w:t>
      </w:r>
    </w:p>
    <w:p w:rsidR="00C915CB" w:rsidRPr="008051B2" w:rsidP="00C915CB" w14:paraId="557CF14D" w14:textId="77777777">
      <w:pPr>
        <w:autoSpaceDE w:val="0"/>
        <w:autoSpaceDN w:val="0"/>
        <w:adjustRightInd w:val="0"/>
        <w:rPr>
          <w:color w:val="000000"/>
          <w:szCs w:val="22"/>
        </w:rPr>
      </w:pPr>
    </w:p>
    <w:p w:rsidR="00C915CB" w:rsidRPr="008051B2" w:rsidP="00C915CB" w14:paraId="35420B0A"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C915CB" w:rsidRPr="008051B2" w:rsidP="00C915CB" w14:paraId="41AE3FF8" w14:textId="06AC851F">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w:t>
      </w:r>
      <w:r w:rsidR="00300AEE">
        <w:rPr>
          <w:b/>
          <w:color w:val="000000"/>
          <w:szCs w:val="22"/>
        </w:rPr>
        <w:t xml:space="preserve">September </w:t>
      </w:r>
      <w:r w:rsidR="008047F1">
        <w:rPr>
          <w:b/>
          <w:color w:val="000000"/>
          <w:szCs w:val="22"/>
        </w:rPr>
        <w:t>8</w:t>
      </w:r>
      <w:r w:rsidRPr="008051B2">
        <w:rPr>
          <w:b/>
          <w:color w:val="000000"/>
          <w:szCs w:val="22"/>
        </w:rPr>
        <w:t>, 2022</w:t>
      </w:r>
      <w:r w:rsidRPr="008051B2">
        <w:rPr>
          <w:color w:val="000000"/>
          <w:szCs w:val="22"/>
        </w:rPr>
        <w:t xml:space="preserve">, and reply comments </w:t>
      </w:r>
      <w:r w:rsidRPr="008051B2">
        <w:rPr>
          <w:b/>
          <w:color w:val="000000"/>
          <w:szCs w:val="22"/>
        </w:rPr>
        <w:t xml:space="preserve">on or before </w:t>
      </w:r>
      <w:r w:rsidR="00300AEE">
        <w:rPr>
          <w:b/>
          <w:color w:val="000000"/>
          <w:szCs w:val="22"/>
        </w:rPr>
        <w:t xml:space="preserve">September </w:t>
      </w:r>
      <w:r w:rsidR="008047F1">
        <w:rPr>
          <w:b/>
          <w:color w:val="000000"/>
          <w:szCs w:val="22"/>
        </w:rPr>
        <w:t>15</w:t>
      </w:r>
      <w:r w:rsidRPr="008051B2">
        <w:rPr>
          <w:b/>
          <w:color w:val="000000"/>
          <w:szCs w:val="22"/>
        </w:rPr>
        <w:t>, 2022</w:t>
      </w:r>
      <w:r w:rsidRPr="008051B2">
        <w:rPr>
          <w:color w:val="000000"/>
          <w:szCs w:val="22"/>
        </w:rPr>
        <w:t>.  Comments may be filed using the Commission’s Electronic Comment Filing System (ECFS) or by paper.  </w:t>
      </w:r>
    </w:p>
    <w:p w:rsidR="00C915CB" w:rsidRPr="008051B2" w:rsidP="00C915CB" w14:paraId="54D8F5EB"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C915CB" w:rsidRPr="008051B2" w:rsidP="00C915CB" w14:paraId="225F16A2"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915CB" w:rsidRPr="008051B2" w:rsidP="00C915CB" w14:paraId="34F40BA9"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21"/>
      </w:r>
      <w:r w:rsidRPr="008051B2">
        <w:rPr>
          <w:color w:val="000000"/>
          <w:szCs w:val="22"/>
        </w:rPr>
        <w:t xml:space="preserve">  All filings must be addressed to the Commission’s Secretary, Office of the Secretary, Federal Communications Commission.</w:t>
      </w:r>
    </w:p>
    <w:p w:rsidR="00C915CB" w:rsidRPr="008051B2" w:rsidP="00C915CB" w14:paraId="11701ED3"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915CB" w:rsidRPr="008051B2" w:rsidP="00C915CB" w14:paraId="155B429F"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C915CB" w:rsidRPr="008051B2" w:rsidP="00C915CB" w14:paraId="6917898D" w14:textId="2E2A2068">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840683" w:rsidP="00C915CB" w14:paraId="31015490" w14:textId="1B15F467">
      <w:pPr>
        <w:numPr>
          <w:ilvl w:val="0"/>
          <w:numId w:val="18"/>
        </w:numPr>
        <w:autoSpaceDE w:val="0"/>
        <w:autoSpaceDN w:val="0"/>
        <w:adjustRightInd w:val="0"/>
        <w:spacing w:after="120"/>
        <w:rPr>
          <w:color w:val="000000"/>
          <w:szCs w:val="22"/>
        </w:rPr>
      </w:pPr>
      <w:r>
        <w:rPr>
          <w:szCs w:val="22"/>
        </w:rPr>
        <w:t>Myrva Charles</w:t>
      </w:r>
      <w:r w:rsidRPr="008014D0">
        <w:rPr>
          <w:szCs w:val="22"/>
        </w:rPr>
        <w:t xml:space="preserve">, Competition Policy Division, Wireline Competition Bureau, </w:t>
      </w:r>
      <w:hyperlink r:id="rId10" w:history="1">
        <w:r w:rsidRPr="0083439C">
          <w:rPr>
            <w:rStyle w:val="Hyperlink"/>
            <w:szCs w:val="22"/>
          </w:rPr>
          <w:t>myrva.charles@fcc.gov</w:t>
        </w:r>
      </w:hyperlink>
    </w:p>
    <w:p w:rsidR="00C915CB" w:rsidP="00C915CB" w14:paraId="4704E47A" w14:textId="73A335AD">
      <w:pPr>
        <w:numPr>
          <w:ilvl w:val="0"/>
          <w:numId w:val="18"/>
        </w:numPr>
        <w:autoSpaceDE w:val="0"/>
        <w:autoSpaceDN w:val="0"/>
        <w:adjustRightInd w:val="0"/>
        <w:spacing w:after="120"/>
        <w:rPr>
          <w:color w:val="000000"/>
          <w:szCs w:val="22"/>
        </w:rPr>
      </w:pPr>
      <w:r>
        <w:rPr>
          <w:color w:val="000000"/>
          <w:szCs w:val="22"/>
        </w:rPr>
        <w:t>Jodie May</w:t>
      </w:r>
      <w:r w:rsidRPr="008051B2" w:rsidR="0026228F">
        <w:rPr>
          <w:color w:val="000000"/>
          <w:szCs w:val="22"/>
        </w:rPr>
        <w:t>, Competition Policy Division, Wireline Competition Bureau,</w:t>
      </w:r>
      <w:r>
        <w:rPr>
          <w:color w:val="000000"/>
          <w:szCs w:val="22"/>
        </w:rPr>
        <w:t xml:space="preserve"> </w:t>
      </w:r>
      <w:r w:rsidR="00877D3D">
        <w:rPr>
          <w:color w:val="000000"/>
          <w:szCs w:val="22"/>
        </w:rPr>
        <w:t>j</w:t>
      </w:r>
      <w:r w:rsidR="00877D3D">
        <w:t>odie.may@fcc.gov</w:t>
      </w:r>
      <w:r w:rsidRPr="008051B2" w:rsidR="00877D3D">
        <w:rPr>
          <w:color w:val="000000"/>
          <w:szCs w:val="22"/>
        </w:rPr>
        <w:t>.</w:t>
      </w:r>
      <w:r w:rsidRPr="008051B2" w:rsidR="0026228F">
        <w:rPr>
          <w:color w:val="000000"/>
          <w:szCs w:val="22"/>
        </w:rPr>
        <w:t xml:space="preserve"> </w:t>
      </w:r>
    </w:p>
    <w:p w:rsidR="00C915CB" w:rsidRPr="00C915CB" w:rsidP="00C915CB" w14:paraId="1A537EB1" w14:textId="3393733B">
      <w:pPr>
        <w:numPr>
          <w:ilvl w:val="0"/>
          <w:numId w:val="18"/>
        </w:numPr>
        <w:autoSpaceDE w:val="0"/>
        <w:autoSpaceDN w:val="0"/>
        <w:adjustRightInd w:val="0"/>
        <w:spacing w:after="120"/>
        <w:rPr>
          <w:color w:val="000000"/>
          <w:szCs w:val="22"/>
        </w:rPr>
      </w:pPr>
      <w:r w:rsidRPr="00E4684A">
        <w:rPr>
          <w:szCs w:val="22"/>
        </w:rPr>
        <w:t xml:space="preserve">David Krech, Telecommunications and Analysis Division, International Bureau, </w:t>
      </w:r>
      <w:hyperlink r:id="rId11" w:history="1">
        <w:r w:rsidRPr="00E4684A">
          <w:rPr>
            <w:rStyle w:val="Hyperlink"/>
            <w:szCs w:val="22"/>
          </w:rPr>
          <w:t>david.krech@fcc.gov</w:t>
        </w:r>
      </w:hyperlink>
      <w:r w:rsidRPr="00E4684A">
        <w:rPr>
          <w:szCs w:val="22"/>
        </w:rPr>
        <w:t xml:space="preserve">; </w:t>
      </w:r>
    </w:p>
    <w:p w:rsidR="00C915CB" w:rsidRPr="00C915CB" w:rsidP="00C915CB" w14:paraId="21BDF8A2" w14:textId="3399A2AF">
      <w:pPr>
        <w:numPr>
          <w:ilvl w:val="0"/>
          <w:numId w:val="18"/>
        </w:numPr>
        <w:autoSpaceDE w:val="0"/>
        <w:autoSpaceDN w:val="0"/>
        <w:adjustRightInd w:val="0"/>
        <w:spacing w:after="120"/>
        <w:rPr>
          <w:color w:val="000000"/>
          <w:szCs w:val="22"/>
        </w:rPr>
      </w:pPr>
      <w:r w:rsidRPr="00E4684A">
        <w:rPr>
          <w:szCs w:val="22"/>
        </w:rPr>
        <w:t xml:space="preserve">Sumita Mukhoty, Telecommunications and Analysis Division, International Bureau, </w:t>
      </w:r>
      <w:hyperlink r:id="rId12" w:history="1">
        <w:r w:rsidRPr="00E4684A">
          <w:rPr>
            <w:rStyle w:val="Hyperlink"/>
            <w:szCs w:val="22"/>
          </w:rPr>
          <w:t>sumita.mukhoty@fcc.gov</w:t>
        </w:r>
      </w:hyperlink>
      <w:r w:rsidRPr="00E4684A">
        <w:rPr>
          <w:szCs w:val="22"/>
        </w:rPr>
        <w:t>; and</w:t>
      </w:r>
    </w:p>
    <w:p w:rsidR="00C915CB" w:rsidRPr="00E4684A" w:rsidP="00C915CB" w14:paraId="0FF8304D" w14:textId="11D5FD11">
      <w:pPr>
        <w:numPr>
          <w:ilvl w:val="0"/>
          <w:numId w:val="18"/>
        </w:numPr>
        <w:autoSpaceDE w:val="0"/>
        <w:autoSpaceDN w:val="0"/>
        <w:adjustRightInd w:val="0"/>
        <w:spacing w:after="120"/>
        <w:rPr>
          <w:color w:val="000000"/>
          <w:szCs w:val="22"/>
        </w:rPr>
      </w:pPr>
      <w:r w:rsidRPr="00E4684A">
        <w:rPr>
          <w:color w:val="000000"/>
          <w:szCs w:val="22"/>
        </w:rPr>
        <w:t xml:space="preserve">Jim Bird, Office of General Counsel, </w:t>
      </w:r>
      <w:hyperlink r:id="rId13" w:history="1">
        <w:r w:rsidRPr="00C038A3">
          <w:rPr>
            <w:rStyle w:val="Hyperlink"/>
            <w:szCs w:val="22"/>
          </w:rPr>
          <w:t>jim.bird@fcc.gov</w:t>
        </w:r>
      </w:hyperlink>
      <w:r>
        <w:rPr>
          <w:rStyle w:val="Hyperlink"/>
          <w:szCs w:val="22"/>
        </w:rPr>
        <w:t>.</w:t>
      </w:r>
    </w:p>
    <w:p w:rsidR="00C915CB" w:rsidRPr="008051B2" w:rsidP="00C915CB" w14:paraId="3F61BE75"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 xml:space="preserve">ex </w:t>
      </w:r>
      <w:r w:rsidRPr="008051B2">
        <w:rPr>
          <w:i/>
          <w:color w:val="000000"/>
          <w:szCs w:val="22"/>
        </w:rPr>
        <w:t>parte</w:t>
      </w:r>
      <w:r w:rsidRPr="008051B2">
        <w:rPr>
          <w:color w:val="000000"/>
          <w:szCs w:val="22"/>
        </w:rPr>
        <w:t xml:space="preserve"> rules.  Persons making </w:t>
      </w:r>
      <w:r w:rsidRPr="008051B2">
        <w:rPr>
          <w:i/>
          <w:color w:val="000000"/>
          <w:szCs w:val="22"/>
        </w:rPr>
        <w:t xml:space="preserve">ex </w:t>
      </w:r>
      <w:r w:rsidRPr="008051B2">
        <w:rPr>
          <w:i/>
          <w:color w:val="000000"/>
          <w:szCs w:val="22"/>
        </w:rPr>
        <w:t>parte</w:t>
      </w:r>
      <w:r w:rsidRPr="008051B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 xml:space="preserve">ex </w:t>
      </w:r>
      <w:r w:rsidRPr="008051B2">
        <w:rPr>
          <w:i/>
          <w:color w:val="000000"/>
          <w:szCs w:val="22"/>
        </w:rPr>
        <w:t>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 xml:space="preserve">ex </w:t>
      </w:r>
      <w:r w:rsidRPr="008051B2">
        <w:rPr>
          <w:i/>
          <w:color w:val="000000"/>
          <w:szCs w:val="22"/>
        </w:rPr>
        <w:t>parte</w:t>
      </w:r>
      <w:r w:rsidRPr="008051B2">
        <w:rPr>
          <w:color w:val="000000"/>
          <w:szCs w:val="22"/>
        </w:rPr>
        <w:t xml:space="preserve"> presentation was made, and (2) summarize all data presented and arguments made during the presentation.  If the presentation consisted in whole or in part of the presentation of data or </w:t>
      </w:r>
      <w:r w:rsidRPr="008051B2">
        <w:rPr>
          <w:color w:val="000000"/>
          <w:szCs w:val="22"/>
        </w:rPr>
        <w:t xml:space="preserve">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 xml:space="preserve">ex </w:t>
      </w:r>
      <w:r w:rsidRPr="008051B2">
        <w:rPr>
          <w:i/>
          <w:color w:val="000000"/>
          <w:szCs w:val="22"/>
        </w:rPr>
        <w:t>parte</w:t>
      </w:r>
      <w:r w:rsidRPr="008051B2">
        <w:rPr>
          <w:color w:val="000000"/>
          <w:szCs w:val="22"/>
        </w:rPr>
        <w:t xml:space="preserve"> meetings are deemed to be written </w:t>
      </w:r>
      <w:r w:rsidRPr="008051B2">
        <w:rPr>
          <w:i/>
          <w:color w:val="000000"/>
          <w:szCs w:val="22"/>
        </w:rPr>
        <w:t xml:space="preserve">ex </w:t>
      </w:r>
      <w:r w:rsidRPr="008051B2">
        <w:rPr>
          <w:i/>
          <w:color w:val="000000"/>
          <w:szCs w:val="22"/>
        </w:rPr>
        <w:t>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 xml:space="preserve">ex </w:t>
      </w:r>
      <w:r w:rsidRPr="008051B2">
        <w:rPr>
          <w:i/>
          <w:color w:val="000000"/>
          <w:szCs w:val="22"/>
        </w:rPr>
        <w:t>parte</w:t>
      </w:r>
      <w:r w:rsidRPr="008051B2">
        <w:rPr>
          <w:color w:val="000000"/>
          <w:szCs w:val="22"/>
        </w:rPr>
        <w:t xml:space="preserve"> rules.</w:t>
      </w:r>
    </w:p>
    <w:p w:rsidR="00C915CB" w:rsidRPr="008051B2" w:rsidP="00C915CB" w14:paraId="23D46918" w14:textId="7777777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22"/>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915CB" w:rsidRPr="008051B2" w:rsidP="00C915CB" w14:paraId="26D08859" w14:textId="080AF650">
      <w:pPr>
        <w:autoSpaceDE w:val="0"/>
        <w:autoSpaceDN w:val="0"/>
        <w:adjustRightInd w:val="0"/>
        <w:spacing w:after="120"/>
        <w:ind w:firstLine="720"/>
        <w:rPr>
          <w:color w:val="000000"/>
          <w:szCs w:val="22"/>
        </w:rPr>
      </w:pPr>
      <w:r w:rsidRPr="008051B2">
        <w:rPr>
          <w:color w:val="000000"/>
          <w:szCs w:val="22"/>
        </w:rPr>
        <w:t xml:space="preserve">For further information, please contact </w:t>
      </w:r>
      <w:r w:rsidRPr="008014D0" w:rsidR="00300AEE">
        <w:rPr>
          <w:szCs w:val="22"/>
        </w:rPr>
        <w:t xml:space="preserve">please contact </w:t>
      </w:r>
      <w:r w:rsidR="00300AEE">
        <w:rPr>
          <w:szCs w:val="22"/>
        </w:rPr>
        <w:t>Myrva Charles</w:t>
      </w:r>
      <w:r w:rsidRPr="006A1B83" w:rsidR="00300AEE">
        <w:rPr>
          <w:szCs w:val="22"/>
        </w:rPr>
        <w:t xml:space="preserve"> at (202) 418-1</w:t>
      </w:r>
      <w:r w:rsidR="00300AEE">
        <w:rPr>
          <w:szCs w:val="22"/>
        </w:rPr>
        <w:t>506</w:t>
      </w:r>
      <w:r w:rsidRPr="006A1B83" w:rsidR="00300AEE">
        <w:rPr>
          <w:szCs w:val="22"/>
        </w:rPr>
        <w:t xml:space="preserve"> </w:t>
      </w:r>
      <w:r w:rsidR="00300AEE">
        <w:rPr>
          <w:szCs w:val="22"/>
        </w:rPr>
        <w:t>or Jodie May at</w:t>
      </w:r>
      <w:r w:rsidRPr="008051B2">
        <w:rPr>
          <w:color w:val="000000"/>
          <w:szCs w:val="22"/>
        </w:rPr>
        <w:t xml:space="preserve"> (202) 418-</w:t>
      </w:r>
      <w:r w:rsidR="00300AEE">
        <w:rPr>
          <w:color w:val="000000"/>
          <w:szCs w:val="22"/>
        </w:rPr>
        <w:t>0913</w:t>
      </w:r>
      <w:r w:rsidRPr="008051B2">
        <w:rPr>
          <w:color w:val="000000"/>
          <w:szCs w:val="22"/>
        </w:rPr>
        <w:t>.</w:t>
      </w:r>
    </w:p>
    <w:p w:rsidR="00C915CB" w:rsidRPr="008051B2" w:rsidP="00C915CB" w14:paraId="290B94E0" w14:textId="77777777">
      <w:pPr>
        <w:autoSpaceDE w:val="0"/>
        <w:autoSpaceDN w:val="0"/>
        <w:adjustRightInd w:val="0"/>
        <w:spacing w:after="120"/>
        <w:jc w:val="center"/>
        <w:rPr>
          <w:color w:val="000000"/>
          <w:szCs w:val="22"/>
        </w:rPr>
      </w:pPr>
      <w:r w:rsidRPr="008051B2">
        <w:rPr>
          <w:b/>
          <w:color w:val="000000"/>
          <w:szCs w:val="22"/>
        </w:rPr>
        <w:t>-FCC-</w:t>
      </w:r>
    </w:p>
    <w:bookmarkEnd w:id="1"/>
    <w:bookmarkEnd w:id="2"/>
    <w:p w:rsidR="00524D79" w14:paraId="0CBEF836"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8BD039" w14:textId="07CAD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ABD">
      <w:rPr>
        <w:rStyle w:val="PageNumber"/>
        <w:noProof/>
      </w:rPr>
      <w:t>2</w:t>
    </w:r>
    <w:r>
      <w:rPr>
        <w:rStyle w:val="PageNumber"/>
      </w:rPr>
      <w:fldChar w:fldCharType="end"/>
    </w:r>
  </w:p>
  <w:p w:rsidR="005E21F5" w14:paraId="2DBFE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E7B6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50C2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0F7D6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EDDD82D" w14:textId="77777777"/>
  <w:p w:rsidR="005E21F5" w14:paraId="3FBAEE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6854" w14:paraId="29EE892E" w14:textId="77777777">
      <w:r>
        <w:separator/>
      </w:r>
    </w:p>
  </w:footnote>
  <w:footnote w:type="continuationSeparator" w:id="1">
    <w:p w:rsidR="00A06854" w14:paraId="1DFC0961" w14:textId="77777777">
      <w:r>
        <w:continuationSeparator/>
      </w:r>
    </w:p>
  </w:footnote>
  <w:footnote w:type="continuationNotice" w:id="2">
    <w:p w:rsidR="00A06854" w14:paraId="56B3362A" w14:textId="77777777"/>
  </w:footnote>
  <w:footnote w:id="3">
    <w:p w:rsidR="005E21F5" w:rsidRPr="00133E17" w:rsidP="00287FB9" w14:paraId="592AB1E9" w14:textId="50B19A30">
      <w:pPr>
        <w:spacing w:after="120"/>
        <w:rPr>
          <w:bCs/>
          <w:sz w:val="20"/>
        </w:rPr>
      </w:pPr>
      <w:r w:rsidRPr="00C118F5">
        <w:rPr>
          <w:rStyle w:val="FootnoteReference"/>
          <w:sz w:val="20"/>
        </w:rPr>
        <w:footnoteRef/>
      </w:r>
      <w:r w:rsidRPr="00C118F5">
        <w:rPr>
          <w:sz w:val="20"/>
        </w:rPr>
        <w:t xml:space="preserve"> </w:t>
      </w:r>
      <w:r w:rsidRPr="00133E17">
        <w:rPr>
          <w:i/>
          <w:sz w:val="20"/>
        </w:rPr>
        <w:t>See</w:t>
      </w:r>
      <w:r w:rsidRPr="00133E17">
        <w:rPr>
          <w:sz w:val="20"/>
        </w:rPr>
        <w:t xml:space="preserve"> 47 U.S.C. § 214; 47 CFR §§ 63.03-04.  </w:t>
      </w:r>
      <w:r w:rsidRPr="00133E17" w:rsidR="007B64CF">
        <w:rPr>
          <w:sz w:val="20"/>
        </w:rPr>
        <w:t>Joint Application</w:t>
      </w:r>
      <w:r w:rsidRPr="00133E17" w:rsidR="004B6625">
        <w:rPr>
          <w:sz w:val="20"/>
        </w:rPr>
        <w:t xml:space="preserve"> of Sacred Wind Enterprises, Inc. and Alloy, Inc. </w:t>
      </w:r>
      <w:r w:rsidRPr="00133E17" w:rsidR="007B64CF">
        <w:rPr>
          <w:sz w:val="20"/>
        </w:rPr>
        <w:t xml:space="preserve">for Consent to </w:t>
      </w:r>
      <w:r w:rsidRPr="00133E17" w:rsidR="004B6625">
        <w:rPr>
          <w:sz w:val="20"/>
        </w:rPr>
        <w:t>Transfer Control of Domestic and International Section 214 Authorizations</w:t>
      </w:r>
      <w:r w:rsidRPr="00133E17" w:rsidR="007B64CF">
        <w:rPr>
          <w:sz w:val="20"/>
        </w:rPr>
        <w:t>, WC Docket N</w:t>
      </w:r>
      <w:r w:rsidRPr="00133E17" w:rsidR="002F052F">
        <w:rPr>
          <w:sz w:val="20"/>
        </w:rPr>
        <w:t>o</w:t>
      </w:r>
      <w:r w:rsidRPr="00133E17" w:rsidR="007B64CF">
        <w:rPr>
          <w:sz w:val="20"/>
        </w:rPr>
        <w:t>. 22-2</w:t>
      </w:r>
      <w:r w:rsidRPr="00133E17" w:rsidR="004B6625">
        <w:rPr>
          <w:sz w:val="20"/>
        </w:rPr>
        <w:t>92</w:t>
      </w:r>
      <w:r w:rsidRPr="00133E17" w:rsidR="007B64CF">
        <w:rPr>
          <w:sz w:val="20"/>
        </w:rPr>
        <w:t xml:space="preserve"> (filed</w:t>
      </w:r>
      <w:r w:rsidRPr="00133E17" w:rsidR="002F052F">
        <w:rPr>
          <w:sz w:val="20"/>
        </w:rPr>
        <w:t xml:space="preserve"> </w:t>
      </w:r>
      <w:r w:rsidRPr="00133E17" w:rsidR="004B6625">
        <w:rPr>
          <w:sz w:val="20"/>
        </w:rPr>
        <w:t>Aug. 3</w:t>
      </w:r>
      <w:r w:rsidRPr="00133E17" w:rsidR="002F052F">
        <w:rPr>
          <w:sz w:val="20"/>
        </w:rPr>
        <w:t xml:space="preserve">, 2022) (Application).  </w:t>
      </w:r>
      <w:r w:rsidR="002C718F">
        <w:rPr>
          <w:sz w:val="20"/>
        </w:rPr>
        <w:t xml:space="preserve">Applicants filed a supplement to the Application.  Letter from Bennett L. Ross, Daniel P. Brooks, Counsel for Alloy, and Martin L. Stern, Robert A. Silverman, Jeffrey S. Lanning, Counsel for Sacred Wind, to Marlene H. Dortch, Secretary, FCC, WC Docket No. 22-292 (filed Aug. 18, 2022) (Supplement).  </w:t>
      </w:r>
      <w:r w:rsidRPr="00133E17">
        <w:rPr>
          <w:sz w:val="20"/>
        </w:rPr>
        <w:t xml:space="preserve">Applicants </w:t>
      </w:r>
      <w:r w:rsidRPr="00133E17" w:rsidR="004271D3">
        <w:rPr>
          <w:sz w:val="20"/>
        </w:rPr>
        <w:t xml:space="preserve">are </w:t>
      </w:r>
      <w:r w:rsidRPr="00133E17">
        <w:rPr>
          <w:sz w:val="20"/>
        </w:rPr>
        <w:t>also fil</w:t>
      </w:r>
      <w:r w:rsidRPr="00133E17" w:rsidR="004271D3">
        <w:rPr>
          <w:sz w:val="20"/>
        </w:rPr>
        <w:t>ing</w:t>
      </w:r>
      <w:r w:rsidRPr="00133E17">
        <w:rPr>
          <w:sz w:val="20"/>
        </w:rPr>
        <w:t xml:space="preserve"> applications for the transfer of authorizations associated with international </w:t>
      </w:r>
      <w:r w:rsidRPr="00133E17" w:rsidR="00907B85">
        <w:rPr>
          <w:sz w:val="20"/>
        </w:rPr>
        <w:t xml:space="preserve">and wireless </w:t>
      </w:r>
      <w:r w:rsidRPr="00133E17">
        <w:rPr>
          <w:sz w:val="20"/>
        </w:rPr>
        <w:t>services.</w:t>
      </w:r>
      <w:r w:rsidRPr="00133E17" w:rsidR="00B26F72">
        <w:rPr>
          <w:sz w:val="20"/>
        </w:rPr>
        <w:t xml:space="preserve">  </w:t>
      </w:r>
      <w:r w:rsidRPr="00133E17">
        <w:rPr>
          <w:sz w:val="20"/>
        </w:rPr>
        <w:t>Any action on this domestic section 214 application is without prejudice to Commission action on other related, pending applications</w:t>
      </w:r>
      <w:r w:rsidRPr="00133E17">
        <w:rPr>
          <w:bCs/>
          <w:sz w:val="20"/>
        </w:rPr>
        <w:t>.</w:t>
      </w:r>
    </w:p>
  </w:footnote>
  <w:footnote w:id="4">
    <w:p w:rsidR="00B67EA8" w:rsidRPr="00133E17" w14:paraId="04D44F3D" w14:textId="23AD17A5">
      <w:pPr>
        <w:pStyle w:val="FootnoteText"/>
        <w:rPr>
          <w:sz w:val="20"/>
        </w:rPr>
      </w:pPr>
      <w:r w:rsidRPr="00133E17">
        <w:rPr>
          <w:rStyle w:val="FootnoteReference"/>
          <w:sz w:val="20"/>
        </w:rPr>
        <w:footnoteRef/>
      </w:r>
      <w:r w:rsidRPr="00133E17">
        <w:rPr>
          <w:sz w:val="20"/>
        </w:rPr>
        <w:t xml:space="preserve"> Application at 2-</w:t>
      </w:r>
      <w:r w:rsidRPr="00133E17" w:rsidR="004C737E">
        <w:rPr>
          <w:sz w:val="20"/>
        </w:rPr>
        <w:t>4, 13.</w:t>
      </w:r>
      <w:r w:rsidRPr="00133E17" w:rsidR="0037754A">
        <w:rPr>
          <w:sz w:val="20"/>
        </w:rPr>
        <w:t xml:space="preserve">  All entities are based in New Mexico.  </w:t>
      </w:r>
      <w:r w:rsidRPr="00133E17" w:rsidR="0037754A">
        <w:rPr>
          <w:i/>
          <w:iCs/>
          <w:sz w:val="20"/>
        </w:rPr>
        <w:t>Id</w:t>
      </w:r>
      <w:r w:rsidRPr="00133E17" w:rsidR="0037754A">
        <w:rPr>
          <w:sz w:val="20"/>
        </w:rPr>
        <w:t xml:space="preserve">. at 7. </w:t>
      </w:r>
      <w:r w:rsidRPr="00133E17" w:rsidR="0037754A">
        <w:rPr>
          <w:i/>
          <w:iCs/>
          <w:sz w:val="20"/>
        </w:rPr>
        <w:t xml:space="preserve"> </w:t>
      </w:r>
      <w:r w:rsidRPr="00133E17" w:rsidR="0037754A">
        <w:rPr>
          <w:sz w:val="20"/>
        </w:rPr>
        <w:t>Sacred Wind</w:t>
      </w:r>
      <w:r w:rsidR="00946733">
        <w:rPr>
          <w:sz w:val="20"/>
        </w:rPr>
        <w:t xml:space="preserve">’s common stock is currently held by the Sacred Wind Employee Stock Ownership Trust (13%), Sacred Wind Holdings, LLC </w:t>
      </w:r>
      <w:r w:rsidR="0056614A">
        <w:rPr>
          <w:sz w:val="20"/>
        </w:rPr>
        <w:t xml:space="preserve">(SW Holdings) </w:t>
      </w:r>
      <w:r w:rsidR="00946733">
        <w:rPr>
          <w:sz w:val="20"/>
        </w:rPr>
        <w:t xml:space="preserve">(35%), and other individual </w:t>
      </w:r>
      <w:r w:rsidR="00123605">
        <w:rPr>
          <w:sz w:val="20"/>
        </w:rPr>
        <w:t>s</w:t>
      </w:r>
      <w:r w:rsidR="00946733">
        <w:rPr>
          <w:sz w:val="20"/>
        </w:rPr>
        <w:t xml:space="preserve">tockholders </w:t>
      </w:r>
      <w:r w:rsidR="00123605">
        <w:rPr>
          <w:sz w:val="20"/>
        </w:rPr>
        <w:t xml:space="preserve">(Company Stockholders) </w:t>
      </w:r>
      <w:r w:rsidR="00946733">
        <w:rPr>
          <w:sz w:val="20"/>
        </w:rPr>
        <w:t>(52%)</w:t>
      </w:r>
      <w:r w:rsidRPr="00133E17" w:rsidR="0037754A">
        <w:rPr>
          <w:sz w:val="20"/>
        </w:rPr>
        <w:t xml:space="preserve">.  </w:t>
      </w:r>
      <w:r w:rsidRPr="00133E17" w:rsidR="0037754A">
        <w:rPr>
          <w:i/>
          <w:iCs/>
          <w:sz w:val="20"/>
        </w:rPr>
        <w:t>Id</w:t>
      </w:r>
      <w:r w:rsidRPr="00133E17" w:rsidR="0037754A">
        <w:rPr>
          <w:sz w:val="20"/>
        </w:rPr>
        <w:t xml:space="preserve">. at </w:t>
      </w:r>
      <w:r w:rsidRPr="00133E17" w:rsidR="008725E6">
        <w:rPr>
          <w:sz w:val="20"/>
        </w:rPr>
        <w:t>6</w:t>
      </w:r>
      <w:r w:rsidRPr="00133E17" w:rsidR="0037754A">
        <w:rPr>
          <w:sz w:val="20"/>
        </w:rPr>
        <w:t xml:space="preserve"> and </w:t>
      </w:r>
      <w:r w:rsidRPr="00133E17" w:rsidR="0037754A">
        <w:rPr>
          <w:sz w:val="20"/>
        </w:rPr>
        <w:t>Exh</w:t>
      </w:r>
      <w:r w:rsidRPr="00133E17" w:rsidR="0037754A">
        <w:rPr>
          <w:sz w:val="20"/>
        </w:rPr>
        <w:t>. A (Pre-Closing Ownership Structure of Sacred Wind and the Section 214 Holders).</w:t>
      </w:r>
    </w:p>
  </w:footnote>
  <w:footnote w:id="5">
    <w:p w:rsidR="004C737E" w:rsidRPr="00300AEE" w14:paraId="0040B171" w14:textId="3B3F141C">
      <w:pPr>
        <w:pStyle w:val="FootnoteText"/>
        <w:rPr>
          <w:sz w:val="20"/>
        </w:rPr>
      </w:pPr>
      <w:r w:rsidRPr="00133E17">
        <w:rPr>
          <w:rStyle w:val="FootnoteReference"/>
          <w:sz w:val="20"/>
        </w:rPr>
        <w:footnoteRef/>
      </w:r>
      <w:r w:rsidRPr="00133E17">
        <w:rPr>
          <w:sz w:val="20"/>
        </w:rPr>
        <w:t xml:space="preserve"> </w:t>
      </w:r>
      <w:r w:rsidRPr="00133E17">
        <w:rPr>
          <w:i/>
          <w:iCs/>
          <w:sz w:val="20"/>
        </w:rPr>
        <w:t>Id</w:t>
      </w:r>
      <w:r w:rsidRPr="00133E17">
        <w:rPr>
          <w:sz w:val="20"/>
        </w:rPr>
        <w:t>. at 2-3.</w:t>
      </w:r>
      <w:r w:rsidR="00840683">
        <w:rPr>
          <w:sz w:val="20"/>
        </w:rPr>
        <w:t xml:space="preserve">  SWC is not a </w:t>
      </w:r>
      <w:r w:rsidR="008047F1">
        <w:rPr>
          <w:sz w:val="20"/>
        </w:rPr>
        <w:t>Tribally-</w:t>
      </w:r>
      <w:r w:rsidR="00840683">
        <w:rPr>
          <w:sz w:val="20"/>
        </w:rPr>
        <w:t xml:space="preserve">owned incumbent LEC.  </w:t>
      </w:r>
      <w:r w:rsidR="00300AEE">
        <w:rPr>
          <w:i/>
          <w:iCs/>
          <w:sz w:val="20"/>
        </w:rPr>
        <w:t>Id</w:t>
      </w:r>
      <w:r w:rsidR="00300AEE">
        <w:rPr>
          <w:sz w:val="20"/>
        </w:rPr>
        <w:t>. at 3.</w:t>
      </w:r>
    </w:p>
  </w:footnote>
  <w:footnote w:id="6">
    <w:p w:rsidR="004C737E" w:rsidRPr="00133E17" w14:paraId="56C89540" w14:textId="3DDECAD5">
      <w:pPr>
        <w:pStyle w:val="FootnoteText"/>
        <w:rPr>
          <w:sz w:val="20"/>
        </w:rPr>
      </w:pPr>
      <w:r w:rsidRPr="00133E17">
        <w:rPr>
          <w:rStyle w:val="FootnoteReference"/>
          <w:sz w:val="20"/>
        </w:rPr>
        <w:footnoteRef/>
      </w:r>
      <w:r w:rsidRPr="00133E17">
        <w:rPr>
          <w:sz w:val="20"/>
        </w:rPr>
        <w:t xml:space="preserve"> </w:t>
      </w:r>
      <w:r w:rsidRPr="00133E17">
        <w:rPr>
          <w:i/>
          <w:iCs/>
          <w:sz w:val="20"/>
        </w:rPr>
        <w:t>Id</w:t>
      </w:r>
      <w:r w:rsidRPr="00133E17">
        <w:rPr>
          <w:sz w:val="20"/>
        </w:rPr>
        <w:t>. at 3-4.</w:t>
      </w:r>
    </w:p>
  </w:footnote>
  <w:footnote w:id="7">
    <w:p w:rsidR="009A6314" w:rsidRPr="00133E17" w:rsidP="009A6314" w14:paraId="18468A47" w14:textId="5E6736E7">
      <w:pPr>
        <w:pStyle w:val="FootnoteText"/>
        <w:rPr>
          <w:sz w:val="20"/>
        </w:rPr>
      </w:pPr>
      <w:r w:rsidRPr="00133E17">
        <w:rPr>
          <w:rStyle w:val="FootnoteReference"/>
          <w:sz w:val="20"/>
        </w:rPr>
        <w:footnoteRef/>
      </w:r>
      <w:r w:rsidRPr="00133E17">
        <w:rPr>
          <w:sz w:val="20"/>
        </w:rPr>
        <w:t xml:space="preserve"> </w:t>
      </w:r>
      <w:r w:rsidRPr="00133E17">
        <w:rPr>
          <w:i/>
          <w:iCs/>
          <w:sz w:val="20"/>
        </w:rPr>
        <w:t>Id</w:t>
      </w:r>
      <w:r w:rsidRPr="00133E17">
        <w:rPr>
          <w:sz w:val="20"/>
        </w:rPr>
        <w:t xml:space="preserve">.  </w:t>
      </w:r>
      <w:r w:rsidRPr="00133E17">
        <w:rPr>
          <w:i/>
          <w:iCs/>
          <w:sz w:val="20"/>
        </w:rPr>
        <w:t>See Connect America Fund Phase II Auction Support Authorized for 856 Winning Bids</w:t>
      </w:r>
      <w:r w:rsidRPr="00133E17">
        <w:rPr>
          <w:sz w:val="20"/>
        </w:rPr>
        <w:t xml:space="preserve">, WC Docket No. 10-90, AU Docket No. 17-182, Public Notice, 34 FCC </w:t>
      </w:r>
      <w:r w:rsidRPr="00133E17">
        <w:rPr>
          <w:sz w:val="20"/>
        </w:rPr>
        <w:t>Rcd</w:t>
      </w:r>
      <w:r w:rsidRPr="00133E17">
        <w:rPr>
          <w:sz w:val="20"/>
        </w:rPr>
        <w:t xml:space="preserve"> 4725, Attach. A (Authorized Long-Form Applicants and Winning Bids) (WCB 2019)</w:t>
      </w:r>
      <w:r w:rsidR="00505D1F">
        <w:rPr>
          <w:sz w:val="20"/>
        </w:rPr>
        <w:t>.</w:t>
      </w:r>
    </w:p>
  </w:footnote>
  <w:footnote w:id="8">
    <w:p w:rsidR="009A6314" w:rsidRPr="00133E17" w:rsidP="009A6314" w14:paraId="6D86B25A" w14:textId="131953CA">
      <w:pPr>
        <w:pStyle w:val="FootnoteText"/>
        <w:rPr>
          <w:sz w:val="20"/>
        </w:rPr>
      </w:pPr>
      <w:r w:rsidRPr="00133E17">
        <w:rPr>
          <w:rStyle w:val="FootnoteReference"/>
          <w:sz w:val="20"/>
        </w:rPr>
        <w:footnoteRef/>
      </w:r>
      <w:r w:rsidRPr="00133E17">
        <w:rPr>
          <w:sz w:val="20"/>
        </w:rPr>
        <w:t xml:space="preserve"> Application at</w:t>
      </w:r>
      <w:r w:rsidRPr="00133E17" w:rsidR="004C737E">
        <w:rPr>
          <w:sz w:val="20"/>
        </w:rPr>
        <w:t xml:space="preserve"> 3-4</w:t>
      </w:r>
      <w:r w:rsidRPr="00133E17">
        <w:rPr>
          <w:sz w:val="20"/>
        </w:rPr>
        <w:t xml:space="preserve">; </w:t>
      </w:r>
      <w:r w:rsidR="00D50302">
        <w:rPr>
          <w:i/>
          <w:iCs/>
          <w:sz w:val="20"/>
        </w:rPr>
        <w:t xml:space="preserve">see </w:t>
      </w:r>
      <w:r w:rsidRPr="00133E17">
        <w:rPr>
          <w:i/>
          <w:iCs/>
          <w:sz w:val="20"/>
        </w:rPr>
        <w:t>Rural Digital Opportunity Fund Support Authorized For 1,</w:t>
      </w:r>
      <w:r w:rsidRPr="00133E17" w:rsidR="00BE6980">
        <w:rPr>
          <w:i/>
          <w:iCs/>
          <w:sz w:val="20"/>
        </w:rPr>
        <w:t>345</w:t>
      </w:r>
      <w:r w:rsidRPr="00133E17">
        <w:rPr>
          <w:i/>
          <w:iCs/>
          <w:sz w:val="20"/>
        </w:rPr>
        <w:t xml:space="preserve"> Winning Bids</w:t>
      </w:r>
      <w:r w:rsidRPr="00133E17">
        <w:rPr>
          <w:sz w:val="20"/>
        </w:rPr>
        <w:t>, AU Docket No. 20-34, WC Docket Nos. 19-126, 10-90, Public Notice, DA 22-</w:t>
      </w:r>
      <w:r w:rsidRPr="00133E17" w:rsidR="00BE6980">
        <w:rPr>
          <w:sz w:val="20"/>
        </w:rPr>
        <w:t xml:space="preserve">402, at 6 and Attach. </w:t>
      </w:r>
      <w:r w:rsidRPr="00133E17">
        <w:rPr>
          <w:sz w:val="20"/>
        </w:rPr>
        <w:t>A (WCB</w:t>
      </w:r>
      <w:r w:rsidRPr="00133E17" w:rsidR="00BE6980">
        <w:rPr>
          <w:sz w:val="20"/>
        </w:rPr>
        <w:t xml:space="preserve"> 2022</w:t>
      </w:r>
      <w:r w:rsidRPr="00133E17">
        <w:rPr>
          <w:sz w:val="20"/>
        </w:rPr>
        <w:t>) (stating that ETCs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w:t>
      </w:r>
    </w:p>
  </w:footnote>
  <w:footnote w:id="9">
    <w:p w:rsidR="004C737E" w:rsidRPr="00133E17" w14:paraId="21B5E816" w14:textId="3BF1496C">
      <w:pPr>
        <w:pStyle w:val="FootnoteText"/>
        <w:rPr>
          <w:sz w:val="20"/>
        </w:rPr>
      </w:pPr>
      <w:r w:rsidRPr="00133E17">
        <w:rPr>
          <w:rStyle w:val="FootnoteReference"/>
          <w:sz w:val="20"/>
        </w:rPr>
        <w:footnoteRef/>
      </w:r>
      <w:r w:rsidRPr="00133E17">
        <w:rPr>
          <w:sz w:val="20"/>
        </w:rPr>
        <w:t xml:space="preserve"> Application at 4.</w:t>
      </w:r>
    </w:p>
  </w:footnote>
  <w:footnote w:id="10">
    <w:p w:rsidR="00357A7C" w:rsidRPr="00133E17" w14:paraId="3C7971D1" w14:textId="2E6ED35C">
      <w:pPr>
        <w:pStyle w:val="FootnoteText"/>
        <w:rPr>
          <w:sz w:val="20"/>
        </w:rPr>
      </w:pPr>
      <w:r w:rsidRPr="00133E17">
        <w:rPr>
          <w:rStyle w:val="FootnoteReference"/>
          <w:sz w:val="20"/>
        </w:rPr>
        <w:footnoteRef/>
      </w:r>
      <w:r w:rsidRPr="00133E17">
        <w:rPr>
          <w:sz w:val="20"/>
        </w:rPr>
        <w:t xml:space="preserve"> </w:t>
      </w:r>
      <w:r w:rsidRPr="00133E17">
        <w:rPr>
          <w:i/>
          <w:iCs/>
          <w:sz w:val="20"/>
        </w:rPr>
        <w:t>Id</w:t>
      </w:r>
      <w:r w:rsidRPr="00133E17">
        <w:rPr>
          <w:sz w:val="20"/>
        </w:rPr>
        <w:t xml:space="preserve">. </w:t>
      </w:r>
    </w:p>
  </w:footnote>
  <w:footnote w:id="11">
    <w:p w:rsidR="00357A7C" w:rsidRPr="00133E17" w14:paraId="1A5C4E0D" w14:textId="04ABE807">
      <w:pPr>
        <w:pStyle w:val="FootnoteText"/>
        <w:rPr>
          <w:sz w:val="20"/>
        </w:rPr>
      </w:pPr>
      <w:r w:rsidRPr="00133E17">
        <w:rPr>
          <w:rStyle w:val="FootnoteReference"/>
          <w:sz w:val="20"/>
        </w:rPr>
        <w:footnoteRef/>
      </w:r>
      <w:r w:rsidRPr="00133E17">
        <w:rPr>
          <w:sz w:val="20"/>
        </w:rPr>
        <w:t xml:space="preserve"> </w:t>
      </w:r>
      <w:r w:rsidRPr="00133E17">
        <w:rPr>
          <w:i/>
          <w:iCs/>
          <w:sz w:val="20"/>
        </w:rPr>
        <w:t>Id</w:t>
      </w:r>
      <w:r w:rsidRPr="00133E17">
        <w:rPr>
          <w:sz w:val="20"/>
        </w:rPr>
        <w:t>.</w:t>
      </w:r>
    </w:p>
  </w:footnote>
  <w:footnote w:id="12">
    <w:p w:rsidR="00357A7C" w:rsidRPr="00133E17" w14:paraId="245515F1" w14:textId="6C80E873">
      <w:pPr>
        <w:pStyle w:val="FootnoteText"/>
        <w:rPr>
          <w:sz w:val="20"/>
        </w:rPr>
      </w:pPr>
      <w:r w:rsidRPr="00133E17">
        <w:rPr>
          <w:rStyle w:val="FootnoteReference"/>
          <w:sz w:val="20"/>
        </w:rPr>
        <w:footnoteRef/>
      </w:r>
      <w:r w:rsidRPr="00133E17">
        <w:rPr>
          <w:sz w:val="20"/>
        </w:rPr>
        <w:t xml:space="preserve"> </w:t>
      </w:r>
      <w:r w:rsidRPr="00133E17">
        <w:rPr>
          <w:i/>
          <w:iCs/>
          <w:sz w:val="20"/>
        </w:rPr>
        <w:t>Id</w:t>
      </w:r>
      <w:r w:rsidRPr="00133E17">
        <w:rPr>
          <w:sz w:val="20"/>
        </w:rPr>
        <w:t>. at 5</w:t>
      </w:r>
      <w:r w:rsidRPr="00133E17" w:rsidR="009C3756">
        <w:rPr>
          <w:sz w:val="20"/>
        </w:rPr>
        <w:t xml:space="preserve">, 9, </w:t>
      </w:r>
      <w:r w:rsidRPr="00133E17" w:rsidR="009C3756">
        <w:rPr>
          <w:sz w:val="20"/>
        </w:rPr>
        <w:t>Exh</w:t>
      </w:r>
      <w:r w:rsidRPr="00133E17" w:rsidR="009C3756">
        <w:rPr>
          <w:sz w:val="20"/>
        </w:rPr>
        <w:t>. A (Post-Closing Ownership Structure of Sacred Wind and the Section 214 Holders)</w:t>
      </w:r>
      <w:r w:rsidR="002C718F">
        <w:rPr>
          <w:sz w:val="20"/>
        </w:rPr>
        <w:t>; Supplement at 2-3.  According to Applicants, aside from voting rights as common stock shareholders, neither BlackRock</w:t>
      </w:r>
      <w:r w:rsidR="00D50302">
        <w:rPr>
          <w:sz w:val="20"/>
        </w:rPr>
        <w:t xml:space="preserve"> </w:t>
      </w:r>
      <w:r w:rsidR="002C718F">
        <w:rPr>
          <w:sz w:val="20"/>
        </w:rPr>
        <w:t>nor its subsidiaries hold any additional rights to participate in the management or operations of ATN</w:t>
      </w:r>
      <w:r w:rsidR="00D50302">
        <w:rPr>
          <w:sz w:val="20"/>
        </w:rPr>
        <w:t>.  Supplement at 3.</w:t>
      </w:r>
    </w:p>
  </w:footnote>
  <w:footnote w:id="13">
    <w:p w:rsidR="00B2041A" w:rsidRPr="00133E17" w14:paraId="61CA6333" w14:textId="0AB13714">
      <w:pPr>
        <w:pStyle w:val="FootnoteText"/>
        <w:rPr>
          <w:sz w:val="20"/>
        </w:rPr>
      </w:pPr>
      <w:r w:rsidRPr="00133E17">
        <w:rPr>
          <w:rStyle w:val="FootnoteReference"/>
          <w:sz w:val="20"/>
        </w:rPr>
        <w:footnoteRef/>
      </w:r>
      <w:r w:rsidRPr="00133E17">
        <w:rPr>
          <w:sz w:val="20"/>
        </w:rPr>
        <w:t xml:space="preserve"> </w:t>
      </w:r>
      <w:r w:rsidR="00505D1F">
        <w:rPr>
          <w:sz w:val="20"/>
        </w:rPr>
        <w:t>Application</w:t>
      </w:r>
      <w:r w:rsidRPr="00133E17">
        <w:rPr>
          <w:sz w:val="20"/>
        </w:rPr>
        <w:t xml:space="preserve"> at 4-5, 13</w:t>
      </w:r>
      <w:r w:rsidRPr="00133E17" w:rsidR="009C3756">
        <w:rPr>
          <w:sz w:val="20"/>
        </w:rPr>
        <w:t>-14,</w:t>
      </w:r>
      <w:r w:rsidRPr="00133E17">
        <w:rPr>
          <w:sz w:val="20"/>
        </w:rPr>
        <w:t xml:space="preserve"> and </w:t>
      </w:r>
      <w:r w:rsidRPr="00133E17">
        <w:rPr>
          <w:sz w:val="20"/>
        </w:rPr>
        <w:t>Exh</w:t>
      </w:r>
      <w:r w:rsidRPr="00133E17">
        <w:rPr>
          <w:sz w:val="20"/>
        </w:rPr>
        <w:t>. B (High-Cost USF Information).</w:t>
      </w:r>
    </w:p>
  </w:footnote>
  <w:footnote w:id="14">
    <w:p w:rsidR="008725E6" w:rsidRPr="00133E17" w14:paraId="4710A30E" w14:textId="68AA01C7">
      <w:pPr>
        <w:pStyle w:val="FootnoteText"/>
        <w:rPr>
          <w:sz w:val="20"/>
        </w:rPr>
      </w:pPr>
      <w:r w:rsidRPr="00133E17">
        <w:rPr>
          <w:rStyle w:val="FootnoteReference"/>
          <w:sz w:val="20"/>
        </w:rPr>
        <w:footnoteRef/>
      </w:r>
      <w:r w:rsidRPr="00133E17">
        <w:rPr>
          <w:sz w:val="20"/>
        </w:rPr>
        <w:t xml:space="preserve"> </w:t>
      </w:r>
      <w:r w:rsidRPr="00133E17">
        <w:rPr>
          <w:i/>
          <w:iCs/>
          <w:sz w:val="20"/>
        </w:rPr>
        <w:t>Id</w:t>
      </w:r>
      <w:r w:rsidRPr="00133E17">
        <w:rPr>
          <w:sz w:val="20"/>
        </w:rPr>
        <w:t xml:space="preserve">. at </w:t>
      </w:r>
      <w:r w:rsidR="00384B5F">
        <w:rPr>
          <w:sz w:val="20"/>
        </w:rPr>
        <w:t xml:space="preserve">5, </w:t>
      </w:r>
      <w:r w:rsidRPr="00133E17">
        <w:rPr>
          <w:sz w:val="20"/>
        </w:rPr>
        <w:t>14.</w:t>
      </w:r>
    </w:p>
  </w:footnote>
  <w:footnote w:id="15">
    <w:p w:rsidR="00676F41" w:rsidRPr="00505D1F" w14:paraId="17D0C0CB" w14:textId="2924B405">
      <w:pPr>
        <w:pStyle w:val="FootnoteText"/>
        <w:rPr>
          <w:sz w:val="20"/>
        </w:rPr>
      </w:pPr>
      <w:r>
        <w:rPr>
          <w:rStyle w:val="FootnoteReference"/>
        </w:rPr>
        <w:footnoteRef/>
      </w:r>
      <w:r>
        <w:t xml:space="preserve"> </w:t>
      </w:r>
      <w:r w:rsidRPr="00505D1F">
        <w:rPr>
          <w:sz w:val="20"/>
        </w:rPr>
        <w:t>Application at 5-6; Supplement at 3.</w:t>
      </w:r>
    </w:p>
  </w:footnote>
  <w:footnote w:id="16">
    <w:p w:rsidR="004B7C64" w:rsidRPr="00505D1F" w14:paraId="690FECD0" w14:textId="79F44102">
      <w:pPr>
        <w:pStyle w:val="FootnoteText"/>
        <w:rPr>
          <w:sz w:val="20"/>
        </w:rPr>
      </w:pPr>
      <w:r w:rsidRPr="00505D1F">
        <w:rPr>
          <w:rStyle w:val="FootnoteReference"/>
          <w:sz w:val="20"/>
        </w:rPr>
        <w:footnoteRef/>
      </w:r>
      <w:r w:rsidRPr="00505D1F">
        <w:rPr>
          <w:sz w:val="20"/>
        </w:rPr>
        <w:t xml:space="preserve"> Application at 5-7 and </w:t>
      </w:r>
      <w:r w:rsidRPr="00505D1F">
        <w:rPr>
          <w:sz w:val="20"/>
        </w:rPr>
        <w:t>Exh</w:t>
      </w:r>
      <w:r w:rsidRPr="00505D1F">
        <w:rPr>
          <w:sz w:val="20"/>
        </w:rPr>
        <w:t>. A.</w:t>
      </w:r>
    </w:p>
  </w:footnote>
  <w:footnote w:id="17">
    <w:p w:rsidR="00600AC9" w:rsidRPr="00505D1F" w14:paraId="52C934F2" w14:textId="61F0CD72">
      <w:pPr>
        <w:pStyle w:val="FootnoteText"/>
        <w:rPr>
          <w:sz w:val="20"/>
        </w:rPr>
      </w:pPr>
      <w:r w:rsidRPr="00505D1F">
        <w:rPr>
          <w:rStyle w:val="FootnoteReference"/>
          <w:sz w:val="20"/>
        </w:rPr>
        <w:footnoteRef/>
      </w:r>
      <w:r w:rsidRPr="00505D1F">
        <w:rPr>
          <w:sz w:val="20"/>
        </w:rPr>
        <w:t xml:space="preserve"> </w:t>
      </w:r>
      <w:r w:rsidRPr="00505D1F">
        <w:rPr>
          <w:i/>
          <w:iCs/>
          <w:sz w:val="20"/>
        </w:rPr>
        <w:t>Id</w:t>
      </w:r>
      <w:r w:rsidRPr="00505D1F">
        <w:rPr>
          <w:sz w:val="20"/>
        </w:rPr>
        <w:t>. at 15.</w:t>
      </w:r>
    </w:p>
  </w:footnote>
  <w:footnote w:id="18">
    <w:p w:rsidR="00600AC9" w:rsidRPr="00505D1F" w14:paraId="68C0F660" w14:textId="5A23F072">
      <w:pPr>
        <w:pStyle w:val="FootnoteText"/>
        <w:rPr>
          <w:sz w:val="20"/>
        </w:rPr>
      </w:pPr>
      <w:r w:rsidRPr="00505D1F">
        <w:rPr>
          <w:rStyle w:val="FootnoteReference"/>
          <w:sz w:val="20"/>
        </w:rPr>
        <w:footnoteRef/>
      </w:r>
      <w:r w:rsidRPr="00505D1F">
        <w:rPr>
          <w:sz w:val="20"/>
        </w:rPr>
        <w:t xml:space="preserve"> </w:t>
      </w:r>
      <w:r w:rsidRPr="00505D1F">
        <w:rPr>
          <w:i/>
          <w:iCs/>
          <w:sz w:val="20"/>
        </w:rPr>
        <w:t>Id</w:t>
      </w:r>
      <w:r w:rsidRPr="00505D1F">
        <w:rPr>
          <w:sz w:val="20"/>
        </w:rPr>
        <w:t>. at 16.</w:t>
      </w:r>
    </w:p>
  </w:footnote>
  <w:footnote w:id="19">
    <w:p w:rsidR="00BB385F" w:rsidRPr="00505D1F" w14:paraId="72D8326D" w14:textId="11ADACD6">
      <w:pPr>
        <w:pStyle w:val="FootnoteText"/>
        <w:rPr>
          <w:sz w:val="20"/>
        </w:rPr>
      </w:pPr>
      <w:r w:rsidRPr="00505D1F">
        <w:rPr>
          <w:rStyle w:val="FootnoteReference"/>
          <w:sz w:val="20"/>
        </w:rPr>
        <w:footnoteRef/>
      </w:r>
      <w:r w:rsidRPr="00505D1F">
        <w:rPr>
          <w:sz w:val="20"/>
        </w:rPr>
        <w:t xml:space="preserve"> </w:t>
      </w:r>
      <w:r w:rsidRPr="00505D1F">
        <w:rPr>
          <w:i/>
          <w:iCs/>
          <w:sz w:val="20"/>
        </w:rPr>
        <w:t>Id</w:t>
      </w:r>
      <w:r w:rsidRPr="00505D1F">
        <w:rPr>
          <w:sz w:val="20"/>
        </w:rPr>
        <w:t xml:space="preserve">. at </w:t>
      </w:r>
      <w:r w:rsidRPr="00505D1F">
        <w:rPr>
          <w:sz w:val="20"/>
        </w:rPr>
        <w:t>Exh</w:t>
      </w:r>
      <w:r w:rsidRPr="00505D1F">
        <w:rPr>
          <w:sz w:val="20"/>
        </w:rPr>
        <w:t>. B.</w:t>
      </w:r>
    </w:p>
  </w:footnote>
  <w:footnote w:id="20">
    <w:p w:rsidR="00BB385F" w:rsidRPr="00505D1F" w:rsidP="00BB385F" w14:paraId="547E00AC" w14:textId="75C20D51">
      <w:pPr>
        <w:pStyle w:val="FootnoteText"/>
        <w:rPr>
          <w:sz w:val="20"/>
        </w:rPr>
      </w:pPr>
      <w:r w:rsidRPr="00505D1F">
        <w:rPr>
          <w:rStyle w:val="FootnoteReference"/>
          <w:sz w:val="20"/>
        </w:rPr>
        <w:footnoteRef/>
      </w:r>
      <w:r w:rsidRPr="00505D1F">
        <w:rPr>
          <w:sz w:val="20"/>
        </w:rPr>
        <w:t xml:space="preserve"> </w:t>
      </w:r>
      <w:r w:rsidRPr="00505D1F">
        <w:rPr>
          <w:i/>
          <w:iCs/>
          <w:sz w:val="20"/>
        </w:rPr>
        <w:t xml:space="preserve">See </w:t>
      </w:r>
      <w:r w:rsidRPr="00505D1F">
        <w:rPr>
          <w:sz w:val="20"/>
        </w:rPr>
        <w:t xml:space="preserve">47 CFR § 63.03(c)(1)(v). </w:t>
      </w:r>
      <w:bookmarkStart w:id="6" w:name="_Hlk98844830"/>
    </w:p>
    <w:bookmarkEnd w:id="6"/>
    <w:p w:rsidR="00BB385F" w:rsidRPr="00505D1F" w:rsidP="00BB385F" w14:paraId="00ECB9A7" w14:textId="77777777">
      <w:pPr>
        <w:pStyle w:val="FootnoteText"/>
        <w:rPr>
          <w:sz w:val="20"/>
        </w:rPr>
      </w:pPr>
      <w:r w:rsidRPr="00505D1F">
        <w:rPr>
          <w:sz w:val="20"/>
        </w:rPr>
        <w:t xml:space="preserve"> </w:t>
      </w:r>
    </w:p>
  </w:footnote>
  <w:footnote w:id="21">
    <w:p w:rsidR="00C915CB" w:rsidRPr="00C118F5" w:rsidP="00C915CB" w14:paraId="3C5B2759" w14:textId="77777777">
      <w:pPr>
        <w:pStyle w:val="FootnoteText"/>
        <w:spacing w:after="120"/>
        <w:rPr>
          <w:sz w:val="20"/>
          <w:u w:val="single"/>
        </w:rPr>
      </w:pPr>
      <w:r w:rsidRPr="00C118F5">
        <w:rPr>
          <w:rStyle w:val="FootnoteReference"/>
          <w:sz w:val="20"/>
        </w:rPr>
        <w:footnoteRef/>
      </w:r>
      <w:r w:rsidRPr="00C118F5">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C118F5">
        <w:rPr>
          <w:rFonts w:eastAsia="Calibri"/>
          <w:i/>
          <w:iCs/>
          <w:sz w:val="20"/>
        </w:rPr>
        <w:t>See FCC Announces Closure of FCC Headquarters Open Window and Change in Hand-Delivery Policy</w:t>
      </w:r>
      <w:r w:rsidRPr="00C118F5">
        <w:rPr>
          <w:rFonts w:eastAsia="Calibri"/>
          <w:sz w:val="20"/>
        </w:rPr>
        <w:t xml:space="preserve">, Public Notice, 35 FCC </w:t>
      </w:r>
      <w:r w:rsidRPr="00C118F5">
        <w:rPr>
          <w:rFonts w:eastAsia="Calibri"/>
          <w:sz w:val="20"/>
        </w:rPr>
        <w:t>Rcd</w:t>
      </w:r>
      <w:r w:rsidRPr="00C118F5">
        <w:rPr>
          <w:rFonts w:eastAsia="Calibri"/>
          <w:sz w:val="20"/>
        </w:rPr>
        <w:t xml:space="preserve"> 2788 (OS 2020).</w:t>
      </w:r>
    </w:p>
  </w:footnote>
  <w:footnote w:id="22">
    <w:p w:rsidR="00C915CB" w:rsidRPr="00C118F5" w:rsidP="00C915CB" w14:paraId="1001503C" w14:textId="77777777">
      <w:pPr>
        <w:pStyle w:val="FootnoteText"/>
        <w:spacing w:after="120"/>
        <w:rPr>
          <w:sz w:val="20"/>
        </w:rPr>
      </w:pPr>
      <w:r w:rsidRPr="00C118F5">
        <w:rPr>
          <w:rStyle w:val="FootnoteReference"/>
          <w:sz w:val="20"/>
        </w:rPr>
        <w:footnoteRef/>
      </w:r>
      <w:r w:rsidRPr="00C118F5">
        <w:rPr>
          <w:sz w:val="20"/>
        </w:rPr>
        <w:t xml:space="preserve"> </w:t>
      </w:r>
      <w:r w:rsidRPr="00C118F5">
        <w:rPr>
          <w:i/>
          <w:sz w:val="20"/>
        </w:rPr>
        <w:t>See</w:t>
      </w:r>
      <w:r w:rsidRPr="00C118F5">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F39F7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6857C78" w14:textId="77777777">
                <w:pPr>
                  <w:rPr>
                    <w:rFonts w:ascii="Arial" w:hAnsi="Arial"/>
                    <w:b/>
                  </w:rPr>
                </w:pPr>
                <w:r>
                  <w:rPr>
                    <w:rFonts w:ascii="Arial" w:hAnsi="Arial"/>
                    <w:b/>
                  </w:rPr>
                  <w:t>Federal Communications Commission</w:t>
                </w:r>
              </w:p>
              <w:p w:rsidR="005E21F5" w14:paraId="5A04FAFC" w14:textId="77777777">
                <w:pPr>
                  <w:rPr>
                    <w:rFonts w:ascii="Arial" w:hAnsi="Arial"/>
                    <w:b/>
                  </w:rPr>
                </w:pPr>
                <w:r>
                  <w:rPr>
                    <w:rFonts w:ascii="Arial" w:hAnsi="Arial"/>
                    <w:b/>
                  </w:rPr>
                  <w:t>45 L St., N.E.</w:t>
                </w:r>
              </w:p>
              <w:p w:rsidR="005E21F5" w14:paraId="0C1D705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939AF8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9D792F" w14:textId="77777777">
                <w:pPr>
                  <w:spacing w:before="40"/>
                  <w:jc w:val="right"/>
                  <w:rPr>
                    <w:rFonts w:ascii="Arial" w:hAnsi="Arial"/>
                    <w:b/>
                    <w:sz w:val="16"/>
                  </w:rPr>
                </w:pPr>
                <w:r>
                  <w:rPr>
                    <w:rFonts w:ascii="Arial" w:hAnsi="Arial"/>
                    <w:b/>
                    <w:sz w:val="16"/>
                  </w:rPr>
                  <w:t>News Media Information 202 / 418-0500</w:t>
                </w:r>
              </w:p>
              <w:p w:rsidR="005E21F5" w14:paraId="2F3ED3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8380352" w14:textId="77777777">
                <w:pPr>
                  <w:jc w:val="right"/>
                  <w:rPr>
                    <w:rFonts w:ascii="Arial" w:hAnsi="Arial"/>
                    <w:b/>
                    <w:sz w:val="16"/>
                  </w:rPr>
                </w:pPr>
              </w:p>
              <w:p w:rsidR="005E21F5" w14:paraId="37E42D71" w14:textId="77777777">
                <w:pPr>
                  <w:jc w:val="right"/>
                </w:pPr>
              </w:p>
            </w:txbxContent>
          </v:textbox>
        </v:shape>
      </w:pict>
    </w:r>
  </w:p>
  <w:p w:rsidR="005E21F5" w14:paraId="250F043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24BBF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4BC421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624A"/>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80F60"/>
    <w:rsid w:val="0008381D"/>
    <w:rsid w:val="00086D16"/>
    <w:rsid w:val="00087205"/>
    <w:rsid w:val="00092A4E"/>
    <w:rsid w:val="000946FB"/>
    <w:rsid w:val="0009534A"/>
    <w:rsid w:val="00097AB0"/>
    <w:rsid w:val="000A24AA"/>
    <w:rsid w:val="000A2EEF"/>
    <w:rsid w:val="000A65C4"/>
    <w:rsid w:val="000A671D"/>
    <w:rsid w:val="000B0795"/>
    <w:rsid w:val="000B1C31"/>
    <w:rsid w:val="000B2362"/>
    <w:rsid w:val="000B2DF3"/>
    <w:rsid w:val="000B3146"/>
    <w:rsid w:val="000B390D"/>
    <w:rsid w:val="000B48A6"/>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0C3"/>
    <w:rsid w:val="001019E2"/>
    <w:rsid w:val="00101D0B"/>
    <w:rsid w:val="00106F5A"/>
    <w:rsid w:val="001150BA"/>
    <w:rsid w:val="0011590C"/>
    <w:rsid w:val="0011599F"/>
    <w:rsid w:val="00117529"/>
    <w:rsid w:val="00117D06"/>
    <w:rsid w:val="00121D42"/>
    <w:rsid w:val="001226CB"/>
    <w:rsid w:val="0012329A"/>
    <w:rsid w:val="00123605"/>
    <w:rsid w:val="0012437D"/>
    <w:rsid w:val="00126DDB"/>
    <w:rsid w:val="00131952"/>
    <w:rsid w:val="00132529"/>
    <w:rsid w:val="00133E17"/>
    <w:rsid w:val="0013405D"/>
    <w:rsid w:val="00134FFC"/>
    <w:rsid w:val="001356E5"/>
    <w:rsid w:val="00135941"/>
    <w:rsid w:val="0014084C"/>
    <w:rsid w:val="00141388"/>
    <w:rsid w:val="00142ED5"/>
    <w:rsid w:val="001449F9"/>
    <w:rsid w:val="00144E61"/>
    <w:rsid w:val="001470F0"/>
    <w:rsid w:val="001513B4"/>
    <w:rsid w:val="0015217F"/>
    <w:rsid w:val="00152CF6"/>
    <w:rsid w:val="00156EA3"/>
    <w:rsid w:val="00161A99"/>
    <w:rsid w:val="00165FDC"/>
    <w:rsid w:val="00167775"/>
    <w:rsid w:val="00171181"/>
    <w:rsid w:val="001736D0"/>
    <w:rsid w:val="00173B42"/>
    <w:rsid w:val="00176BD0"/>
    <w:rsid w:val="00186B55"/>
    <w:rsid w:val="00187617"/>
    <w:rsid w:val="00190745"/>
    <w:rsid w:val="00193234"/>
    <w:rsid w:val="001947E9"/>
    <w:rsid w:val="00194E1E"/>
    <w:rsid w:val="001A00A7"/>
    <w:rsid w:val="001A2DFA"/>
    <w:rsid w:val="001A3813"/>
    <w:rsid w:val="001A3E67"/>
    <w:rsid w:val="001A47EC"/>
    <w:rsid w:val="001A5568"/>
    <w:rsid w:val="001B026A"/>
    <w:rsid w:val="001B028D"/>
    <w:rsid w:val="001B1E25"/>
    <w:rsid w:val="001B2C26"/>
    <w:rsid w:val="001B2FBB"/>
    <w:rsid w:val="001B4C2F"/>
    <w:rsid w:val="001B57A4"/>
    <w:rsid w:val="001B69F9"/>
    <w:rsid w:val="001B6EFA"/>
    <w:rsid w:val="001C3C98"/>
    <w:rsid w:val="001C5D07"/>
    <w:rsid w:val="001C78FB"/>
    <w:rsid w:val="001C7CD1"/>
    <w:rsid w:val="001D10A0"/>
    <w:rsid w:val="001D3F27"/>
    <w:rsid w:val="001E16CA"/>
    <w:rsid w:val="001E2274"/>
    <w:rsid w:val="001E382D"/>
    <w:rsid w:val="001E659B"/>
    <w:rsid w:val="001E7604"/>
    <w:rsid w:val="001F024C"/>
    <w:rsid w:val="001F1508"/>
    <w:rsid w:val="001F6762"/>
    <w:rsid w:val="0020342F"/>
    <w:rsid w:val="002057AC"/>
    <w:rsid w:val="00207926"/>
    <w:rsid w:val="00211CCB"/>
    <w:rsid w:val="00213D04"/>
    <w:rsid w:val="00214441"/>
    <w:rsid w:val="002154D2"/>
    <w:rsid w:val="00215D21"/>
    <w:rsid w:val="0021680F"/>
    <w:rsid w:val="00217F0B"/>
    <w:rsid w:val="002217F0"/>
    <w:rsid w:val="00221E35"/>
    <w:rsid w:val="002223D3"/>
    <w:rsid w:val="00222993"/>
    <w:rsid w:val="0022329B"/>
    <w:rsid w:val="002233EF"/>
    <w:rsid w:val="00223E8C"/>
    <w:rsid w:val="0022449B"/>
    <w:rsid w:val="00225F62"/>
    <w:rsid w:val="00226656"/>
    <w:rsid w:val="00226CC3"/>
    <w:rsid w:val="0022711E"/>
    <w:rsid w:val="002308A9"/>
    <w:rsid w:val="00230D61"/>
    <w:rsid w:val="00231966"/>
    <w:rsid w:val="002344E7"/>
    <w:rsid w:val="00234F46"/>
    <w:rsid w:val="00240B49"/>
    <w:rsid w:val="00241CB2"/>
    <w:rsid w:val="0024326F"/>
    <w:rsid w:val="00250782"/>
    <w:rsid w:val="002519DF"/>
    <w:rsid w:val="0025247F"/>
    <w:rsid w:val="00253247"/>
    <w:rsid w:val="00253AB2"/>
    <w:rsid w:val="00257DD2"/>
    <w:rsid w:val="002606A8"/>
    <w:rsid w:val="0026090D"/>
    <w:rsid w:val="0026228F"/>
    <w:rsid w:val="00262C25"/>
    <w:rsid w:val="00262E65"/>
    <w:rsid w:val="00263433"/>
    <w:rsid w:val="0026356E"/>
    <w:rsid w:val="00266135"/>
    <w:rsid w:val="002666BC"/>
    <w:rsid w:val="00266D63"/>
    <w:rsid w:val="002671C7"/>
    <w:rsid w:val="00267BF2"/>
    <w:rsid w:val="00272142"/>
    <w:rsid w:val="00280873"/>
    <w:rsid w:val="0028149F"/>
    <w:rsid w:val="0028397D"/>
    <w:rsid w:val="0028555C"/>
    <w:rsid w:val="00287432"/>
    <w:rsid w:val="00287944"/>
    <w:rsid w:val="00287FB9"/>
    <w:rsid w:val="0029098D"/>
    <w:rsid w:val="002920C6"/>
    <w:rsid w:val="00297F1D"/>
    <w:rsid w:val="002A0DAB"/>
    <w:rsid w:val="002A1D13"/>
    <w:rsid w:val="002A30D9"/>
    <w:rsid w:val="002A7BD3"/>
    <w:rsid w:val="002B03BD"/>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C6A3F"/>
    <w:rsid w:val="002C718F"/>
    <w:rsid w:val="002D09E2"/>
    <w:rsid w:val="002D11BE"/>
    <w:rsid w:val="002D16A6"/>
    <w:rsid w:val="002D4A00"/>
    <w:rsid w:val="002D4CB4"/>
    <w:rsid w:val="002D65CC"/>
    <w:rsid w:val="002D6F61"/>
    <w:rsid w:val="002E0BAF"/>
    <w:rsid w:val="002E2A6F"/>
    <w:rsid w:val="002E363F"/>
    <w:rsid w:val="002E4894"/>
    <w:rsid w:val="002F052F"/>
    <w:rsid w:val="002F2901"/>
    <w:rsid w:val="002F4E17"/>
    <w:rsid w:val="002F5F38"/>
    <w:rsid w:val="00300AEE"/>
    <w:rsid w:val="0030523C"/>
    <w:rsid w:val="00305D86"/>
    <w:rsid w:val="00306AAD"/>
    <w:rsid w:val="0031156F"/>
    <w:rsid w:val="00312CE1"/>
    <w:rsid w:val="00313546"/>
    <w:rsid w:val="00315BA9"/>
    <w:rsid w:val="00315D50"/>
    <w:rsid w:val="00315FCD"/>
    <w:rsid w:val="0031636F"/>
    <w:rsid w:val="003206FF"/>
    <w:rsid w:val="00321F97"/>
    <w:rsid w:val="00325988"/>
    <w:rsid w:val="00325E35"/>
    <w:rsid w:val="0032625B"/>
    <w:rsid w:val="00334E5E"/>
    <w:rsid w:val="00334E6C"/>
    <w:rsid w:val="0033631D"/>
    <w:rsid w:val="00340881"/>
    <w:rsid w:val="00345CA2"/>
    <w:rsid w:val="003471AE"/>
    <w:rsid w:val="003479C9"/>
    <w:rsid w:val="00351689"/>
    <w:rsid w:val="00351D1D"/>
    <w:rsid w:val="00353CB5"/>
    <w:rsid w:val="0035663A"/>
    <w:rsid w:val="00357A7C"/>
    <w:rsid w:val="00360A78"/>
    <w:rsid w:val="003632CF"/>
    <w:rsid w:val="00364590"/>
    <w:rsid w:val="00364DFB"/>
    <w:rsid w:val="00365194"/>
    <w:rsid w:val="00367E50"/>
    <w:rsid w:val="00370A7F"/>
    <w:rsid w:val="00371142"/>
    <w:rsid w:val="00372CA2"/>
    <w:rsid w:val="003768D4"/>
    <w:rsid w:val="0037705C"/>
    <w:rsid w:val="0037754A"/>
    <w:rsid w:val="003811C7"/>
    <w:rsid w:val="003817EB"/>
    <w:rsid w:val="00384B5F"/>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2C63"/>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593D"/>
    <w:rsid w:val="00425FAF"/>
    <w:rsid w:val="00425FF2"/>
    <w:rsid w:val="0042603C"/>
    <w:rsid w:val="004271D3"/>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503EA"/>
    <w:rsid w:val="00452843"/>
    <w:rsid w:val="00453514"/>
    <w:rsid w:val="0045717F"/>
    <w:rsid w:val="00460914"/>
    <w:rsid w:val="004609A4"/>
    <w:rsid w:val="00461622"/>
    <w:rsid w:val="00461A29"/>
    <w:rsid w:val="00462D8F"/>
    <w:rsid w:val="00464B4D"/>
    <w:rsid w:val="00464E8A"/>
    <w:rsid w:val="00465520"/>
    <w:rsid w:val="00466B9F"/>
    <w:rsid w:val="0047311F"/>
    <w:rsid w:val="00473955"/>
    <w:rsid w:val="00476EFB"/>
    <w:rsid w:val="004808FC"/>
    <w:rsid w:val="00482EB0"/>
    <w:rsid w:val="00483B1B"/>
    <w:rsid w:val="00485BBB"/>
    <w:rsid w:val="00485D13"/>
    <w:rsid w:val="00490F6A"/>
    <w:rsid w:val="004913FF"/>
    <w:rsid w:val="00492290"/>
    <w:rsid w:val="00492A28"/>
    <w:rsid w:val="004951AE"/>
    <w:rsid w:val="004A4D05"/>
    <w:rsid w:val="004A51C9"/>
    <w:rsid w:val="004A59CA"/>
    <w:rsid w:val="004A684C"/>
    <w:rsid w:val="004A7357"/>
    <w:rsid w:val="004A7E1B"/>
    <w:rsid w:val="004B24F3"/>
    <w:rsid w:val="004B2B3A"/>
    <w:rsid w:val="004B49CC"/>
    <w:rsid w:val="004B6625"/>
    <w:rsid w:val="004B666C"/>
    <w:rsid w:val="004B7C64"/>
    <w:rsid w:val="004C0C77"/>
    <w:rsid w:val="004C0CEF"/>
    <w:rsid w:val="004C219F"/>
    <w:rsid w:val="004C22B8"/>
    <w:rsid w:val="004C2516"/>
    <w:rsid w:val="004C3DB0"/>
    <w:rsid w:val="004C712F"/>
    <w:rsid w:val="004C737E"/>
    <w:rsid w:val="004D4610"/>
    <w:rsid w:val="004D53C3"/>
    <w:rsid w:val="004D5A7C"/>
    <w:rsid w:val="004D67B7"/>
    <w:rsid w:val="004D74A5"/>
    <w:rsid w:val="004D7AF3"/>
    <w:rsid w:val="004E5AE8"/>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1F"/>
    <w:rsid w:val="00505DA1"/>
    <w:rsid w:val="005107DF"/>
    <w:rsid w:val="0051681C"/>
    <w:rsid w:val="005226C6"/>
    <w:rsid w:val="00523F2A"/>
    <w:rsid w:val="00524D79"/>
    <w:rsid w:val="00526561"/>
    <w:rsid w:val="00526CFA"/>
    <w:rsid w:val="005273AB"/>
    <w:rsid w:val="005320B5"/>
    <w:rsid w:val="00533917"/>
    <w:rsid w:val="00535877"/>
    <w:rsid w:val="00536ED2"/>
    <w:rsid w:val="0053732F"/>
    <w:rsid w:val="005463F3"/>
    <w:rsid w:val="0054677E"/>
    <w:rsid w:val="005473A6"/>
    <w:rsid w:val="005505CE"/>
    <w:rsid w:val="00551202"/>
    <w:rsid w:val="00551ADB"/>
    <w:rsid w:val="005524B6"/>
    <w:rsid w:val="00554D90"/>
    <w:rsid w:val="00554E17"/>
    <w:rsid w:val="0055505D"/>
    <w:rsid w:val="00555990"/>
    <w:rsid w:val="0055684E"/>
    <w:rsid w:val="0056058F"/>
    <w:rsid w:val="00562812"/>
    <w:rsid w:val="0056467B"/>
    <w:rsid w:val="0056614A"/>
    <w:rsid w:val="00567286"/>
    <w:rsid w:val="00573CA8"/>
    <w:rsid w:val="00573D49"/>
    <w:rsid w:val="005752DA"/>
    <w:rsid w:val="00576EDE"/>
    <w:rsid w:val="00580DBD"/>
    <w:rsid w:val="00581792"/>
    <w:rsid w:val="00585D57"/>
    <w:rsid w:val="00586425"/>
    <w:rsid w:val="0059084B"/>
    <w:rsid w:val="00591C54"/>
    <w:rsid w:val="00592D44"/>
    <w:rsid w:val="00592F09"/>
    <w:rsid w:val="005932BA"/>
    <w:rsid w:val="00594A46"/>
    <w:rsid w:val="00594E8C"/>
    <w:rsid w:val="00597ABB"/>
    <w:rsid w:val="005A13D0"/>
    <w:rsid w:val="005A2177"/>
    <w:rsid w:val="005A24CD"/>
    <w:rsid w:val="005A256B"/>
    <w:rsid w:val="005A3E2A"/>
    <w:rsid w:val="005A56D4"/>
    <w:rsid w:val="005A64A7"/>
    <w:rsid w:val="005B2105"/>
    <w:rsid w:val="005B2E8A"/>
    <w:rsid w:val="005B376F"/>
    <w:rsid w:val="005B3D27"/>
    <w:rsid w:val="005B4CA6"/>
    <w:rsid w:val="005B57F1"/>
    <w:rsid w:val="005B5B84"/>
    <w:rsid w:val="005C0AE1"/>
    <w:rsid w:val="005C2931"/>
    <w:rsid w:val="005C2ADB"/>
    <w:rsid w:val="005C342C"/>
    <w:rsid w:val="005C3E2F"/>
    <w:rsid w:val="005C403A"/>
    <w:rsid w:val="005C44C6"/>
    <w:rsid w:val="005C5C55"/>
    <w:rsid w:val="005C740F"/>
    <w:rsid w:val="005C7DC4"/>
    <w:rsid w:val="005D16AD"/>
    <w:rsid w:val="005D1C91"/>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AC9"/>
    <w:rsid w:val="00600B5F"/>
    <w:rsid w:val="0060105E"/>
    <w:rsid w:val="0060106A"/>
    <w:rsid w:val="00601476"/>
    <w:rsid w:val="006034FD"/>
    <w:rsid w:val="00603E1E"/>
    <w:rsid w:val="00604A3C"/>
    <w:rsid w:val="00604CFF"/>
    <w:rsid w:val="0061117C"/>
    <w:rsid w:val="0061137C"/>
    <w:rsid w:val="00611B99"/>
    <w:rsid w:val="00611CD9"/>
    <w:rsid w:val="00611E7B"/>
    <w:rsid w:val="00616221"/>
    <w:rsid w:val="00616757"/>
    <w:rsid w:val="00617F31"/>
    <w:rsid w:val="00622967"/>
    <w:rsid w:val="006258AD"/>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703D5"/>
    <w:rsid w:val="0067115F"/>
    <w:rsid w:val="00674D00"/>
    <w:rsid w:val="006768CC"/>
    <w:rsid w:val="00676F41"/>
    <w:rsid w:val="00677DF3"/>
    <w:rsid w:val="0068067C"/>
    <w:rsid w:val="00680868"/>
    <w:rsid w:val="00684AB3"/>
    <w:rsid w:val="006876EF"/>
    <w:rsid w:val="00690EA9"/>
    <w:rsid w:val="00691377"/>
    <w:rsid w:val="00691832"/>
    <w:rsid w:val="00693C2C"/>
    <w:rsid w:val="0069455A"/>
    <w:rsid w:val="00695785"/>
    <w:rsid w:val="00697832"/>
    <w:rsid w:val="006A138C"/>
    <w:rsid w:val="006A156E"/>
    <w:rsid w:val="006A19A2"/>
    <w:rsid w:val="006A1B83"/>
    <w:rsid w:val="006A1C8E"/>
    <w:rsid w:val="006A1F64"/>
    <w:rsid w:val="006B2B7E"/>
    <w:rsid w:val="006B3480"/>
    <w:rsid w:val="006B36F1"/>
    <w:rsid w:val="006B5C06"/>
    <w:rsid w:val="006B6400"/>
    <w:rsid w:val="006B6920"/>
    <w:rsid w:val="006C146A"/>
    <w:rsid w:val="006C211E"/>
    <w:rsid w:val="006C277B"/>
    <w:rsid w:val="006C2DC7"/>
    <w:rsid w:val="006C32C8"/>
    <w:rsid w:val="006C3309"/>
    <w:rsid w:val="006C4F3D"/>
    <w:rsid w:val="006C5160"/>
    <w:rsid w:val="006C591C"/>
    <w:rsid w:val="006C6FE0"/>
    <w:rsid w:val="006D49DF"/>
    <w:rsid w:val="006D4FB7"/>
    <w:rsid w:val="006E099D"/>
    <w:rsid w:val="006E3B3B"/>
    <w:rsid w:val="006E3E11"/>
    <w:rsid w:val="006E4EF0"/>
    <w:rsid w:val="006E61ED"/>
    <w:rsid w:val="006E643F"/>
    <w:rsid w:val="006E67A0"/>
    <w:rsid w:val="006E7452"/>
    <w:rsid w:val="006E77B7"/>
    <w:rsid w:val="006F1DE0"/>
    <w:rsid w:val="006F2F1F"/>
    <w:rsid w:val="006F3441"/>
    <w:rsid w:val="006F42AC"/>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5BD8"/>
    <w:rsid w:val="0072750E"/>
    <w:rsid w:val="00733B9B"/>
    <w:rsid w:val="007349C4"/>
    <w:rsid w:val="007413DA"/>
    <w:rsid w:val="00741682"/>
    <w:rsid w:val="0074294F"/>
    <w:rsid w:val="0074352F"/>
    <w:rsid w:val="00744022"/>
    <w:rsid w:val="00745559"/>
    <w:rsid w:val="00746FDA"/>
    <w:rsid w:val="00753889"/>
    <w:rsid w:val="00756775"/>
    <w:rsid w:val="007569C5"/>
    <w:rsid w:val="00760269"/>
    <w:rsid w:val="00760571"/>
    <w:rsid w:val="007631B9"/>
    <w:rsid w:val="0076331F"/>
    <w:rsid w:val="0076359A"/>
    <w:rsid w:val="00766B00"/>
    <w:rsid w:val="0077017E"/>
    <w:rsid w:val="00771214"/>
    <w:rsid w:val="0077396E"/>
    <w:rsid w:val="00774E30"/>
    <w:rsid w:val="007758B4"/>
    <w:rsid w:val="00775CD4"/>
    <w:rsid w:val="00776827"/>
    <w:rsid w:val="00776D7B"/>
    <w:rsid w:val="00777B41"/>
    <w:rsid w:val="00777F32"/>
    <w:rsid w:val="00780F55"/>
    <w:rsid w:val="007904D9"/>
    <w:rsid w:val="00790DDF"/>
    <w:rsid w:val="007915C7"/>
    <w:rsid w:val="00796E19"/>
    <w:rsid w:val="00796E54"/>
    <w:rsid w:val="00797794"/>
    <w:rsid w:val="007A20B0"/>
    <w:rsid w:val="007A2155"/>
    <w:rsid w:val="007A3C19"/>
    <w:rsid w:val="007A41CD"/>
    <w:rsid w:val="007A4B45"/>
    <w:rsid w:val="007A6E5A"/>
    <w:rsid w:val="007B1EAE"/>
    <w:rsid w:val="007B3649"/>
    <w:rsid w:val="007B4269"/>
    <w:rsid w:val="007B4683"/>
    <w:rsid w:val="007B4D1E"/>
    <w:rsid w:val="007B4DB8"/>
    <w:rsid w:val="007B5F97"/>
    <w:rsid w:val="007B64CF"/>
    <w:rsid w:val="007B7204"/>
    <w:rsid w:val="007C06D5"/>
    <w:rsid w:val="007C2014"/>
    <w:rsid w:val="007C263F"/>
    <w:rsid w:val="007C4108"/>
    <w:rsid w:val="007D03E3"/>
    <w:rsid w:val="007D2657"/>
    <w:rsid w:val="007D27E1"/>
    <w:rsid w:val="007D2E71"/>
    <w:rsid w:val="007D31F7"/>
    <w:rsid w:val="007D3B6A"/>
    <w:rsid w:val="007D3B8F"/>
    <w:rsid w:val="007D7598"/>
    <w:rsid w:val="007E0464"/>
    <w:rsid w:val="007E051A"/>
    <w:rsid w:val="007E44C2"/>
    <w:rsid w:val="007E47B5"/>
    <w:rsid w:val="007E64BB"/>
    <w:rsid w:val="007F23AB"/>
    <w:rsid w:val="007F6846"/>
    <w:rsid w:val="0080023C"/>
    <w:rsid w:val="0080055D"/>
    <w:rsid w:val="008014D0"/>
    <w:rsid w:val="00803625"/>
    <w:rsid w:val="008047F1"/>
    <w:rsid w:val="00804B53"/>
    <w:rsid w:val="008051B2"/>
    <w:rsid w:val="008052CD"/>
    <w:rsid w:val="00805DF1"/>
    <w:rsid w:val="00806B93"/>
    <w:rsid w:val="00807040"/>
    <w:rsid w:val="0081108D"/>
    <w:rsid w:val="00813C6D"/>
    <w:rsid w:val="0081531F"/>
    <w:rsid w:val="008177D0"/>
    <w:rsid w:val="00817B2E"/>
    <w:rsid w:val="00817CEC"/>
    <w:rsid w:val="00821491"/>
    <w:rsid w:val="00824E65"/>
    <w:rsid w:val="0082798B"/>
    <w:rsid w:val="00830915"/>
    <w:rsid w:val="00831D30"/>
    <w:rsid w:val="0083237E"/>
    <w:rsid w:val="0083439C"/>
    <w:rsid w:val="0083618B"/>
    <w:rsid w:val="00837B07"/>
    <w:rsid w:val="00840199"/>
    <w:rsid w:val="00840683"/>
    <w:rsid w:val="0084125A"/>
    <w:rsid w:val="0084549B"/>
    <w:rsid w:val="0084563E"/>
    <w:rsid w:val="008470BA"/>
    <w:rsid w:val="0084778A"/>
    <w:rsid w:val="00850A62"/>
    <w:rsid w:val="0085101A"/>
    <w:rsid w:val="00851095"/>
    <w:rsid w:val="00853114"/>
    <w:rsid w:val="0085536D"/>
    <w:rsid w:val="0085579D"/>
    <w:rsid w:val="00856944"/>
    <w:rsid w:val="008650A4"/>
    <w:rsid w:val="0086691C"/>
    <w:rsid w:val="008675C7"/>
    <w:rsid w:val="00870E07"/>
    <w:rsid w:val="008725E6"/>
    <w:rsid w:val="00873C90"/>
    <w:rsid w:val="0087554B"/>
    <w:rsid w:val="00876629"/>
    <w:rsid w:val="0087685F"/>
    <w:rsid w:val="00876BE1"/>
    <w:rsid w:val="00877CFB"/>
    <w:rsid w:val="00877D35"/>
    <w:rsid w:val="00877D3D"/>
    <w:rsid w:val="008850A3"/>
    <w:rsid w:val="00885377"/>
    <w:rsid w:val="00890CFD"/>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27B4"/>
    <w:rsid w:val="008E2FD9"/>
    <w:rsid w:val="008E3218"/>
    <w:rsid w:val="008E343E"/>
    <w:rsid w:val="008E416A"/>
    <w:rsid w:val="008E644A"/>
    <w:rsid w:val="008E6F5B"/>
    <w:rsid w:val="008E7011"/>
    <w:rsid w:val="008E7780"/>
    <w:rsid w:val="008F02E0"/>
    <w:rsid w:val="008F1B26"/>
    <w:rsid w:val="008F1B9F"/>
    <w:rsid w:val="008F438E"/>
    <w:rsid w:val="008F4B15"/>
    <w:rsid w:val="008F4D2D"/>
    <w:rsid w:val="008F67DB"/>
    <w:rsid w:val="008F6981"/>
    <w:rsid w:val="0090059F"/>
    <w:rsid w:val="00903154"/>
    <w:rsid w:val="00903330"/>
    <w:rsid w:val="00903DE0"/>
    <w:rsid w:val="009075DA"/>
    <w:rsid w:val="00907AE5"/>
    <w:rsid w:val="00907B85"/>
    <w:rsid w:val="009101A4"/>
    <w:rsid w:val="00912D13"/>
    <w:rsid w:val="00913852"/>
    <w:rsid w:val="009161AD"/>
    <w:rsid w:val="009211C4"/>
    <w:rsid w:val="009236BF"/>
    <w:rsid w:val="0093491F"/>
    <w:rsid w:val="009375A4"/>
    <w:rsid w:val="0094117D"/>
    <w:rsid w:val="009416A6"/>
    <w:rsid w:val="00946733"/>
    <w:rsid w:val="00950639"/>
    <w:rsid w:val="009517B4"/>
    <w:rsid w:val="00951B8C"/>
    <w:rsid w:val="00952ADE"/>
    <w:rsid w:val="0095318C"/>
    <w:rsid w:val="009558A7"/>
    <w:rsid w:val="00956255"/>
    <w:rsid w:val="009564D0"/>
    <w:rsid w:val="00960857"/>
    <w:rsid w:val="00963EF4"/>
    <w:rsid w:val="00963F91"/>
    <w:rsid w:val="00965889"/>
    <w:rsid w:val="00966264"/>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6314"/>
    <w:rsid w:val="009A7B5B"/>
    <w:rsid w:val="009B0128"/>
    <w:rsid w:val="009B0757"/>
    <w:rsid w:val="009B097E"/>
    <w:rsid w:val="009B18C4"/>
    <w:rsid w:val="009B1CCF"/>
    <w:rsid w:val="009B2319"/>
    <w:rsid w:val="009B2493"/>
    <w:rsid w:val="009B2852"/>
    <w:rsid w:val="009B2ACA"/>
    <w:rsid w:val="009B5191"/>
    <w:rsid w:val="009B6797"/>
    <w:rsid w:val="009B6B9B"/>
    <w:rsid w:val="009B7836"/>
    <w:rsid w:val="009C175B"/>
    <w:rsid w:val="009C1999"/>
    <w:rsid w:val="009C209E"/>
    <w:rsid w:val="009C27E9"/>
    <w:rsid w:val="009C2C26"/>
    <w:rsid w:val="009C3304"/>
    <w:rsid w:val="009C3756"/>
    <w:rsid w:val="009C3EC2"/>
    <w:rsid w:val="009C4538"/>
    <w:rsid w:val="009C53C4"/>
    <w:rsid w:val="009C5CEB"/>
    <w:rsid w:val="009C75F3"/>
    <w:rsid w:val="009C7BE4"/>
    <w:rsid w:val="009D0956"/>
    <w:rsid w:val="009D0C5A"/>
    <w:rsid w:val="009D1021"/>
    <w:rsid w:val="009D25CE"/>
    <w:rsid w:val="009D7781"/>
    <w:rsid w:val="009E1797"/>
    <w:rsid w:val="009E312D"/>
    <w:rsid w:val="009E32BA"/>
    <w:rsid w:val="009E40EA"/>
    <w:rsid w:val="009E4467"/>
    <w:rsid w:val="009F0A8B"/>
    <w:rsid w:val="009F2DD2"/>
    <w:rsid w:val="009F39CB"/>
    <w:rsid w:val="009F4216"/>
    <w:rsid w:val="009F4470"/>
    <w:rsid w:val="009F52E2"/>
    <w:rsid w:val="00A00300"/>
    <w:rsid w:val="00A00CAA"/>
    <w:rsid w:val="00A02787"/>
    <w:rsid w:val="00A02C8E"/>
    <w:rsid w:val="00A06854"/>
    <w:rsid w:val="00A070FE"/>
    <w:rsid w:val="00A07DE6"/>
    <w:rsid w:val="00A11865"/>
    <w:rsid w:val="00A12778"/>
    <w:rsid w:val="00A132F3"/>
    <w:rsid w:val="00A14FAC"/>
    <w:rsid w:val="00A15248"/>
    <w:rsid w:val="00A221C2"/>
    <w:rsid w:val="00A229F0"/>
    <w:rsid w:val="00A25AB6"/>
    <w:rsid w:val="00A25C41"/>
    <w:rsid w:val="00A26754"/>
    <w:rsid w:val="00A268CF"/>
    <w:rsid w:val="00A30C04"/>
    <w:rsid w:val="00A326BD"/>
    <w:rsid w:val="00A3545A"/>
    <w:rsid w:val="00A36DEA"/>
    <w:rsid w:val="00A37CD0"/>
    <w:rsid w:val="00A41147"/>
    <w:rsid w:val="00A4540E"/>
    <w:rsid w:val="00A47815"/>
    <w:rsid w:val="00A47EA1"/>
    <w:rsid w:val="00A55BA1"/>
    <w:rsid w:val="00A55F2F"/>
    <w:rsid w:val="00A569E4"/>
    <w:rsid w:val="00A64935"/>
    <w:rsid w:val="00A8041F"/>
    <w:rsid w:val="00A824AF"/>
    <w:rsid w:val="00A826F0"/>
    <w:rsid w:val="00A85921"/>
    <w:rsid w:val="00A8592F"/>
    <w:rsid w:val="00A91559"/>
    <w:rsid w:val="00A92C9E"/>
    <w:rsid w:val="00A930EF"/>
    <w:rsid w:val="00A94D7F"/>
    <w:rsid w:val="00A964BE"/>
    <w:rsid w:val="00A9705F"/>
    <w:rsid w:val="00AA04BA"/>
    <w:rsid w:val="00AA1CE3"/>
    <w:rsid w:val="00AA461C"/>
    <w:rsid w:val="00AA50FB"/>
    <w:rsid w:val="00AA583C"/>
    <w:rsid w:val="00AA662F"/>
    <w:rsid w:val="00AA79C4"/>
    <w:rsid w:val="00AB1F87"/>
    <w:rsid w:val="00AB2A9E"/>
    <w:rsid w:val="00AB582C"/>
    <w:rsid w:val="00AB6787"/>
    <w:rsid w:val="00AC4CEF"/>
    <w:rsid w:val="00AC6CE0"/>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041A"/>
    <w:rsid w:val="00B252B2"/>
    <w:rsid w:val="00B26819"/>
    <w:rsid w:val="00B26F72"/>
    <w:rsid w:val="00B30941"/>
    <w:rsid w:val="00B3095D"/>
    <w:rsid w:val="00B309DB"/>
    <w:rsid w:val="00B32670"/>
    <w:rsid w:val="00B32A8C"/>
    <w:rsid w:val="00B33058"/>
    <w:rsid w:val="00B335D6"/>
    <w:rsid w:val="00B3405E"/>
    <w:rsid w:val="00B41B3D"/>
    <w:rsid w:val="00B427E6"/>
    <w:rsid w:val="00B43A08"/>
    <w:rsid w:val="00B446D0"/>
    <w:rsid w:val="00B500E9"/>
    <w:rsid w:val="00B506FC"/>
    <w:rsid w:val="00B50FF2"/>
    <w:rsid w:val="00B52C92"/>
    <w:rsid w:val="00B5576C"/>
    <w:rsid w:val="00B55A93"/>
    <w:rsid w:val="00B565D8"/>
    <w:rsid w:val="00B56E1B"/>
    <w:rsid w:val="00B57D2A"/>
    <w:rsid w:val="00B621AB"/>
    <w:rsid w:val="00B6360F"/>
    <w:rsid w:val="00B64D59"/>
    <w:rsid w:val="00B6681C"/>
    <w:rsid w:val="00B66A71"/>
    <w:rsid w:val="00B67EA8"/>
    <w:rsid w:val="00B7010C"/>
    <w:rsid w:val="00B71C43"/>
    <w:rsid w:val="00B72F45"/>
    <w:rsid w:val="00B73211"/>
    <w:rsid w:val="00B73AED"/>
    <w:rsid w:val="00B75F7A"/>
    <w:rsid w:val="00B82819"/>
    <w:rsid w:val="00B83A8F"/>
    <w:rsid w:val="00B84642"/>
    <w:rsid w:val="00B856DD"/>
    <w:rsid w:val="00B908C9"/>
    <w:rsid w:val="00B91444"/>
    <w:rsid w:val="00B934A6"/>
    <w:rsid w:val="00B9373D"/>
    <w:rsid w:val="00B93BD0"/>
    <w:rsid w:val="00B951D6"/>
    <w:rsid w:val="00B958E7"/>
    <w:rsid w:val="00B97629"/>
    <w:rsid w:val="00BA42C4"/>
    <w:rsid w:val="00BA45FE"/>
    <w:rsid w:val="00BA47A9"/>
    <w:rsid w:val="00BA496C"/>
    <w:rsid w:val="00BA5CCA"/>
    <w:rsid w:val="00BA6803"/>
    <w:rsid w:val="00BB0D72"/>
    <w:rsid w:val="00BB1216"/>
    <w:rsid w:val="00BB16F2"/>
    <w:rsid w:val="00BB24EB"/>
    <w:rsid w:val="00BB385F"/>
    <w:rsid w:val="00BB7CEB"/>
    <w:rsid w:val="00BC0F23"/>
    <w:rsid w:val="00BC1394"/>
    <w:rsid w:val="00BC7555"/>
    <w:rsid w:val="00BD2520"/>
    <w:rsid w:val="00BD3278"/>
    <w:rsid w:val="00BD5AFA"/>
    <w:rsid w:val="00BD5F83"/>
    <w:rsid w:val="00BD6631"/>
    <w:rsid w:val="00BE0364"/>
    <w:rsid w:val="00BE063A"/>
    <w:rsid w:val="00BE09A9"/>
    <w:rsid w:val="00BE1FC9"/>
    <w:rsid w:val="00BE4C7C"/>
    <w:rsid w:val="00BE6980"/>
    <w:rsid w:val="00BE6ABD"/>
    <w:rsid w:val="00BF0B00"/>
    <w:rsid w:val="00BF3E2A"/>
    <w:rsid w:val="00BF4558"/>
    <w:rsid w:val="00BF54A4"/>
    <w:rsid w:val="00BF741B"/>
    <w:rsid w:val="00C001B1"/>
    <w:rsid w:val="00C038A3"/>
    <w:rsid w:val="00C042AF"/>
    <w:rsid w:val="00C100C9"/>
    <w:rsid w:val="00C117C2"/>
    <w:rsid w:val="00C118F5"/>
    <w:rsid w:val="00C11939"/>
    <w:rsid w:val="00C11C1B"/>
    <w:rsid w:val="00C15025"/>
    <w:rsid w:val="00C152B5"/>
    <w:rsid w:val="00C16A22"/>
    <w:rsid w:val="00C16F28"/>
    <w:rsid w:val="00C219A5"/>
    <w:rsid w:val="00C229D8"/>
    <w:rsid w:val="00C23C52"/>
    <w:rsid w:val="00C24812"/>
    <w:rsid w:val="00C324E6"/>
    <w:rsid w:val="00C33788"/>
    <w:rsid w:val="00C35C48"/>
    <w:rsid w:val="00C3643D"/>
    <w:rsid w:val="00C3705B"/>
    <w:rsid w:val="00C37D69"/>
    <w:rsid w:val="00C404CF"/>
    <w:rsid w:val="00C405A1"/>
    <w:rsid w:val="00C42D1B"/>
    <w:rsid w:val="00C4446E"/>
    <w:rsid w:val="00C4607F"/>
    <w:rsid w:val="00C53E5E"/>
    <w:rsid w:val="00C60C7B"/>
    <w:rsid w:val="00C60F32"/>
    <w:rsid w:val="00C612FD"/>
    <w:rsid w:val="00C64B14"/>
    <w:rsid w:val="00C64DFC"/>
    <w:rsid w:val="00C66C4F"/>
    <w:rsid w:val="00C676AD"/>
    <w:rsid w:val="00C67FE7"/>
    <w:rsid w:val="00C70494"/>
    <w:rsid w:val="00C713F6"/>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15CB"/>
    <w:rsid w:val="00C9414E"/>
    <w:rsid w:val="00C950B4"/>
    <w:rsid w:val="00C9578D"/>
    <w:rsid w:val="00CA3644"/>
    <w:rsid w:val="00CA5169"/>
    <w:rsid w:val="00CB08EA"/>
    <w:rsid w:val="00CB56E5"/>
    <w:rsid w:val="00CB5D7D"/>
    <w:rsid w:val="00CB6B4E"/>
    <w:rsid w:val="00CC3DC6"/>
    <w:rsid w:val="00CC45A6"/>
    <w:rsid w:val="00CC70CB"/>
    <w:rsid w:val="00CD0694"/>
    <w:rsid w:val="00CD20C1"/>
    <w:rsid w:val="00CD3CBE"/>
    <w:rsid w:val="00CD5614"/>
    <w:rsid w:val="00CD6760"/>
    <w:rsid w:val="00CD711A"/>
    <w:rsid w:val="00CE03DE"/>
    <w:rsid w:val="00CE3D85"/>
    <w:rsid w:val="00CE49B4"/>
    <w:rsid w:val="00CE5A04"/>
    <w:rsid w:val="00CF1452"/>
    <w:rsid w:val="00CF569B"/>
    <w:rsid w:val="00CF6822"/>
    <w:rsid w:val="00CF6960"/>
    <w:rsid w:val="00D007F9"/>
    <w:rsid w:val="00D00C86"/>
    <w:rsid w:val="00D01A62"/>
    <w:rsid w:val="00D02269"/>
    <w:rsid w:val="00D04963"/>
    <w:rsid w:val="00D04DB0"/>
    <w:rsid w:val="00D05475"/>
    <w:rsid w:val="00D111DF"/>
    <w:rsid w:val="00D130E3"/>
    <w:rsid w:val="00D13A95"/>
    <w:rsid w:val="00D1542F"/>
    <w:rsid w:val="00D1597B"/>
    <w:rsid w:val="00D16766"/>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5898"/>
    <w:rsid w:val="00D4618E"/>
    <w:rsid w:val="00D47918"/>
    <w:rsid w:val="00D50302"/>
    <w:rsid w:val="00D553EC"/>
    <w:rsid w:val="00D55FB1"/>
    <w:rsid w:val="00D566DE"/>
    <w:rsid w:val="00D56FEF"/>
    <w:rsid w:val="00D57071"/>
    <w:rsid w:val="00D57598"/>
    <w:rsid w:val="00D57FBF"/>
    <w:rsid w:val="00D605CB"/>
    <w:rsid w:val="00D64667"/>
    <w:rsid w:val="00D64788"/>
    <w:rsid w:val="00D65AFD"/>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A72F9"/>
    <w:rsid w:val="00DB0CA1"/>
    <w:rsid w:val="00DB15FB"/>
    <w:rsid w:val="00DB59FD"/>
    <w:rsid w:val="00DB6614"/>
    <w:rsid w:val="00DC0024"/>
    <w:rsid w:val="00DC097A"/>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5096"/>
    <w:rsid w:val="00E05729"/>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0CE0"/>
    <w:rsid w:val="00E31619"/>
    <w:rsid w:val="00E33BC6"/>
    <w:rsid w:val="00E34FAC"/>
    <w:rsid w:val="00E35512"/>
    <w:rsid w:val="00E36408"/>
    <w:rsid w:val="00E36A37"/>
    <w:rsid w:val="00E417E3"/>
    <w:rsid w:val="00E43799"/>
    <w:rsid w:val="00E43A72"/>
    <w:rsid w:val="00E43F64"/>
    <w:rsid w:val="00E4684A"/>
    <w:rsid w:val="00E478CC"/>
    <w:rsid w:val="00E51A47"/>
    <w:rsid w:val="00E54722"/>
    <w:rsid w:val="00E547F0"/>
    <w:rsid w:val="00E55A96"/>
    <w:rsid w:val="00E577F2"/>
    <w:rsid w:val="00E63C52"/>
    <w:rsid w:val="00E64254"/>
    <w:rsid w:val="00E6637B"/>
    <w:rsid w:val="00E67D1E"/>
    <w:rsid w:val="00E7033D"/>
    <w:rsid w:val="00E70C10"/>
    <w:rsid w:val="00E70E08"/>
    <w:rsid w:val="00E74981"/>
    <w:rsid w:val="00E76148"/>
    <w:rsid w:val="00E8472C"/>
    <w:rsid w:val="00E84DF2"/>
    <w:rsid w:val="00E84F99"/>
    <w:rsid w:val="00E86FCB"/>
    <w:rsid w:val="00E87A1A"/>
    <w:rsid w:val="00E90A56"/>
    <w:rsid w:val="00E918BD"/>
    <w:rsid w:val="00E92F16"/>
    <w:rsid w:val="00E94F15"/>
    <w:rsid w:val="00EA02F6"/>
    <w:rsid w:val="00EA27A2"/>
    <w:rsid w:val="00EA28AA"/>
    <w:rsid w:val="00EA37A1"/>
    <w:rsid w:val="00EA4948"/>
    <w:rsid w:val="00EA4DBF"/>
    <w:rsid w:val="00EA5089"/>
    <w:rsid w:val="00EA5434"/>
    <w:rsid w:val="00EA5DC9"/>
    <w:rsid w:val="00EA7EFB"/>
    <w:rsid w:val="00EB0DD8"/>
    <w:rsid w:val="00EB2E3F"/>
    <w:rsid w:val="00EB309E"/>
    <w:rsid w:val="00EB30DB"/>
    <w:rsid w:val="00EB3FD5"/>
    <w:rsid w:val="00EB4B17"/>
    <w:rsid w:val="00EB5BA3"/>
    <w:rsid w:val="00EB7973"/>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125FF"/>
    <w:rsid w:val="00F12675"/>
    <w:rsid w:val="00F12E9C"/>
    <w:rsid w:val="00F13536"/>
    <w:rsid w:val="00F13E8E"/>
    <w:rsid w:val="00F142D5"/>
    <w:rsid w:val="00F149F6"/>
    <w:rsid w:val="00F151DB"/>
    <w:rsid w:val="00F22A55"/>
    <w:rsid w:val="00F23F94"/>
    <w:rsid w:val="00F24030"/>
    <w:rsid w:val="00F242B0"/>
    <w:rsid w:val="00F242B2"/>
    <w:rsid w:val="00F257E5"/>
    <w:rsid w:val="00F25B58"/>
    <w:rsid w:val="00F25C6B"/>
    <w:rsid w:val="00F270D4"/>
    <w:rsid w:val="00F27F09"/>
    <w:rsid w:val="00F3027E"/>
    <w:rsid w:val="00F3092F"/>
    <w:rsid w:val="00F30EA4"/>
    <w:rsid w:val="00F3488E"/>
    <w:rsid w:val="00F35D70"/>
    <w:rsid w:val="00F36FF9"/>
    <w:rsid w:val="00F3762F"/>
    <w:rsid w:val="00F41DFE"/>
    <w:rsid w:val="00F43CCF"/>
    <w:rsid w:val="00F4490B"/>
    <w:rsid w:val="00F451CB"/>
    <w:rsid w:val="00F51F08"/>
    <w:rsid w:val="00F52571"/>
    <w:rsid w:val="00F54AF5"/>
    <w:rsid w:val="00F5754A"/>
    <w:rsid w:val="00F57A04"/>
    <w:rsid w:val="00F644CD"/>
    <w:rsid w:val="00F65523"/>
    <w:rsid w:val="00F6664A"/>
    <w:rsid w:val="00F674FB"/>
    <w:rsid w:val="00F7052D"/>
    <w:rsid w:val="00F737C1"/>
    <w:rsid w:val="00F768B9"/>
    <w:rsid w:val="00F80D9C"/>
    <w:rsid w:val="00F825B6"/>
    <w:rsid w:val="00F83075"/>
    <w:rsid w:val="00F84B1D"/>
    <w:rsid w:val="00F84F1C"/>
    <w:rsid w:val="00F859AF"/>
    <w:rsid w:val="00F91423"/>
    <w:rsid w:val="00F96D49"/>
    <w:rsid w:val="00FA093F"/>
    <w:rsid w:val="00FA0BD8"/>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4100"/>
    <w:rsid w:val="00FD5090"/>
    <w:rsid w:val="00FD56ED"/>
    <w:rsid w:val="00FD5B3C"/>
    <w:rsid w:val="00FD5B6B"/>
    <w:rsid w:val="00FD7085"/>
    <w:rsid w:val="00FE122A"/>
    <w:rsid w:val="00FE2544"/>
    <w:rsid w:val="00FE41D5"/>
    <w:rsid w:val="00FE421D"/>
    <w:rsid w:val="00FE43B3"/>
    <w:rsid w:val="00FE48E3"/>
    <w:rsid w:val="00FE6F2D"/>
    <w:rsid w:val="00FF10C6"/>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34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paragraph" w:customStyle="1" w:styleId="ParaNum0">
    <w:name w:val="ParaNum"/>
    <w:basedOn w:val="Normal"/>
    <w:rsid w:val="00A8592F"/>
    <w:pPr>
      <w:widowControl w:val="0"/>
      <w:numPr>
        <w:numId w:val="28"/>
      </w:numPr>
      <w:tabs>
        <w:tab w:val="clear" w:pos="1080"/>
        <w:tab w:val="num" w:pos="1440"/>
      </w:tabs>
      <w:spacing w:after="120"/>
    </w:pPr>
    <w:rPr>
      <w:snapToGrid w:val="0"/>
      <w:kern w:val="28"/>
    </w:rPr>
  </w:style>
  <w:style w:type="character" w:customStyle="1" w:styleId="ALTSFOOTNOTEChar">
    <w:name w:val="ALTS FOOTNOTE Char"/>
    <w:aliases w:val="ALTS FOOTNOTE Char1 Char,Footnote Text Char Char Char,Footnote Text Char2 Char1 Char1 Char Char Char,Footnote Text Char3 Char1 Char Char Char,f Char"/>
    <w:rsid w:val="00A8592F"/>
  </w:style>
  <w:style w:type="paragraph" w:customStyle="1" w:styleId="xmsonormal">
    <w:name w:val="x_msonormal"/>
    <w:basedOn w:val="Normal"/>
    <w:rsid w:val="00A02C8E"/>
    <w:pPr>
      <w:spacing w:before="100" w:beforeAutospacing="1" w:after="100" w:afterAutospacing="1"/>
    </w:pPr>
    <w:rPr>
      <w:sz w:val="24"/>
      <w:szCs w:val="24"/>
    </w:rPr>
  </w:style>
  <w:style w:type="character" w:styleId="UnresolvedMention">
    <w:name w:val="Unresolved Mention"/>
    <w:rsid w:val="00C9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