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12CACE8B" w14:textId="410685EC">
      <w:pPr>
        <w:jc w:val="right"/>
        <w:rPr>
          <w:b/>
          <w:sz w:val="24"/>
        </w:rPr>
      </w:pPr>
      <w:r>
        <w:rPr>
          <w:b/>
          <w:sz w:val="24"/>
        </w:rPr>
        <w:t>DA  22-896</w:t>
      </w:r>
    </w:p>
    <w:p w:rsidR="00013A8B" w:rsidRPr="00B20363" w:rsidP="00013A8B" w14:paraId="09625330" w14:textId="4C5828CC">
      <w:pPr>
        <w:spacing w:before="60"/>
        <w:jc w:val="right"/>
        <w:rPr>
          <w:b/>
          <w:sz w:val="24"/>
        </w:rPr>
      </w:pPr>
      <w:r>
        <w:rPr>
          <w:b/>
          <w:sz w:val="24"/>
        </w:rPr>
        <w:t xml:space="preserve">Released:  </w:t>
      </w:r>
      <w:r w:rsidR="00CB3AA4">
        <w:rPr>
          <w:b/>
          <w:sz w:val="24"/>
        </w:rPr>
        <w:t>August 29, 2022</w:t>
      </w:r>
    </w:p>
    <w:p w:rsidR="00013A8B" w:rsidP="00013A8B" w14:paraId="1C1DFDC1" w14:textId="77777777">
      <w:pPr>
        <w:jc w:val="right"/>
        <w:rPr>
          <w:sz w:val="24"/>
        </w:rPr>
      </w:pPr>
    </w:p>
    <w:p w:rsidR="00013A8B" w:rsidRPr="00B20363" w:rsidP="00013A8B" w14:paraId="459C9A1F" w14:textId="28CF24D2">
      <w:pPr>
        <w:spacing w:after="240"/>
        <w:jc w:val="center"/>
        <w:rPr>
          <w:rFonts w:ascii="Times New Roman Bold" w:hAnsi="Times New Roman Bold"/>
          <w:b/>
          <w:caps/>
          <w:sz w:val="24"/>
        </w:rPr>
      </w:pPr>
      <w:r w:rsidRPr="00CB3AA4">
        <w:rPr>
          <w:rFonts w:ascii="Times New Roman Bold" w:hAnsi="Times New Roman Bold"/>
          <w:b/>
          <w:caps/>
          <w:sz w:val="24"/>
        </w:rPr>
        <w:t xml:space="preserve">Wireline Competition Bureau ANNOUNCES </w:t>
      </w:r>
      <w:r w:rsidRPr="00CB3AA4">
        <w:rPr>
          <w:rFonts w:ascii="Times New Roman Bold" w:hAnsi="Times New Roman Bold"/>
          <w:b/>
          <w:caps/>
          <w:sz w:val="24"/>
        </w:rPr>
        <w:t xml:space="preserve">REVISED </w:t>
      </w:r>
      <w:r w:rsidRPr="00CB3AA4">
        <w:rPr>
          <w:rFonts w:ascii="Times New Roman Bold" w:hAnsi="Times New Roman Bold"/>
          <w:b/>
          <w:caps/>
          <w:sz w:val="24"/>
        </w:rPr>
        <w:t>REPORTING DEADLINEs for BRINGING puerto rico TOGETHER fund and CoNNECT USVI FUND StAGE 2 mobile support recipients</w:t>
      </w:r>
    </w:p>
    <w:p w:rsidR="00013A8B" w:rsidP="00013A8B" w14:paraId="369910D9" w14:textId="0934125E">
      <w:pPr>
        <w:jc w:val="center"/>
        <w:rPr>
          <w:b/>
          <w:sz w:val="24"/>
        </w:rPr>
      </w:pPr>
      <w:r>
        <w:rPr>
          <w:b/>
          <w:sz w:val="24"/>
        </w:rPr>
        <w:t>WC Docket No. 18-</w:t>
      </w:r>
      <w:r w:rsidR="00B274AA">
        <w:rPr>
          <w:b/>
          <w:sz w:val="24"/>
        </w:rPr>
        <w:t>1</w:t>
      </w:r>
      <w:r>
        <w:rPr>
          <w:b/>
          <w:sz w:val="24"/>
        </w:rPr>
        <w:t>43</w:t>
      </w:r>
    </w:p>
    <w:p w:rsidR="00CB3AA4" w:rsidP="00013A8B" w14:paraId="2A5DAD85" w14:textId="719023F6">
      <w:pPr>
        <w:jc w:val="center"/>
        <w:rPr>
          <w:b/>
          <w:sz w:val="24"/>
        </w:rPr>
      </w:pPr>
      <w:r>
        <w:rPr>
          <w:b/>
          <w:sz w:val="24"/>
        </w:rPr>
        <w:t>WC Docket No. 10-90</w:t>
      </w:r>
    </w:p>
    <w:p w:rsidR="00CB3AA4" w:rsidP="00CB3AA4" w14:paraId="6014A44F" w14:textId="77777777">
      <w:pPr>
        <w:spacing w:after="120"/>
      </w:pPr>
    </w:p>
    <w:p w:rsidR="00CB3AA4" w:rsidRPr="00500878" w:rsidP="00CB3AA4" w14:paraId="0CE097EF" w14:textId="0AC5C49E">
      <w:pPr>
        <w:spacing w:after="120"/>
        <w:ind w:firstLine="720"/>
      </w:pPr>
      <w:r w:rsidRPr="00500878">
        <w:t xml:space="preserve">In this Public Notice, the Wireline Competition Bureau (Bureau), </w:t>
      </w:r>
      <w:r w:rsidRPr="00500878">
        <w:rPr>
          <w:i/>
          <w:iCs/>
        </w:rPr>
        <w:t>sua sponte</w:t>
      </w:r>
      <w:r w:rsidRPr="00500878">
        <w:t xml:space="preserve">, waives the </w:t>
      </w:r>
      <w:r w:rsidRPr="00500878">
        <w:rPr>
          <w:szCs w:val="22"/>
        </w:rPr>
        <w:t xml:space="preserve">annual reporting deadlines of Section 54.1514 of the Commission’s rules and </w:t>
      </w:r>
      <w:r w:rsidRPr="00500878">
        <w:t>establishes uniform reporting deadlines for the Bringing Puerto Rico Together Fund and the Connect USVI Fund Stage 2 mobile support recipients.</w:t>
      </w:r>
      <w:r w:rsidRPr="00500878">
        <w:rPr>
          <w:szCs w:val="22"/>
        </w:rPr>
        <w:t xml:space="preserve">  </w:t>
      </w:r>
      <w:r w:rsidRPr="00500878">
        <w:t>All carriers must file all previously required reports by</w:t>
      </w:r>
      <w:r w:rsidRPr="00500878">
        <w:rPr>
          <w:szCs w:val="22"/>
        </w:rPr>
        <w:t xml:space="preserve"> </w:t>
      </w:r>
      <w:r w:rsidRPr="008D12D8">
        <w:rPr>
          <w:b/>
          <w:bCs/>
        </w:rPr>
        <w:t>November 16, 2022</w:t>
      </w:r>
      <w:r w:rsidRPr="00500878">
        <w:t xml:space="preserve"> as explained below.</w:t>
      </w:r>
      <w:r>
        <w:rPr>
          <w:rStyle w:val="FootnoteReference"/>
        </w:rPr>
        <w:footnoteReference w:id="3"/>
      </w:r>
      <w:r w:rsidRPr="00500878">
        <w:rPr>
          <w:szCs w:val="22"/>
        </w:rPr>
        <w:t xml:space="preserve"> </w:t>
      </w:r>
    </w:p>
    <w:p w:rsidR="00CB3AA4" w:rsidRPr="00500878" w:rsidP="00CB3AA4" w14:paraId="1F315171" w14:textId="77777777">
      <w:pPr>
        <w:widowControl/>
        <w:spacing w:after="120"/>
        <w:ind w:firstLine="720"/>
      </w:pPr>
      <w:r w:rsidRPr="00500878">
        <w:rPr>
          <w:szCs w:val="22"/>
        </w:rPr>
        <w:t xml:space="preserve">In 2019, the Commission adopted the </w:t>
      </w:r>
      <w:r w:rsidRPr="00500878">
        <w:rPr>
          <w:i/>
          <w:szCs w:val="22"/>
        </w:rPr>
        <w:t>PR-USVI Stage 2 Order</w:t>
      </w:r>
      <w:r w:rsidRPr="00500878">
        <w:rPr>
          <w:szCs w:val="22"/>
        </w:rPr>
        <w:t>, which made available $258.8 million in Stage 2 high-cost support over a three-year period to mobile providers in Puerto Rico and the U.S. Virgin Islands (Territories) to restore, harden, and expand 4G LTE and 5G technology for voice and broadband service in the aftermath of Hurricane Irma and Hurricane Maria.</w:t>
      </w:r>
      <w:r>
        <w:rPr>
          <w:szCs w:val="22"/>
          <w:vertAlign w:val="superscript"/>
        </w:rPr>
        <w:footnoteReference w:id="4"/>
      </w:r>
      <w:r w:rsidRPr="00500878">
        <w:t xml:space="preserve">  In 2020, the Bureau authorized mobile support for several providers in the Territories.</w:t>
      </w:r>
      <w:r>
        <w:rPr>
          <w:rStyle w:val="FootnoteReference"/>
        </w:rPr>
        <w:footnoteReference w:id="5"/>
      </w:r>
      <w:r w:rsidRPr="00500878">
        <w:t xml:space="preserve">  The Bureau directed the Universal Service Administrative Company (USAC) to disburse the allocated funds and reminded all support recipients of their obligations, including the ongoing oversight, reporting and certification requirements established by the Commission.</w:t>
      </w:r>
      <w:r>
        <w:rPr>
          <w:rStyle w:val="FootnoteReference"/>
        </w:rPr>
        <w:footnoteReference w:id="6"/>
      </w:r>
      <w:r w:rsidRPr="00500878">
        <w:t xml:space="preserve">  However, for administrative reasons, the Commission’s rules for the </w:t>
      </w:r>
      <w:r w:rsidRPr="00500878">
        <w:rPr>
          <w:i/>
          <w:iCs/>
        </w:rPr>
        <w:t>PR-USVI Stage 2 Order</w:t>
      </w:r>
      <w:r w:rsidRPr="00500878">
        <w:t xml:space="preserve"> did not become effective until February 22, 2022, after initiation of the reporting </w:t>
      </w:r>
      <w:r w:rsidRPr="00500878">
        <w:t>cycle.</w:t>
      </w:r>
      <w:r>
        <w:rPr>
          <w:rStyle w:val="FootnoteReference"/>
        </w:rPr>
        <w:footnoteReference w:id="7"/>
      </w:r>
      <w:r w:rsidRPr="00500878">
        <w:t xml:space="preserve">  Moreover, the reporting deadlines varied by carrier depending upon when the carrier first received support.</w:t>
      </w:r>
      <w:r>
        <w:rPr>
          <w:rStyle w:val="FootnoteReference"/>
        </w:rPr>
        <w:footnoteReference w:id="8"/>
      </w:r>
      <w:r w:rsidRPr="00500878">
        <w:t xml:space="preserve">  </w:t>
      </w:r>
    </w:p>
    <w:p w:rsidR="00CB3AA4" w:rsidRPr="00500878" w:rsidP="00CB3AA4" w14:paraId="420E1692" w14:textId="77777777">
      <w:pPr>
        <w:pStyle w:val="ParaNum"/>
        <w:numPr>
          <w:ilvl w:val="0"/>
          <w:numId w:val="0"/>
        </w:numPr>
        <w:ind w:firstLine="720"/>
      </w:pPr>
      <w:r w:rsidRPr="00500878">
        <w:t>Generally, the Commission’s rules may be waived for good cause shown.</w:t>
      </w:r>
      <w:r>
        <w:rPr>
          <w:rStyle w:val="FootnoteReference"/>
        </w:rPr>
        <w:footnoteReference w:id="9"/>
      </w:r>
      <w:r w:rsidRPr="00500878">
        <w:t xml:space="preserve">  W</w:t>
      </w:r>
      <w:r w:rsidRPr="00500878">
        <w:rPr>
          <w:bCs/>
        </w:rPr>
        <w:t>aiver</w:t>
      </w:r>
      <w:r w:rsidRPr="00500878">
        <w:t xml:space="preserve"> of the Commission’s rules is appropriate only if both: (1) special circumstances warrant a deviation from the general rule, and (2) such deviation will serve the public interest.</w:t>
      </w:r>
      <w:r>
        <w:rPr>
          <w:rStyle w:val="FootnoteReference"/>
          <w:spacing w:val="-2"/>
        </w:rPr>
        <w:footnoteReference w:id="10"/>
      </w:r>
      <w:r w:rsidRPr="00500878">
        <w:t xml:space="preserve">  We find good cause exists to establish uniform deadlines for all recipients of PR-USVI Stage 2 Mobile support to simplify compliance with these obligations and requirements.  Establishing uniform deadlines will also decrease the burden of program administration.</w:t>
      </w:r>
      <w:r w:rsidRPr="00500878">
        <w:rPr>
          <w:szCs w:val="22"/>
        </w:rPr>
        <w:t xml:space="preserve">  For these reasons, we find an extension and revision of the deadlines is in the public interest.</w:t>
      </w:r>
      <w:r w:rsidRPr="00500878">
        <w:rPr>
          <w:bCs/>
          <w:szCs w:val="22"/>
        </w:rPr>
        <w:t xml:space="preserve">  </w:t>
      </w:r>
      <w:r w:rsidRPr="00500878">
        <w:t xml:space="preserve">Accordingly, </w:t>
      </w:r>
      <w:r w:rsidRPr="00500878">
        <w:rPr>
          <w:szCs w:val="22"/>
        </w:rPr>
        <w:t xml:space="preserve">on our own motion, </w:t>
      </w:r>
      <w:r w:rsidRPr="00500878">
        <w:t xml:space="preserve">the Bureau </w:t>
      </w:r>
      <w:r w:rsidRPr="00500878">
        <w:rPr>
          <w:szCs w:val="22"/>
        </w:rPr>
        <w:t>waives the reporting deadlines for Section 54.1514(b),</w:t>
      </w:r>
      <w:r>
        <w:rPr>
          <w:szCs w:val="22"/>
        </w:rPr>
        <w:t xml:space="preserve"> </w:t>
      </w:r>
      <w:r w:rsidRPr="00500878">
        <w:rPr>
          <w:szCs w:val="22"/>
        </w:rPr>
        <w:t>(c),(d), and (e), and we establish the revised uniform reporting deadlines</w:t>
      </w:r>
      <w:r w:rsidRPr="00500878">
        <w:t xml:space="preserve"> as provided below.  </w:t>
      </w:r>
      <w:r w:rsidRPr="00500878">
        <w:rPr>
          <w:bCs/>
          <w:szCs w:val="22"/>
        </w:rPr>
        <w:t xml:space="preserve">Therefore, all Stage 2 Mobile support recipients will have until </w:t>
      </w:r>
      <w:r w:rsidRPr="00500878">
        <w:rPr>
          <w:b/>
          <w:szCs w:val="22"/>
        </w:rPr>
        <w:t>November 16, 2022</w:t>
      </w:r>
      <w:r w:rsidRPr="00500878">
        <w:rPr>
          <w:bCs/>
          <w:szCs w:val="22"/>
        </w:rPr>
        <w:t xml:space="preserve"> to file all previously required reports.</w:t>
      </w:r>
      <w:r>
        <w:rPr>
          <w:rStyle w:val="FootnoteReference"/>
          <w:bCs/>
          <w:szCs w:val="22"/>
        </w:rPr>
        <w:footnoteReference w:id="11"/>
      </w:r>
      <w:r w:rsidRPr="00500878">
        <w:rPr>
          <w:bCs/>
          <w:szCs w:val="22"/>
        </w:rPr>
        <w:t xml:space="preserve">  Additionally, </w:t>
      </w:r>
      <w:r w:rsidRPr="00500878">
        <w:rPr>
          <w:b/>
          <w:szCs w:val="22"/>
        </w:rPr>
        <w:t>all</w:t>
      </w:r>
      <w:r w:rsidRPr="00500878">
        <w:rPr>
          <w:bCs/>
          <w:szCs w:val="22"/>
        </w:rPr>
        <w:t xml:space="preserve"> carriers will now have the same two reporting deadlines going forward as shown in Appendix A, Table 1.</w:t>
      </w:r>
      <w:r>
        <w:rPr>
          <w:rStyle w:val="FootnoteReference"/>
        </w:rPr>
        <w:footnoteReference w:id="12"/>
      </w:r>
    </w:p>
    <w:p w:rsidR="00CB3AA4" w:rsidRPr="00500878" w:rsidP="00CB3AA4" w14:paraId="3184B38F" w14:textId="77777777">
      <w:pPr>
        <w:spacing w:after="120"/>
        <w:ind w:firstLine="720"/>
      </w:pPr>
      <w:r w:rsidRPr="00500878">
        <w:rPr>
          <w:bCs/>
          <w:szCs w:val="22"/>
        </w:rPr>
        <w:t>Pursuant to Commission rules, filings shall be submitted to the Office of the Secretary of the Commission, the Electronic Comment Filing System (ECFS), and clearly labeled.</w:t>
      </w:r>
      <w:r>
        <w:rPr>
          <w:rStyle w:val="FootnoteReference"/>
          <w:bCs/>
          <w:szCs w:val="22"/>
        </w:rPr>
        <w:footnoteReference w:id="13"/>
      </w:r>
      <w:r w:rsidRPr="00500878">
        <w:rPr>
          <w:bCs/>
          <w:szCs w:val="22"/>
        </w:rPr>
        <w:t xml:space="preserve">  While carriers may combine 2021 and 2022 reports into a single filing, carriers should clearly identify the information for each year.  </w:t>
      </w:r>
      <w:r w:rsidRPr="00500878">
        <w:t>Going forward, we remind carriers that recipients of Stage 2 mobile support have a continuing obligation to maintain the accuracy and completeness of the information provided in their reports.</w:t>
      </w:r>
      <w:r>
        <w:rPr>
          <w:rStyle w:val="FootnoteReference"/>
        </w:rPr>
        <w:footnoteReference w:id="14"/>
      </w:r>
      <w:r w:rsidRPr="00500878">
        <w:t xml:space="preserve">  Further, in order for a recipient of Stage 2 mobile support to continue to receive support for the following calendar year, it must submit the reports by the deadlines announced herein.</w:t>
      </w:r>
      <w:r>
        <w:rPr>
          <w:rStyle w:val="FootnoteReference"/>
        </w:rPr>
        <w:footnoteReference w:id="15"/>
      </w:r>
    </w:p>
    <w:p w:rsidR="00CB3AA4" w:rsidRPr="00500878" w:rsidP="00CB3AA4" w14:paraId="4AE94A98" w14:textId="77777777">
      <w:pPr>
        <w:spacing w:after="120"/>
        <w:ind w:firstLine="720"/>
      </w:pPr>
      <w:r w:rsidRPr="00500878">
        <w:t xml:space="preserve">For additional information, contact Rebekah Douglas, </w:t>
      </w:r>
      <w:hyperlink r:id="rId6" w:history="1">
        <w:r w:rsidRPr="00500878">
          <w:rPr>
            <w:rStyle w:val="Hyperlink"/>
          </w:rPr>
          <w:t>rebekah.douglas@fcc.gov</w:t>
        </w:r>
      </w:hyperlink>
      <w:r w:rsidRPr="00500878">
        <w:t>, of the Wireline Competition Bureau, Telecommunications Access Policy Division, (202) 418-7931.</w:t>
      </w:r>
    </w:p>
    <w:p w:rsidR="00CB3AA4" w:rsidRPr="00500878" w:rsidP="00CB3AA4" w14:paraId="72DF744B" w14:textId="77777777">
      <w:pPr>
        <w:spacing w:after="120"/>
      </w:pPr>
    </w:p>
    <w:p w:rsidR="00CB3AA4" w:rsidRPr="00CB3AA4" w:rsidP="00CB3AA4" w14:paraId="6294AAD1" w14:textId="4FC386C9">
      <w:pPr>
        <w:spacing w:after="120"/>
        <w:jc w:val="center"/>
        <w:rPr>
          <w:b/>
          <w:bCs/>
          <w:szCs w:val="22"/>
        </w:rPr>
      </w:pPr>
      <w:r w:rsidRPr="00500878">
        <w:rPr>
          <w:b/>
          <w:bCs/>
          <w:szCs w:val="22"/>
        </w:rPr>
        <w:t>- FCC -</w:t>
      </w:r>
    </w:p>
    <w:p w:rsidR="00CB3AA4" w:rsidRPr="00CB3AA4" w:rsidP="00CB3AA4" w14:paraId="0C0BEDBE" w14:textId="6CF32F24">
      <w:pPr>
        <w:widowControl/>
        <w:jc w:val="center"/>
        <w:rPr>
          <w:b/>
          <w:sz w:val="24"/>
        </w:rPr>
      </w:pPr>
      <w:r w:rsidRPr="00500878">
        <w:rPr>
          <w:b/>
          <w:sz w:val="24"/>
        </w:rPr>
        <w:br w:type="page"/>
      </w:r>
      <w:r w:rsidRPr="00CB3AA4">
        <w:rPr>
          <w:b/>
          <w:sz w:val="24"/>
        </w:rPr>
        <w:t>APPENDIX A</w:t>
      </w:r>
    </w:p>
    <w:p w:rsidR="00CB3AA4" w:rsidRPr="00500878" w:rsidP="00CB3AA4" w14:paraId="40AC46FF" w14:textId="05D33342">
      <w:pPr>
        <w:tabs>
          <w:tab w:val="left" w:pos="2076"/>
          <w:tab w:val="center" w:pos="4680"/>
        </w:tabs>
        <w:spacing w:after="120"/>
        <w:rPr>
          <w:b/>
          <w:bCs/>
        </w:rPr>
      </w:pPr>
    </w:p>
    <w:p w:rsidR="00CB3AA4" w:rsidRPr="00500878" w:rsidP="00CB3AA4" w14:paraId="2C2C8E96" w14:textId="77777777">
      <w:pPr>
        <w:tabs>
          <w:tab w:val="left" w:pos="2076"/>
          <w:tab w:val="center" w:pos="4680"/>
        </w:tabs>
        <w:spacing w:after="120"/>
        <w:jc w:val="center"/>
        <w:rPr>
          <w:szCs w:val="22"/>
        </w:rPr>
      </w:pPr>
      <w:r w:rsidRPr="00500878">
        <w:rPr>
          <w:u w:val="single"/>
        </w:rPr>
        <w:t>Table 1. Stage 2 Mobile Support Reporting Deadlines</w:t>
      </w:r>
    </w:p>
    <w:p w:rsidR="00CB3AA4" w:rsidRPr="00500878" w:rsidP="00CB3AA4" w14:paraId="4466E430" w14:textId="77777777">
      <w:pPr>
        <w:tabs>
          <w:tab w:val="left" w:pos="936"/>
        </w:tabs>
        <w:jc w:val="center"/>
        <w:rPr>
          <w:b/>
          <w:sz w:val="24"/>
        </w:rPr>
      </w:pPr>
    </w:p>
    <w:tbl>
      <w:tblPr>
        <w:tblStyle w:val="TableGrid"/>
        <w:tblpPr w:leftFromText="180" w:rightFromText="180" w:vertAnchor="text" w:horzAnchor="margin" w:tblpXSpec="center" w:tblpY="43"/>
        <w:tblW w:w="0" w:type="auto"/>
        <w:tblLayout w:type="fixed"/>
        <w:tblLook w:val="04A0"/>
      </w:tblPr>
      <w:tblGrid>
        <w:gridCol w:w="1234"/>
        <w:gridCol w:w="1737"/>
        <w:gridCol w:w="1350"/>
        <w:gridCol w:w="1338"/>
        <w:gridCol w:w="1344"/>
        <w:gridCol w:w="1722"/>
      </w:tblGrid>
      <w:tr w14:paraId="30A426DA" w14:textId="77777777" w:rsidTr="00DD18F3">
        <w:tblPrEx>
          <w:tblW w:w="0" w:type="auto"/>
          <w:tblLayout w:type="fixed"/>
          <w:tblLook w:val="04A0"/>
        </w:tblPrEx>
        <w:tc>
          <w:tcPr>
            <w:tcW w:w="1234" w:type="dxa"/>
          </w:tcPr>
          <w:p w:rsidR="00CB3AA4" w:rsidRPr="00500878" w:rsidP="00DD18F3" w14:paraId="3A4CDB28" w14:textId="77777777">
            <w:pPr>
              <w:spacing w:after="120"/>
              <w:jc w:val="center"/>
              <w:rPr>
                <w:b/>
                <w:bCs/>
                <w:szCs w:val="22"/>
              </w:rPr>
            </w:pPr>
            <w:r w:rsidRPr="00500878">
              <w:rPr>
                <w:b/>
                <w:bCs/>
                <w:szCs w:val="22"/>
              </w:rPr>
              <w:t>Mobile Support Recipient</w:t>
            </w:r>
          </w:p>
        </w:tc>
        <w:tc>
          <w:tcPr>
            <w:tcW w:w="1737" w:type="dxa"/>
          </w:tcPr>
          <w:p w:rsidR="00CB3AA4" w:rsidRPr="00500878" w:rsidP="00DD18F3" w14:paraId="31805F94" w14:textId="77777777">
            <w:pPr>
              <w:spacing w:after="120"/>
              <w:jc w:val="center"/>
              <w:rPr>
                <w:b/>
                <w:bCs/>
                <w:szCs w:val="22"/>
              </w:rPr>
            </w:pPr>
            <w:r w:rsidRPr="00500878">
              <w:rPr>
                <w:b/>
                <w:bCs/>
                <w:szCs w:val="22"/>
              </w:rPr>
              <w:t>Section 54.1514(a)</w:t>
            </w:r>
            <w:r>
              <w:rPr>
                <w:rStyle w:val="FootnoteReference"/>
                <w:szCs w:val="22"/>
              </w:rPr>
              <w:footnoteReference w:id="16"/>
            </w:r>
          </w:p>
          <w:p w:rsidR="00CB3AA4" w:rsidRPr="00500878" w:rsidP="00DD18F3" w14:paraId="24DF86A3" w14:textId="77777777">
            <w:pPr>
              <w:spacing w:after="120"/>
              <w:jc w:val="center"/>
              <w:rPr>
                <w:szCs w:val="22"/>
              </w:rPr>
            </w:pPr>
            <w:r w:rsidRPr="00500878">
              <w:rPr>
                <w:szCs w:val="22"/>
              </w:rPr>
              <w:t>Mobile Network Coverage Restoration Report and Certification</w:t>
            </w:r>
            <w:r>
              <w:rPr>
                <w:rStyle w:val="FootnoteReference"/>
                <w:szCs w:val="22"/>
              </w:rPr>
              <w:footnoteReference w:id="17"/>
            </w:r>
          </w:p>
        </w:tc>
        <w:tc>
          <w:tcPr>
            <w:tcW w:w="1350" w:type="dxa"/>
          </w:tcPr>
          <w:p w:rsidR="00CB3AA4" w:rsidRPr="00500878" w:rsidP="00DD18F3" w14:paraId="2E3CD4D6" w14:textId="77777777">
            <w:pPr>
              <w:spacing w:after="120"/>
              <w:jc w:val="center"/>
              <w:rPr>
                <w:b/>
                <w:bCs/>
                <w:szCs w:val="22"/>
              </w:rPr>
            </w:pPr>
            <w:r w:rsidRPr="00500878">
              <w:rPr>
                <w:b/>
                <w:bCs/>
                <w:szCs w:val="22"/>
              </w:rPr>
              <w:t>Section 54.1514(b)</w:t>
            </w:r>
          </w:p>
          <w:p w:rsidR="00CB3AA4" w:rsidRPr="00500878" w:rsidP="00DD18F3" w14:paraId="6EBDE35E" w14:textId="77777777">
            <w:pPr>
              <w:spacing w:after="120"/>
              <w:jc w:val="center"/>
              <w:rPr>
                <w:szCs w:val="22"/>
              </w:rPr>
            </w:pPr>
            <w:r w:rsidRPr="00500878">
              <w:rPr>
                <w:szCs w:val="22"/>
              </w:rPr>
              <w:t>Network Performance</w:t>
            </w:r>
          </w:p>
          <w:p w:rsidR="00CB3AA4" w:rsidRPr="00500878" w:rsidP="00DD18F3" w14:paraId="05C86DE2" w14:textId="77777777">
            <w:pPr>
              <w:spacing w:after="120"/>
              <w:jc w:val="center"/>
              <w:rPr>
                <w:szCs w:val="22"/>
              </w:rPr>
            </w:pPr>
            <w:r w:rsidRPr="00500878">
              <w:rPr>
                <w:szCs w:val="22"/>
              </w:rPr>
              <w:t xml:space="preserve">Report and Certification </w:t>
            </w:r>
          </w:p>
        </w:tc>
        <w:tc>
          <w:tcPr>
            <w:tcW w:w="1338" w:type="dxa"/>
          </w:tcPr>
          <w:p w:rsidR="00CB3AA4" w:rsidRPr="00500878" w:rsidP="00DD18F3" w14:paraId="752C3DC2" w14:textId="77777777">
            <w:pPr>
              <w:spacing w:after="120"/>
              <w:jc w:val="center"/>
              <w:rPr>
                <w:b/>
                <w:bCs/>
                <w:szCs w:val="22"/>
              </w:rPr>
            </w:pPr>
            <w:r w:rsidRPr="00500878">
              <w:rPr>
                <w:b/>
                <w:bCs/>
                <w:szCs w:val="22"/>
              </w:rPr>
              <w:t>Section 54.1514(c)</w:t>
            </w:r>
          </w:p>
          <w:p w:rsidR="00CB3AA4" w:rsidRPr="00500878" w:rsidP="00DD18F3" w14:paraId="3D4A2055" w14:textId="77777777">
            <w:pPr>
              <w:spacing w:after="120"/>
              <w:jc w:val="center"/>
              <w:rPr>
                <w:b/>
                <w:bCs/>
                <w:szCs w:val="22"/>
              </w:rPr>
            </w:pPr>
            <w:r w:rsidRPr="00500878">
              <w:rPr>
                <w:szCs w:val="22"/>
              </w:rPr>
              <w:t>Public Interest Obligations Certification</w:t>
            </w:r>
          </w:p>
        </w:tc>
        <w:tc>
          <w:tcPr>
            <w:tcW w:w="1344" w:type="dxa"/>
          </w:tcPr>
          <w:p w:rsidR="00CB3AA4" w:rsidRPr="00500878" w:rsidP="00DD18F3" w14:paraId="5FC7233C" w14:textId="77777777">
            <w:pPr>
              <w:spacing w:after="120"/>
              <w:jc w:val="center"/>
              <w:rPr>
                <w:b/>
                <w:bCs/>
                <w:szCs w:val="22"/>
              </w:rPr>
            </w:pPr>
            <w:r w:rsidRPr="00500878">
              <w:rPr>
                <w:b/>
                <w:bCs/>
                <w:szCs w:val="22"/>
              </w:rPr>
              <w:t>Section 54.1514(d)</w:t>
            </w:r>
            <w:r>
              <w:rPr>
                <w:rStyle w:val="FootnoteReference"/>
                <w:szCs w:val="22"/>
              </w:rPr>
              <w:footnoteReference w:id="18"/>
            </w:r>
          </w:p>
          <w:p w:rsidR="00CB3AA4" w:rsidRPr="00500878" w:rsidP="00DD18F3" w14:paraId="759FA423" w14:textId="77777777">
            <w:pPr>
              <w:spacing w:after="120"/>
              <w:jc w:val="center"/>
              <w:rPr>
                <w:szCs w:val="22"/>
              </w:rPr>
            </w:pPr>
            <w:r w:rsidRPr="00500878">
              <w:rPr>
                <w:szCs w:val="22"/>
              </w:rPr>
              <w:t>Annual Hardening Activities Map and Description</w:t>
            </w:r>
          </w:p>
        </w:tc>
        <w:tc>
          <w:tcPr>
            <w:tcW w:w="1722" w:type="dxa"/>
          </w:tcPr>
          <w:p w:rsidR="00CB3AA4" w:rsidRPr="00500878" w:rsidP="00DD18F3" w14:paraId="0868CFC6" w14:textId="77777777">
            <w:pPr>
              <w:spacing w:after="120"/>
              <w:jc w:val="center"/>
              <w:rPr>
                <w:b/>
                <w:bCs/>
                <w:szCs w:val="22"/>
              </w:rPr>
            </w:pPr>
            <w:r w:rsidRPr="00500878">
              <w:rPr>
                <w:b/>
                <w:bCs/>
                <w:szCs w:val="22"/>
              </w:rPr>
              <w:t>Section 54.1514(e)</w:t>
            </w:r>
          </w:p>
          <w:p w:rsidR="00CB3AA4" w:rsidRPr="00500878" w:rsidP="00DD18F3" w14:paraId="37F7988D" w14:textId="77777777">
            <w:pPr>
              <w:spacing w:after="120"/>
              <w:jc w:val="center"/>
              <w:rPr>
                <w:szCs w:val="22"/>
              </w:rPr>
            </w:pPr>
            <w:r w:rsidRPr="00500878">
              <w:rPr>
                <w:szCs w:val="22"/>
              </w:rPr>
              <w:t>5G Deployment and Cost Report and Certification</w:t>
            </w:r>
          </w:p>
        </w:tc>
      </w:tr>
      <w:tr w14:paraId="7EEB8AF1" w14:textId="77777777" w:rsidTr="00DD18F3">
        <w:tblPrEx>
          <w:tblW w:w="0" w:type="auto"/>
          <w:tblLayout w:type="fixed"/>
          <w:tblLook w:val="04A0"/>
        </w:tblPrEx>
        <w:tc>
          <w:tcPr>
            <w:tcW w:w="1234" w:type="dxa"/>
          </w:tcPr>
          <w:p w:rsidR="00CB3AA4" w:rsidRPr="00500878" w:rsidP="00DD18F3" w14:paraId="24733391" w14:textId="77777777">
            <w:pPr>
              <w:spacing w:after="120"/>
              <w:rPr>
                <w:b/>
                <w:bCs/>
                <w:szCs w:val="22"/>
              </w:rPr>
            </w:pPr>
            <w:r w:rsidRPr="00500878">
              <w:rPr>
                <w:b/>
                <w:bCs/>
                <w:szCs w:val="22"/>
              </w:rPr>
              <w:t>PRTC</w:t>
            </w:r>
          </w:p>
        </w:tc>
        <w:tc>
          <w:tcPr>
            <w:tcW w:w="1737" w:type="dxa"/>
          </w:tcPr>
          <w:p w:rsidR="00CB3AA4" w:rsidRPr="00500878" w:rsidP="00DD18F3" w14:paraId="728E0841" w14:textId="77777777">
            <w:pPr>
              <w:rPr>
                <w:szCs w:val="22"/>
              </w:rPr>
            </w:pPr>
            <w:r w:rsidRPr="00500878">
              <w:rPr>
                <w:szCs w:val="22"/>
              </w:rPr>
              <w:t>1/30/2023</w:t>
            </w:r>
          </w:p>
          <w:p w:rsidR="00CB3AA4" w:rsidRPr="00500878" w:rsidP="00DD18F3" w14:paraId="4DDFA9DC" w14:textId="77777777">
            <w:pPr>
              <w:spacing w:after="120"/>
              <w:rPr>
                <w:szCs w:val="22"/>
              </w:rPr>
            </w:pPr>
            <w:r w:rsidRPr="00500878">
              <w:rPr>
                <w:szCs w:val="22"/>
              </w:rPr>
              <w:t>1/30/2024</w:t>
            </w:r>
          </w:p>
        </w:tc>
        <w:tc>
          <w:tcPr>
            <w:tcW w:w="1350" w:type="dxa"/>
          </w:tcPr>
          <w:p w:rsidR="00CB3AA4" w:rsidRPr="00500878" w:rsidP="00DD18F3" w14:paraId="18844DB1" w14:textId="77777777">
            <w:pPr>
              <w:spacing w:after="120"/>
              <w:rPr>
                <w:szCs w:val="22"/>
              </w:rPr>
            </w:pPr>
            <w:r w:rsidRPr="00500878">
              <w:rPr>
                <w:szCs w:val="22"/>
              </w:rPr>
              <w:t>11/16/2023</w:t>
            </w:r>
          </w:p>
        </w:tc>
        <w:tc>
          <w:tcPr>
            <w:tcW w:w="1338" w:type="dxa"/>
          </w:tcPr>
          <w:p w:rsidR="00CB3AA4" w:rsidRPr="00500878" w:rsidP="00DD18F3" w14:paraId="26A540F1" w14:textId="77777777">
            <w:pPr>
              <w:spacing w:after="120"/>
              <w:rPr>
                <w:szCs w:val="22"/>
              </w:rPr>
            </w:pPr>
            <w:r w:rsidRPr="00500878">
              <w:rPr>
                <w:szCs w:val="22"/>
              </w:rPr>
              <w:t>11/16/2023</w:t>
            </w:r>
          </w:p>
        </w:tc>
        <w:tc>
          <w:tcPr>
            <w:tcW w:w="1344" w:type="dxa"/>
          </w:tcPr>
          <w:p w:rsidR="00CB3AA4" w:rsidRPr="00500878" w:rsidP="00DD18F3" w14:paraId="2CB91586" w14:textId="77777777">
            <w:pPr>
              <w:rPr>
                <w:szCs w:val="22"/>
              </w:rPr>
            </w:pPr>
            <w:r w:rsidRPr="00500878">
              <w:rPr>
                <w:szCs w:val="22"/>
              </w:rPr>
              <w:t>11/16/2022</w:t>
            </w:r>
          </w:p>
          <w:p w:rsidR="00CB3AA4" w:rsidRPr="00500878" w:rsidP="00DD18F3" w14:paraId="537B8374" w14:textId="77777777">
            <w:pPr>
              <w:rPr>
                <w:szCs w:val="22"/>
              </w:rPr>
            </w:pPr>
            <w:r w:rsidRPr="00500878">
              <w:rPr>
                <w:szCs w:val="22"/>
              </w:rPr>
              <w:t>1/30/2023</w:t>
            </w:r>
          </w:p>
          <w:p w:rsidR="00CB3AA4" w:rsidRPr="00500878" w:rsidP="00DD18F3" w14:paraId="446EE7CF" w14:textId="77777777">
            <w:pPr>
              <w:rPr>
                <w:szCs w:val="22"/>
              </w:rPr>
            </w:pPr>
            <w:r w:rsidRPr="00500878">
              <w:rPr>
                <w:szCs w:val="22"/>
              </w:rPr>
              <w:t>1/30/2024</w:t>
            </w:r>
          </w:p>
        </w:tc>
        <w:tc>
          <w:tcPr>
            <w:tcW w:w="1722" w:type="dxa"/>
          </w:tcPr>
          <w:p w:rsidR="00CB3AA4" w:rsidRPr="00500878" w:rsidP="00DD18F3" w14:paraId="6DBFD4E6" w14:textId="77777777">
            <w:pPr>
              <w:rPr>
                <w:szCs w:val="22"/>
              </w:rPr>
            </w:pPr>
            <w:r w:rsidRPr="00500878">
              <w:rPr>
                <w:szCs w:val="22"/>
              </w:rPr>
              <w:t>11/16/2022</w:t>
            </w:r>
            <w:r>
              <w:rPr>
                <w:rStyle w:val="FootnoteReference"/>
                <w:szCs w:val="22"/>
              </w:rPr>
              <w:footnoteReference w:id="19"/>
            </w:r>
          </w:p>
          <w:p w:rsidR="00CB3AA4" w:rsidRPr="00500878" w:rsidP="00DD18F3" w14:paraId="7357808D" w14:textId="77777777">
            <w:pPr>
              <w:rPr>
                <w:szCs w:val="22"/>
              </w:rPr>
            </w:pPr>
            <w:r w:rsidRPr="00500878">
              <w:rPr>
                <w:szCs w:val="22"/>
              </w:rPr>
              <w:t>11/16/2023</w:t>
            </w:r>
          </w:p>
        </w:tc>
      </w:tr>
      <w:tr w14:paraId="28996BEC" w14:textId="77777777" w:rsidTr="00DD18F3">
        <w:tblPrEx>
          <w:tblW w:w="0" w:type="auto"/>
          <w:tblLayout w:type="fixed"/>
          <w:tblLook w:val="04A0"/>
        </w:tblPrEx>
        <w:tc>
          <w:tcPr>
            <w:tcW w:w="1234" w:type="dxa"/>
          </w:tcPr>
          <w:p w:rsidR="00CB3AA4" w:rsidRPr="00500878" w:rsidP="00DD18F3" w14:paraId="2D3E4B25" w14:textId="77777777">
            <w:pPr>
              <w:spacing w:after="120"/>
              <w:rPr>
                <w:b/>
                <w:bCs/>
                <w:szCs w:val="22"/>
              </w:rPr>
            </w:pPr>
            <w:r w:rsidRPr="00500878">
              <w:rPr>
                <w:b/>
                <w:bCs/>
                <w:szCs w:val="22"/>
              </w:rPr>
              <w:t>Liberty</w:t>
            </w:r>
            <w:r>
              <w:rPr>
                <w:rStyle w:val="FootnoteReference"/>
                <w:b/>
                <w:bCs/>
                <w:szCs w:val="22"/>
              </w:rPr>
              <w:footnoteReference w:id="20"/>
            </w:r>
          </w:p>
        </w:tc>
        <w:tc>
          <w:tcPr>
            <w:tcW w:w="1737" w:type="dxa"/>
          </w:tcPr>
          <w:p w:rsidR="00CB3AA4" w:rsidRPr="00500878" w:rsidP="00DD18F3" w14:paraId="49D58D34" w14:textId="77777777">
            <w:pPr>
              <w:spacing w:after="120"/>
              <w:rPr>
                <w:szCs w:val="22"/>
              </w:rPr>
            </w:pPr>
            <w:r w:rsidRPr="00500878">
              <w:rPr>
                <w:szCs w:val="22"/>
              </w:rPr>
              <w:t>1/30/2023 1/30/2024</w:t>
            </w:r>
          </w:p>
        </w:tc>
        <w:tc>
          <w:tcPr>
            <w:tcW w:w="1350" w:type="dxa"/>
          </w:tcPr>
          <w:p w:rsidR="00CB3AA4" w:rsidRPr="00500878" w:rsidP="00DD18F3" w14:paraId="2096D7AA" w14:textId="77777777">
            <w:pPr>
              <w:spacing w:after="120"/>
              <w:rPr>
                <w:szCs w:val="22"/>
              </w:rPr>
            </w:pPr>
            <w:r w:rsidRPr="00500878">
              <w:rPr>
                <w:szCs w:val="22"/>
              </w:rPr>
              <w:t>11/16/2023</w:t>
            </w:r>
          </w:p>
        </w:tc>
        <w:tc>
          <w:tcPr>
            <w:tcW w:w="1338" w:type="dxa"/>
          </w:tcPr>
          <w:p w:rsidR="00CB3AA4" w:rsidRPr="00500878" w:rsidP="00DD18F3" w14:paraId="55DC4B14" w14:textId="77777777">
            <w:pPr>
              <w:spacing w:after="120"/>
              <w:rPr>
                <w:szCs w:val="22"/>
              </w:rPr>
            </w:pPr>
            <w:r w:rsidRPr="00500878">
              <w:rPr>
                <w:szCs w:val="22"/>
              </w:rPr>
              <w:t>11/16/2023</w:t>
            </w:r>
          </w:p>
        </w:tc>
        <w:tc>
          <w:tcPr>
            <w:tcW w:w="1344" w:type="dxa"/>
          </w:tcPr>
          <w:p w:rsidR="00CB3AA4" w:rsidRPr="00500878" w:rsidP="00DD18F3" w14:paraId="7F39328D" w14:textId="77777777">
            <w:pPr>
              <w:rPr>
                <w:szCs w:val="22"/>
              </w:rPr>
            </w:pPr>
            <w:r w:rsidRPr="00500878">
              <w:rPr>
                <w:szCs w:val="22"/>
              </w:rPr>
              <w:t>11/16/2022</w:t>
            </w:r>
          </w:p>
          <w:p w:rsidR="00CB3AA4" w:rsidRPr="00500878" w:rsidP="00DD18F3" w14:paraId="505547D4" w14:textId="77777777">
            <w:pPr>
              <w:rPr>
                <w:szCs w:val="22"/>
              </w:rPr>
            </w:pPr>
            <w:r w:rsidRPr="00500878">
              <w:rPr>
                <w:szCs w:val="22"/>
              </w:rPr>
              <w:t>1/30/2023</w:t>
            </w:r>
          </w:p>
          <w:p w:rsidR="00CB3AA4" w:rsidRPr="00500878" w:rsidP="00DD18F3" w14:paraId="72B16C8D" w14:textId="77777777">
            <w:pPr>
              <w:rPr>
                <w:szCs w:val="22"/>
              </w:rPr>
            </w:pPr>
            <w:r w:rsidRPr="00500878">
              <w:rPr>
                <w:szCs w:val="22"/>
              </w:rPr>
              <w:t>1/30/2024</w:t>
            </w:r>
          </w:p>
        </w:tc>
        <w:tc>
          <w:tcPr>
            <w:tcW w:w="1722" w:type="dxa"/>
          </w:tcPr>
          <w:p w:rsidR="00CB3AA4" w:rsidRPr="00500878" w:rsidP="00DD18F3" w14:paraId="1B9E4394" w14:textId="77777777">
            <w:pPr>
              <w:rPr>
                <w:szCs w:val="22"/>
              </w:rPr>
            </w:pPr>
            <w:r w:rsidRPr="00500878">
              <w:rPr>
                <w:szCs w:val="22"/>
              </w:rPr>
              <w:t>11/16/2022</w:t>
            </w:r>
            <w:r>
              <w:rPr>
                <w:rStyle w:val="FootnoteReference"/>
                <w:szCs w:val="22"/>
              </w:rPr>
              <w:footnoteReference w:id="21"/>
            </w:r>
          </w:p>
          <w:p w:rsidR="00CB3AA4" w:rsidRPr="00500878" w:rsidP="00DD18F3" w14:paraId="21933D0A" w14:textId="77777777">
            <w:pPr>
              <w:rPr>
                <w:szCs w:val="22"/>
              </w:rPr>
            </w:pPr>
            <w:r w:rsidRPr="00500878">
              <w:rPr>
                <w:szCs w:val="22"/>
              </w:rPr>
              <w:t>11/16/2023</w:t>
            </w:r>
          </w:p>
        </w:tc>
      </w:tr>
      <w:tr w14:paraId="19EB029F" w14:textId="77777777" w:rsidTr="00DD18F3">
        <w:tblPrEx>
          <w:tblW w:w="0" w:type="auto"/>
          <w:tblLayout w:type="fixed"/>
          <w:tblLook w:val="04A0"/>
        </w:tblPrEx>
        <w:tc>
          <w:tcPr>
            <w:tcW w:w="1234" w:type="dxa"/>
          </w:tcPr>
          <w:p w:rsidR="00CB3AA4" w:rsidRPr="00500878" w:rsidP="00DD18F3" w14:paraId="20CDF48F" w14:textId="77777777">
            <w:pPr>
              <w:spacing w:after="120"/>
              <w:rPr>
                <w:b/>
                <w:bCs/>
                <w:szCs w:val="22"/>
              </w:rPr>
            </w:pPr>
            <w:r w:rsidRPr="00500878">
              <w:rPr>
                <w:b/>
                <w:bCs/>
                <w:szCs w:val="22"/>
              </w:rPr>
              <w:t>T-Mobile</w:t>
            </w:r>
          </w:p>
        </w:tc>
        <w:tc>
          <w:tcPr>
            <w:tcW w:w="1737" w:type="dxa"/>
          </w:tcPr>
          <w:p w:rsidR="00CB3AA4" w:rsidRPr="00500878" w:rsidP="00DD18F3" w14:paraId="182BD1CA" w14:textId="77777777">
            <w:pPr>
              <w:spacing w:after="120"/>
              <w:rPr>
                <w:szCs w:val="22"/>
              </w:rPr>
            </w:pPr>
            <w:r w:rsidRPr="00500878">
              <w:rPr>
                <w:szCs w:val="22"/>
              </w:rPr>
              <w:t>1/30/2023 1/30/2024</w:t>
            </w:r>
          </w:p>
        </w:tc>
        <w:tc>
          <w:tcPr>
            <w:tcW w:w="1350" w:type="dxa"/>
          </w:tcPr>
          <w:p w:rsidR="00CB3AA4" w:rsidRPr="00500878" w:rsidP="00DD18F3" w14:paraId="641C02EE" w14:textId="77777777">
            <w:pPr>
              <w:spacing w:after="120"/>
              <w:rPr>
                <w:szCs w:val="22"/>
              </w:rPr>
            </w:pPr>
            <w:r w:rsidRPr="00500878">
              <w:rPr>
                <w:szCs w:val="22"/>
              </w:rPr>
              <w:t>11/16/2023</w:t>
            </w:r>
          </w:p>
        </w:tc>
        <w:tc>
          <w:tcPr>
            <w:tcW w:w="1338" w:type="dxa"/>
          </w:tcPr>
          <w:p w:rsidR="00CB3AA4" w:rsidRPr="00500878" w:rsidP="00DD18F3" w14:paraId="21A9486B" w14:textId="77777777">
            <w:pPr>
              <w:spacing w:after="120"/>
              <w:rPr>
                <w:szCs w:val="22"/>
              </w:rPr>
            </w:pPr>
            <w:r w:rsidRPr="00500878">
              <w:rPr>
                <w:szCs w:val="22"/>
              </w:rPr>
              <w:t>11/16/2023</w:t>
            </w:r>
          </w:p>
        </w:tc>
        <w:tc>
          <w:tcPr>
            <w:tcW w:w="1344" w:type="dxa"/>
          </w:tcPr>
          <w:p w:rsidR="00CB3AA4" w:rsidRPr="00500878" w:rsidP="00DD18F3" w14:paraId="764BF02F" w14:textId="77777777">
            <w:pPr>
              <w:rPr>
                <w:szCs w:val="22"/>
              </w:rPr>
            </w:pPr>
            <w:r w:rsidRPr="00500878">
              <w:rPr>
                <w:szCs w:val="22"/>
              </w:rPr>
              <w:t>11/16/2022</w:t>
            </w:r>
          </w:p>
          <w:p w:rsidR="00CB3AA4" w:rsidRPr="00500878" w:rsidP="00DD18F3" w14:paraId="5A4A2792" w14:textId="77777777">
            <w:pPr>
              <w:rPr>
                <w:szCs w:val="22"/>
              </w:rPr>
            </w:pPr>
            <w:r w:rsidRPr="00500878">
              <w:rPr>
                <w:szCs w:val="22"/>
              </w:rPr>
              <w:t>1/30/2023</w:t>
            </w:r>
          </w:p>
          <w:p w:rsidR="00CB3AA4" w:rsidRPr="00500878" w:rsidP="00DD18F3" w14:paraId="69DCE67A" w14:textId="77777777">
            <w:pPr>
              <w:rPr>
                <w:szCs w:val="22"/>
              </w:rPr>
            </w:pPr>
            <w:r w:rsidRPr="00500878">
              <w:rPr>
                <w:szCs w:val="22"/>
              </w:rPr>
              <w:t>1/30/2024</w:t>
            </w:r>
          </w:p>
        </w:tc>
        <w:tc>
          <w:tcPr>
            <w:tcW w:w="1722" w:type="dxa"/>
          </w:tcPr>
          <w:p w:rsidR="00CB3AA4" w:rsidRPr="00500878" w:rsidP="00DD18F3" w14:paraId="5A82B960" w14:textId="77777777">
            <w:pPr>
              <w:rPr>
                <w:szCs w:val="22"/>
              </w:rPr>
            </w:pPr>
            <w:r w:rsidRPr="00500878">
              <w:rPr>
                <w:szCs w:val="22"/>
              </w:rPr>
              <w:t>11/16/2022</w:t>
            </w:r>
            <w:r>
              <w:rPr>
                <w:rStyle w:val="FootnoteReference"/>
                <w:szCs w:val="22"/>
              </w:rPr>
              <w:footnoteReference w:id="22"/>
            </w:r>
          </w:p>
          <w:p w:rsidR="00CB3AA4" w:rsidRPr="00500878" w:rsidP="00DD18F3" w14:paraId="640E76A8" w14:textId="77777777">
            <w:pPr>
              <w:rPr>
                <w:szCs w:val="22"/>
              </w:rPr>
            </w:pPr>
            <w:r w:rsidRPr="00500878">
              <w:rPr>
                <w:szCs w:val="22"/>
              </w:rPr>
              <w:t>11/16/2023</w:t>
            </w:r>
          </w:p>
        </w:tc>
      </w:tr>
      <w:tr w14:paraId="0D43DEBE" w14:textId="77777777" w:rsidTr="00DD18F3">
        <w:tblPrEx>
          <w:tblW w:w="0" w:type="auto"/>
          <w:tblLayout w:type="fixed"/>
          <w:tblLook w:val="04A0"/>
        </w:tblPrEx>
        <w:tc>
          <w:tcPr>
            <w:tcW w:w="1234" w:type="dxa"/>
          </w:tcPr>
          <w:p w:rsidR="00CB3AA4" w:rsidRPr="00500878" w:rsidP="00DD18F3" w14:paraId="67D03D57" w14:textId="77777777">
            <w:pPr>
              <w:spacing w:after="120"/>
              <w:rPr>
                <w:b/>
                <w:bCs/>
                <w:szCs w:val="22"/>
              </w:rPr>
            </w:pPr>
            <w:r w:rsidRPr="00500878">
              <w:rPr>
                <w:b/>
                <w:bCs/>
                <w:szCs w:val="22"/>
              </w:rPr>
              <w:t>Viya</w:t>
            </w:r>
            <w:r>
              <w:rPr>
                <w:rStyle w:val="FootnoteReference"/>
                <w:b/>
                <w:bCs/>
                <w:szCs w:val="22"/>
              </w:rPr>
              <w:footnoteReference w:id="23"/>
            </w:r>
          </w:p>
        </w:tc>
        <w:tc>
          <w:tcPr>
            <w:tcW w:w="1737" w:type="dxa"/>
          </w:tcPr>
          <w:p w:rsidR="00CB3AA4" w:rsidRPr="00500878" w:rsidP="00DD18F3" w14:paraId="3ACE198F" w14:textId="77777777">
            <w:pPr>
              <w:spacing w:after="120"/>
              <w:rPr>
                <w:szCs w:val="22"/>
              </w:rPr>
            </w:pPr>
            <w:r w:rsidRPr="00500878">
              <w:rPr>
                <w:szCs w:val="22"/>
              </w:rPr>
              <w:t>1/30/2023 1/30/2024</w:t>
            </w:r>
          </w:p>
        </w:tc>
        <w:tc>
          <w:tcPr>
            <w:tcW w:w="1350" w:type="dxa"/>
          </w:tcPr>
          <w:p w:rsidR="00CB3AA4" w:rsidRPr="00500878" w:rsidP="00DD18F3" w14:paraId="0FB74C75" w14:textId="77777777">
            <w:pPr>
              <w:spacing w:after="120"/>
              <w:rPr>
                <w:szCs w:val="22"/>
              </w:rPr>
            </w:pPr>
            <w:r w:rsidRPr="00500878">
              <w:rPr>
                <w:szCs w:val="22"/>
              </w:rPr>
              <w:t>11/16/2023</w:t>
            </w:r>
          </w:p>
        </w:tc>
        <w:tc>
          <w:tcPr>
            <w:tcW w:w="1338" w:type="dxa"/>
          </w:tcPr>
          <w:p w:rsidR="00CB3AA4" w:rsidRPr="00500878" w:rsidP="00DD18F3" w14:paraId="05FCDF40" w14:textId="77777777">
            <w:pPr>
              <w:spacing w:after="120"/>
              <w:rPr>
                <w:szCs w:val="22"/>
              </w:rPr>
            </w:pPr>
            <w:r w:rsidRPr="00500878">
              <w:rPr>
                <w:szCs w:val="22"/>
              </w:rPr>
              <w:t>11/16/2023</w:t>
            </w:r>
          </w:p>
        </w:tc>
        <w:tc>
          <w:tcPr>
            <w:tcW w:w="1344" w:type="dxa"/>
          </w:tcPr>
          <w:p w:rsidR="00CB3AA4" w:rsidRPr="00500878" w:rsidP="00DD18F3" w14:paraId="510D5D4F" w14:textId="77777777">
            <w:pPr>
              <w:rPr>
                <w:szCs w:val="22"/>
              </w:rPr>
            </w:pPr>
            <w:r w:rsidRPr="00500878">
              <w:rPr>
                <w:szCs w:val="22"/>
              </w:rPr>
              <w:t>11/16/2022</w:t>
            </w:r>
          </w:p>
          <w:p w:rsidR="00CB3AA4" w:rsidRPr="00500878" w:rsidP="00DD18F3" w14:paraId="08C18F59" w14:textId="77777777">
            <w:pPr>
              <w:rPr>
                <w:szCs w:val="22"/>
              </w:rPr>
            </w:pPr>
            <w:r w:rsidRPr="00500878">
              <w:rPr>
                <w:szCs w:val="22"/>
              </w:rPr>
              <w:t>1/30/2023</w:t>
            </w:r>
          </w:p>
          <w:p w:rsidR="00CB3AA4" w:rsidRPr="00500878" w:rsidP="00DD18F3" w14:paraId="04A4EF2D" w14:textId="77777777">
            <w:pPr>
              <w:rPr>
                <w:szCs w:val="22"/>
              </w:rPr>
            </w:pPr>
            <w:r w:rsidRPr="00500878">
              <w:rPr>
                <w:szCs w:val="22"/>
              </w:rPr>
              <w:t>1/30/2024</w:t>
            </w:r>
          </w:p>
        </w:tc>
        <w:tc>
          <w:tcPr>
            <w:tcW w:w="1722" w:type="dxa"/>
          </w:tcPr>
          <w:p w:rsidR="00CB3AA4" w:rsidRPr="00500878" w:rsidP="00DD18F3" w14:paraId="46783A69" w14:textId="77777777">
            <w:pPr>
              <w:rPr>
                <w:szCs w:val="22"/>
              </w:rPr>
            </w:pPr>
            <w:r w:rsidRPr="00500878">
              <w:rPr>
                <w:szCs w:val="22"/>
              </w:rPr>
              <w:t>11/16/2022</w:t>
            </w:r>
            <w:r>
              <w:rPr>
                <w:rStyle w:val="FootnoteReference"/>
                <w:szCs w:val="22"/>
              </w:rPr>
              <w:footnoteReference w:id="24"/>
            </w:r>
          </w:p>
          <w:p w:rsidR="00CB3AA4" w:rsidP="00DD18F3" w14:paraId="0D65964E" w14:textId="77777777">
            <w:pPr>
              <w:rPr>
                <w:szCs w:val="22"/>
              </w:rPr>
            </w:pPr>
            <w:r w:rsidRPr="00500878">
              <w:rPr>
                <w:szCs w:val="22"/>
              </w:rPr>
              <w:t>11/16/2023</w:t>
            </w:r>
          </w:p>
        </w:tc>
      </w:tr>
    </w:tbl>
    <w:p w:rsidR="00F96F63" w:rsidRPr="00930ECF" w:rsidP="00F96F63" w14:paraId="29282E00" w14:textId="77777777">
      <w:pPr>
        <w:rPr>
          <w:sz w:val="24"/>
        </w:rPr>
      </w:pPr>
      <w:bookmarkStart w:id="0" w:name="TOChere"/>
    </w:p>
    <w:bookmarkEnd w:id="0"/>
    <w:p w:rsidR="00F96F63" w:rsidP="00F96F63" w14:paraId="05796F53" w14:textId="77777777">
      <w:pPr>
        <w:rPr>
          <w:sz w:val="24"/>
        </w:rPr>
      </w:pPr>
    </w:p>
    <w:p w:rsidR="00930ECF" w:rsidRPr="00930ECF" w:rsidP="00F96F63" w14:paraId="1EB074E8"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D4FA59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38FBAD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C6957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D383C7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5ABA" w14:paraId="7281B322" w14:textId="77777777">
      <w:r>
        <w:separator/>
      </w:r>
    </w:p>
  </w:footnote>
  <w:footnote w:type="continuationSeparator" w:id="1">
    <w:p w:rsidR="00155ABA" w14:paraId="5325203B" w14:textId="77777777">
      <w:pPr>
        <w:rPr>
          <w:sz w:val="20"/>
        </w:rPr>
      </w:pPr>
      <w:r>
        <w:rPr>
          <w:sz w:val="20"/>
        </w:rPr>
        <w:t xml:space="preserve">(Continued from previous page)  </w:t>
      </w:r>
      <w:r>
        <w:rPr>
          <w:sz w:val="20"/>
        </w:rPr>
        <w:separator/>
      </w:r>
    </w:p>
  </w:footnote>
  <w:footnote w:type="continuationNotice" w:id="2">
    <w:p w:rsidR="00155ABA" w:rsidP="00910F12" w14:paraId="3BA5B4DC" w14:textId="77777777">
      <w:pPr>
        <w:jc w:val="right"/>
        <w:rPr>
          <w:sz w:val="20"/>
        </w:rPr>
      </w:pPr>
      <w:r>
        <w:rPr>
          <w:sz w:val="20"/>
        </w:rPr>
        <w:t>(continued….)</w:t>
      </w:r>
    </w:p>
  </w:footnote>
  <w:footnote w:id="3">
    <w:p w:rsidR="00CB3AA4" w:rsidP="00CB3AA4" w14:paraId="56D7DB61" w14:textId="77777777">
      <w:pPr>
        <w:pStyle w:val="FootnoteText"/>
      </w:pPr>
      <w:r>
        <w:rPr>
          <w:rStyle w:val="FootnoteReference"/>
        </w:rPr>
        <w:footnoteRef/>
      </w:r>
      <w:r>
        <w:t xml:space="preserve"> 47 CFR § 54.1514 (Stage 2 mobile additional annual filing).</w:t>
      </w:r>
    </w:p>
  </w:footnote>
  <w:footnote w:id="4">
    <w:p w:rsidR="00CB3AA4" w:rsidRPr="001956D9" w:rsidP="00CB3AA4" w14:paraId="32080B8E" w14:textId="77777777">
      <w:pPr>
        <w:pStyle w:val="FootnoteText"/>
      </w:pPr>
      <w:r w:rsidRPr="001956D9">
        <w:rPr>
          <w:rStyle w:val="FootnoteReference"/>
        </w:rPr>
        <w:footnoteRef/>
      </w:r>
      <w:r w:rsidRPr="001956D9">
        <w:t xml:space="preserve"> </w:t>
      </w:r>
      <w:r w:rsidRPr="00C94739">
        <w:rPr>
          <w:i/>
          <w:iCs/>
        </w:rPr>
        <w:t>The Uniendo a Puerto Rico Fund and the Connect USVI Fund</w:t>
      </w:r>
      <w:r w:rsidRPr="00C94739">
        <w:t>, Order, 34 FCC Rcd 9109, 916</w:t>
      </w:r>
      <w:r>
        <w:t>3</w:t>
      </w:r>
      <w:r w:rsidRPr="00C94739">
        <w:t>, para. 10</w:t>
      </w:r>
      <w:r>
        <w:t>2</w:t>
      </w:r>
      <w:r w:rsidRPr="00C94739">
        <w:t xml:space="preserve"> (2019) (</w:t>
      </w:r>
      <w:r w:rsidRPr="00C94739">
        <w:rPr>
          <w:i/>
        </w:rPr>
        <w:t>PR-USVI Stage 2 Order</w:t>
      </w:r>
      <w:r w:rsidRPr="00C94739">
        <w:t>).</w:t>
      </w:r>
    </w:p>
  </w:footnote>
  <w:footnote w:id="5">
    <w:p w:rsidR="00CB3AA4" w:rsidP="00CB3AA4" w14:paraId="79B00EF7" w14:textId="2D7873B0">
      <w:pPr>
        <w:pStyle w:val="FootnoteText"/>
      </w:pPr>
      <w:r>
        <w:rPr>
          <w:rStyle w:val="FootnoteReference"/>
        </w:rPr>
        <w:footnoteRef/>
      </w:r>
      <w:r>
        <w:t xml:space="preserve"> </w:t>
      </w:r>
      <w:r w:rsidRPr="00C94739">
        <w:rPr>
          <w:i/>
          <w:iCs/>
        </w:rPr>
        <w:t xml:space="preserve">Wireline Competition Bureau Authorizes Stage 2 Mobile Support for </w:t>
      </w:r>
      <w:r>
        <w:rPr>
          <w:i/>
          <w:iCs/>
        </w:rPr>
        <w:t>Viya in the U.S. Virgin Islands</w:t>
      </w:r>
      <w:r w:rsidRPr="0011362A">
        <w:t xml:space="preserve">, </w:t>
      </w:r>
      <w:r>
        <w:t xml:space="preserve">35 FCC Rcd 11555 </w:t>
      </w:r>
      <w:r w:rsidRPr="0011362A">
        <w:t>(</w:t>
      </w:r>
      <w:r w:rsidR="00531044">
        <w:t>WCB</w:t>
      </w:r>
      <w:r w:rsidRPr="0011362A">
        <w:t xml:space="preserve"> </w:t>
      </w:r>
      <w:r w:rsidR="00AD06C8">
        <w:t xml:space="preserve">Oct. </w:t>
      </w:r>
      <w:r w:rsidRPr="0011362A">
        <w:t>2020)</w:t>
      </w:r>
      <w:r>
        <w:rPr>
          <w:i/>
          <w:iCs/>
        </w:rPr>
        <w:t xml:space="preserve">; </w:t>
      </w:r>
      <w:r w:rsidRPr="00C94739">
        <w:rPr>
          <w:i/>
          <w:iCs/>
        </w:rPr>
        <w:t>Wireline Competition Bureau Authorizes Stage 2 Mobile Support for Certain Providers Participating in the Uniendo a Puerto Rico Fund and the Connect USVI Fund</w:t>
      </w:r>
      <w:r w:rsidRPr="00C94739">
        <w:t>, Public Notice, 35 FCC Rcd 6321</w:t>
      </w:r>
      <w:r>
        <w:t xml:space="preserve"> </w:t>
      </w:r>
      <w:r w:rsidRPr="00C94739">
        <w:t>(</w:t>
      </w:r>
      <w:r w:rsidR="00531044">
        <w:t>WCB</w:t>
      </w:r>
      <w:r>
        <w:t xml:space="preserve"> June </w:t>
      </w:r>
      <w:r w:rsidRPr="00C94739">
        <w:t>2020)</w:t>
      </w:r>
      <w:r>
        <w:t xml:space="preserve"> (</w:t>
      </w:r>
      <w:r w:rsidRPr="000D7E7E">
        <w:rPr>
          <w:i/>
          <w:iCs/>
        </w:rPr>
        <w:t>2020</w:t>
      </w:r>
      <w:r>
        <w:t xml:space="preserve"> </w:t>
      </w:r>
      <w:r w:rsidRPr="000D7E7E">
        <w:rPr>
          <w:i/>
          <w:iCs/>
        </w:rPr>
        <w:t>June Authorization</w:t>
      </w:r>
      <w:r>
        <w:t xml:space="preserve">) (authorizing AT&amp;T, PRTC, and T-Mobile in Puerto Rico and AT&amp;T in USVI); </w:t>
      </w:r>
      <w:r w:rsidRPr="00FA072C">
        <w:rPr>
          <w:i/>
          <w:iCs/>
        </w:rPr>
        <w:t>Wireline Competition Bureau Authorizes Stage 2 Mobile Support for T-Mobile in Puerto Rico</w:t>
      </w:r>
      <w:r>
        <w:t>, Public Notice, 35 FCC Rcd 10303 (</w:t>
      </w:r>
      <w:r w:rsidR="00531044">
        <w:t xml:space="preserve">WCB </w:t>
      </w:r>
      <w:r>
        <w:t xml:space="preserve">Sept. 2020) (collectively </w:t>
      </w:r>
      <w:r>
        <w:rPr>
          <w:i/>
          <w:iCs/>
        </w:rPr>
        <w:t>t</w:t>
      </w:r>
      <w:r w:rsidRPr="00FD0C71">
        <w:rPr>
          <w:i/>
          <w:iCs/>
        </w:rPr>
        <w:t>he Authorizations</w:t>
      </w:r>
      <w:r>
        <w:t>)</w:t>
      </w:r>
      <w:r w:rsidRPr="00C94739">
        <w:t xml:space="preserve">.  </w:t>
      </w:r>
    </w:p>
  </w:footnote>
  <w:footnote w:id="6">
    <w:p w:rsidR="00CB3AA4" w:rsidP="00CB3AA4" w14:paraId="723B0566" w14:textId="5A15DC2A">
      <w:pPr>
        <w:pStyle w:val="FootnoteText"/>
      </w:pPr>
      <w:r>
        <w:rPr>
          <w:rStyle w:val="FootnoteReference"/>
        </w:rPr>
        <w:footnoteRef/>
      </w:r>
      <w:r>
        <w:t xml:space="preserve"> </w:t>
      </w:r>
      <w:r w:rsidR="00531044">
        <w:rPr>
          <w:i/>
          <w:iCs/>
        </w:rPr>
        <w:t xml:space="preserve">Supra </w:t>
      </w:r>
      <w:r w:rsidRPr="00DD18F3" w:rsidR="00531044">
        <w:t xml:space="preserve">note </w:t>
      </w:r>
      <w:r w:rsidR="00531044">
        <w:t>3</w:t>
      </w:r>
      <w:r w:rsidRPr="00DD18F3" w:rsidR="00531044">
        <w:t>;</w:t>
      </w:r>
      <w:r w:rsidR="00531044">
        <w:t xml:space="preserve"> </w:t>
      </w:r>
      <w:r w:rsidR="00531044">
        <w:rPr>
          <w:i/>
          <w:iCs/>
        </w:rPr>
        <w:t>s</w:t>
      </w:r>
      <w:r w:rsidRPr="00164737" w:rsidR="00531044">
        <w:rPr>
          <w:i/>
          <w:iCs/>
        </w:rPr>
        <w:t>ee</w:t>
      </w:r>
      <w:r>
        <w:t xml:space="preserve"> </w:t>
      </w:r>
      <w:r w:rsidRPr="00164737">
        <w:rPr>
          <w:i/>
          <w:iCs/>
        </w:rPr>
        <w:t>also PR-USVI Stage 2 Order</w:t>
      </w:r>
      <w:r>
        <w:t>, 34 FCC Rcd at 9172-75, paras. 126-32.</w:t>
      </w:r>
    </w:p>
  </w:footnote>
  <w:footnote w:id="7">
    <w:p w:rsidR="00CB3AA4" w:rsidP="00CB3AA4" w14:paraId="5D4B1B01" w14:textId="1B16A13E">
      <w:pPr>
        <w:pStyle w:val="FootnoteText"/>
      </w:pPr>
      <w:r w:rsidRPr="00500878">
        <w:rPr>
          <w:rStyle w:val="FootnoteReference"/>
        </w:rPr>
        <w:footnoteRef/>
      </w:r>
      <w:r w:rsidRPr="00500878">
        <w:t xml:space="preserve"> </w:t>
      </w:r>
      <w:r w:rsidRPr="00500878">
        <w:rPr>
          <w:i/>
          <w:iCs/>
        </w:rPr>
        <w:t>See Connect America Fund</w:t>
      </w:r>
      <w:r w:rsidRPr="00500878">
        <w:t>, Effective Date Notice, WC Docket Nos. 10-90, 87 F</w:t>
      </w:r>
      <w:r>
        <w:t xml:space="preserve">ed. </w:t>
      </w:r>
      <w:r w:rsidRPr="00500878">
        <w:t>R</w:t>
      </w:r>
      <w:r>
        <w:t>eg.</w:t>
      </w:r>
      <w:r w:rsidRPr="00500878">
        <w:t xml:space="preserve"> 9453 (Feb</w:t>
      </w:r>
      <w:r>
        <w:t>.</w:t>
      </w:r>
      <w:r w:rsidRPr="00500878">
        <w:t xml:space="preserve"> 22, 2022) (</w:t>
      </w:r>
      <w:r w:rsidRPr="00500878">
        <w:rPr>
          <w:i/>
          <w:iCs/>
        </w:rPr>
        <w:t>Effective</w:t>
      </w:r>
      <w:r w:rsidRPr="00500878">
        <w:t xml:space="preserve"> </w:t>
      </w:r>
      <w:r w:rsidRPr="00500878">
        <w:rPr>
          <w:i/>
          <w:iCs/>
        </w:rPr>
        <w:t>Date</w:t>
      </w:r>
      <w:r w:rsidRPr="00500878">
        <w:t xml:space="preserve"> </w:t>
      </w:r>
      <w:r w:rsidRPr="00500878">
        <w:rPr>
          <w:i/>
          <w:iCs/>
        </w:rPr>
        <w:t>Notice</w:t>
      </w:r>
      <w:r w:rsidRPr="00500878">
        <w:t>).</w:t>
      </w:r>
      <w:r>
        <w:t xml:space="preserve">  </w:t>
      </w:r>
    </w:p>
  </w:footnote>
  <w:footnote w:id="8">
    <w:p w:rsidR="00CB3AA4" w:rsidP="00CB3AA4" w14:paraId="2557E66F" w14:textId="77777777">
      <w:pPr>
        <w:pStyle w:val="FootnoteText"/>
      </w:pPr>
      <w:r>
        <w:rPr>
          <w:rStyle w:val="FootnoteReference"/>
        </w:rPr>
        <w:footnoteRef/>
      </w:r>
      <w:r>
        <w:t xml:space="preserve"> </w:t>
      </w:r>
      <w:r w:rsidRPr="000C3876">
        <w:rPr>
          <w:i/>
          <w:iCs/>
        </w:rPr>
        <w:t>See</w:t>
      </w:r>
      <w:r>
        <w:t xml:space="preserve"> 47 CFR § 54.1514(d),(e).  For example, for carriers authorized in the </w:t>
      </w:r>
      <w:r w:rsidRPr="000D7E7E">
        <w:rPr>
          <w:i/>
          <w:iCs/>
        </w:rPr>
        <w:t>2020</w:t>
      </w:r>
      <w:r>
        <w:t xml:space="preserve"> </w:t>
      </w:r>
      <w:r w:rsidRPr="000D7E7E">
        <w:rPr>
          <w:i/>
          <w:iCs/>
        </w:rPr>
        <w:t>June Authorization</w:t>
      </w:r>
      <w:r>
        <w:t>, the effective date notice was released after the first deadline dates associated with section 54.1514(e), which was July 15, 2021.  For T-Mobile the first 54.1514(e) deadline was Oct. 15, 2021 and for Viya it was Nov. 16, 2021.</w:t>
      </w:r>
    </w:p>
  </w:footnote>
  <w:footnote w:id="9">
    <w:p w:rsidR="00CB3AA4" w:rsidP="00CB3AA4" w14:paraId="382FE779" w14:textId="77777777">
      <w:pPr>
        <w:pStyle w:val="FootnoteText"/>
      </w:pPr>
      <w:r>
        <w:rPr>
          <w:rStyle w:val="FootnoteReference"/>
        </w:rPr>
        <w:footnoteRef/>
      </w:r>
      <w:r>
        <w:t xml:space="preserve"> </w:t>
      </w:r>
      <w:r w:rsidRPr="007F4A5D">
        <w:t>47 CFR § 1.3</w:t>
      </w:r>
      <w:r>
        <w:t>.</w:t>
      </w:r>
    </w:p>
  </w:footnote>
  <w:footnote w:id="10">
    <w:p w:rsidR="00CB3AA4" w:rsidRPr="008C2A06" w:rsidP="00CB3AA4" w14:paraId="20CFDACF" w14:textId="77777777">
      <w:pPr>
        <w:pStyle w:val="FootnoteText"/>
      </w:pPr>
      <w:r w:rsidRPr="008C2A06">
        <w:rPr>
          <w:rStyle w:val="FootnoteReference"/>
        </w:rPr>
        <w:footnoteRef/>
      </w:r>
      <w:r w:rsidRPr="008C2A06">
        <w:t xml:space="preserve"> </w:t>
      </w:r>
      <w:r w:rsidRPr="008C2A06">
        <w:rPr>
          <w:i/>
        </w:rPr>
        <w:t>See Northeast Cellular Tel. Co. v. FCC</w:t>
      </w:r>
      <w:r w:rsidRPr="008C2A06">
        <w:t xml:space="preserve">, 897 F.2d 1164, 1166 (D.C. Cir. 1990) (citing </w:t>
      </w:r>
      <w:r w:rsidRPr="008C2A06">
        <w:rPr>
          <w:i/>
        </w:rPr>
        <w:t>WAIT Radio v. FCC</w:t>
      </w:r>
      <w:r w:rsidRPr="008C2A06">
        <w:t xml:space="preserve">, 418 F.2d 1153, 1157-59 (D.C. Cir. 1969), </w:t>
      </w:r>
      <w:r w:rsidRPr="008C2A06">
        <w:rPr>
          <w:i/>
        </w:rPr>
        <w:t>cert. denied</w:t>
      </w:r>
      <w:r>
        <w:t>, 93 S.Ct. 461 (1972)) (</w:t>
      </w:r>
      <w:r w:rsidRPr="00691864">
        <w:rPr>
          <w:i/>
        </w:rPr>
        <w:t>Northeast Cellular</w:t>
      </w:r>
      <w:r>
        <w:t>).</w:t>
      </w:r>
      <w:r w:rsidRPr="008C2A06">
        <w:rPr>
          <w:i/>
        </w:rPr>
        <w:t xml:space="preserve"> </w:t>
      </w:r>
    </w:p>
  </w:footnote>
  <w:footnote w:id="11">
    <w:p w:rsidR="00CB3AA4" w:rsidP="00CB3AA4" w14:paraId="610A0679" w14:textId="77777777">
      <w:pPr>
        <w:pStyle w:val="FootnoteText"/>
      </w:pPr>
      <w:r>
        <w:rPr>
          <w:rStyle w:val="FootnoteReference"/>
        </w:rPr>
        <w:footnoteRef/>
      </w:r>
      <w:r>
        <w:t xml:space="preserve"> </w:t>
      </w:r>
      <w:r w:rsidRPr="006D1CDA">
        <w:rPr>
          <w:i/>
          <w:iCs/>
        </w:rPr>
        <w:t>See</w:t>
      </w:r>
      <w:r>
        <w:t xml:space="preserve"> </w:t>
      </w:r>
      <w:r w:rsidRPr="006D1CDA">
        <w:rPr>
          <w:i/>
          <w:iCs/>
        </w:rPr>
        <w:t>id</w:t>
      </w:r>
      <w:r>
        <w:t xml:space="preserve">. </w:t>
      </w:r>
    </w:p>
  </w:footnote>
  <w:footnote w:id="12">
    <w:p w:rsidR="00CB3AA4" w:rsidP="00CB3AA4" w14:paraId="58A7308A" w14:textId="77777777">
      <w:pPr>
        <w:pStyle w:val="FootnoteText"/>
      </w:pPr>
      <w:r>
        <w:rPr>
          <w:rStyle w:val="FootnoteReference"/>
        </w:rPr>
        <w:footnoteRef/>
      </w:r>
      <w:r>
        <w:t xml:space="preserve"> </w:t>
      </w:r>
      <w:r w:rsidRPr="001B3F46">
        <w:rPr>
          <w:i/>
          <w:iCs/>
        </w:rPr>
        <w:t>See</w:t>
      </w:r>
      <w:r>
        <w:t xml:space="preserve"> </w:t>
      </w:r>
      <w:r w:rsidRPr="006B0E95">
        <w:rPr>
          <w:i/>
          <w:iCs/>
        </w:rPr>
        <w:t>also</w:t>
      </w:r>
      <w:r>
        <w:t xml:space="preserve"> 47 C.F.R § 54.1514 (a)-(e).</w:t>
      </w:r>
    </w:p>
  </w:footnote>
  <w:footnote w:id="13">
    <w:p w:rsidR="00CB3AA4" w:rsidP="00CB3AA4" w14:paraId="20FDFD25" w14:textId="77777777">
      <w:pPr>
        <w:pStyle w:val="FootnoteText"/>
      </w:pPr>
      <w:r>
        <w:rPr>
          <w:rStyle w:val="FootnoteReference"/>
        </w:rPr>
        <w:footnoteRef/>
      </w:r>
      <w:r>
        <w:t xml:space="preserve"> </w:t>
      </w:r>
      <w:r w:rsidRPr="00335215">
        <w:rPr>
          <w:i/>
          <w:iCs/>
        </w:rPr>
        <w:t>See</w:t>
      </w:r>
      <w:r>
        <w:t xml:space="preserve"> 47 C.F.R. § 54.1514(f); </w:t>
      </w:r>
      <w:r w:rsidRPr="004E5F7E">
        <w:rPr>
          <w:i/>
          <w:iCs/>
        </w:rPr>
        <w:t>see also</w:t>
      </w:r>
      <w:r>
        <w:t xml:space="preserve"> </w:t>
      </w:r>
      <w:r w:rsidRPr="00853A59">
        <w:rPr>
          <w:i/>
          <w:iCs/>
        </w:rPr>
        <w:t>Effective Date Notice</w:t>
      </w:r>
      <w:r>
        <w:t xml:space="preserve"> at 9454.  Except for reports filed pursuant to section 54.1514(a) as explained below. </w:t>
      </w:r>
      <w:r w:rsidRPr="00853A59">
        <w:rPr>
          <w:i/>
          <w:iCs/>
        </w:rPr>
        <w:t>See infra</w:t>
      </w:r>
      <w:r>
        <w:t xml:space="preserve"> note 15.</w:t>
      </w:r>
    </w:p>
  </w:footnote>
  <w:footnote w:id="14">
    <w:p w:rsidR="00CB3AA4" w:rsidP="00CB3AA4" w14:paraId="4AE53434" w14:textId="77777777">
      <w:pPr>
        <w:pStyle w:val="FootnoteText"/>
      </w:pPr>
      <w:r>
        <w:rPr>
          <w:rStyle w:val="FootnoteReference"/>
        </w:rPr>
        <w:footnoteRef/>
      </w:r>
      <w:r>
        <w:t xml:space="preserve"> </w:t>
      </w:r>
      <w:r w:rsidRPr="00335215">
        <w:rPr>
          <w:i/>
          <w:iCs/>
        </w:rPr>
        <w:t>See</w:t>
      </w:r>
      <w:r>
        <w:t xml:space="preserve"> 47 C.F.R. § 54.1514(g).</w:t>
      </w:r>
    </w:p>
  </w:footnote>
  <w:footnote w:id="15">
    <w:p w:rsidR="00CB3AA4" w:rsidP="00CB3AA4" w14:paraId="56109ED5" w14:textId="77777777">
      <w:pPr>
        <w:pStyle w:val="FootnoteText"/>
      </w:pPr>
      <w:r>
        <w:rPr>
          <w:rStyle w:val="FootnoteReference"/>
        </w:rPr>
        <w:footnoteRef/>
      </w:r>
      <w:r>
        <w:t xml:space="preserve"> </w:t>
      </w:r>
      <w:r w:rsidRPr="00335215">
        <w:rPr>
          <w:i/>
          <w:iCs/>
        </w:rPr>
        <w:t>See</w:t>
      </w:r>
      <w:r>
        <w:t xml:space="preserve"> 47 C.F.R § 54.1514(h).</w:t>
      </w:r>
    </w:p>
  </w:footnote>
  <w:footnote w:id="16">
    <w:p w:rsidR="00CB3AA4" w:rsidP="00CB3AA4" w14:paraId="56AA3974" w14:textId="77777777">
      <w:pPr>
        <w:pStyle w:val="FootnoteText"/>
      </w:pPr>
      <w:r>
        <w:rPr>
          <w:rStyle w:val="FootnoteReference"/>
        </w:rPr>
        <w:footnoteRef/>
      </w:r>
      <w:r>
        <w:t xml:space="preserve"> These reporting deadlines are unchanged and remain the same for all support recipients.</w:t>
      </w:r>
    </w:p>
  </w:footnote>
  <w:footnote w:id="17">
    <w:p w:rsidR="00CB3AA4" w:rsidP="00CB3AA4" w14:paraId="5B6AFC71" w14:textId="77777777">
      <w:pPr>
        <w:pStyle w:val="FootnoteText"/>
      </w:pPr>
      <w:r>
        <w:rPr>
          <w:rStyle w:val="FootnoteReference"/>
        </w:rPr>
        <w:footnoteRef/>
      </w:r>
      <w:r>
        <w:t xml:space="preserve"> </w:t>
      </w:r>
      <w:r w:rsidRPr="00CE5FAA">
        <w:rPr>
          <w:i/>
          <w:iCs/>
        </w:rPr>
        <w:t>See also</w:t>
      </w:r>
      <w:r>
        <w:t xml:space="preserve"> 47 CFR 54.1513 (requiring restoration of mobile network coverage to equal or greater than 66 percent of pre-hurricane coverage by the end of year two and 100 percent by the end of year three of the Stage 2 mobile support term).  The Bureau will provide further information about how to file this report prior to the first deadline. </w:t>
      </w:r>
      <w:r w:rsidRPr="00853A59">
        <w:rPr>
          <w:i/>
          <w:iCs/>
        </w:rPr>
        <w:t>See</w:t>
      </w:r>
      <w:r>
        <w:t xml:space="preserve"> </w:t>
      </w:r>
      <w:r w:rsidRPr="00853A59">
        <w:rPr>
          <w:i/>
          <w:iCs/>
        </w:rPr>
        <w:t>Effective Date Notice</w:t>
      </w:r>
      <w:r>
        <w:t xml:space="preserve"> at 9454.</w:t>
      </w:r>
    </w:p>
  </w:footnote>
  <w:footnote w:id="18">
    <w:p w:rsidR="00CB3AA4" w:rsidP="00CB3AA4" w14:paraId="32636B12" w14:textId="77777777">
      <w:pPr>
        <w:pStyle w:val="FootnoteText"/>
      </w:pPr>
      <w:r>
        <w:rPr>
          <w:rStyle w:val="FootnoteReference"/>
        </w:rPr>
        <w:footnoteRef/>
      </w:r>
      <w:r>
        <w:t xml:space="preserve"> For all support recipients this filing should contain the information that would have been included in both the Jan. 30, 2021 and Jan. 30, 2022 required reports.</w:t>
      </w:r>
    </w:p>
  </w:footnote>
  <w:footnote w:id="19">
    <w:p w:rsidR="00CB3AA4" w:rsidP="00CB3AA4" w14:paraId="2B0F5A39" w14:textId="77777777">
      <w:pPr>
        <w:pStyle w:val="FootnoteText"/>
      </w:pPr>
      <w:r>
        <w:rPr>
          <w:rStyle w:val="FootnoteReference"/>
        </w:rPr>
        <w:footnoteRef/>
      </w:r>
      <w:r>
        <w:t xml:space="preserve"> This filing should contain the information that would have been included in the July 15, 2021 and July 15, 2022 required reports.</w:t>
      </w:r>
    </w:p>
  </w:footnote>
  <w:footnote w:id="20">
    <w:p w:rsidR="00CB3AA4" w:rsidP="00CB3AA4" w14:paraId="0704F788" w14:textId="77777777">
      <w:pPr>
        <w:pStyle w:val="FootnoteText"/>
      </w:pPr>
      <w:r>
        <w:rPr>
          <w:rStyle w:val="FootnoteReference"/>
        </w:rPr>
        <w:footnoteRef/>
      </w:r>
      <w:r>
        <w:t xml:space="preserve"> AT&amp;T is now Liberty. </w:t>
      </w:r>
      <w:r w:rsidRPr="002510D5">
        <w:rPr>
          <w:i/>
          <w:iCs/>
        </w:rPr>
        <w:t>See</w:t>
      </w:r>
      <w:r>
        <w:t xml:space="preserve"> </w:t>
      </w:r>
      <w:r w:rsidRPr="00853A59">
        <w:rPr>
          <w:i/>
          <w:iCs/>
        </w:rPr>
        <w:t>Applications of Liberty Latin America Ltd. And AT&amp;T Inc</w:t>
      </w:r>
      <w:r>
        <w:t xml:space="preserve">., Memorandum Opinion and Order and Declaratory Ruling, WT Docket No. 19-384, 36 FCC Rcd 2328 (WTB 2020). </w:t>
      </w:r>
    </w:p>
  </w:footnote>
  <w:footnote w:id="21">
    <w:p w:rsidR="00CB3AA4" w:rsidP="00CB3AA4" w14:paraId="6498C012" w14:textId="77777777">
      <w:pPr>
        <w:pStyle w:val="FootnoteText"/>
      </w:pPr>
      <w:r>
        <w:rPr>
          <w:rStyle w:val="FootnoteReference"/>
        </w:rPr>
        <w:footnoteRef/>
      </w:r>
      <w:r>
        <w:t xml:space="preserve"> This filing should contain the information that would have been included in the July 15, 2021 and July 15, 2022 required reports.</w:t>
      </w:r>
    </w:p>
  </w:footnote>
  <w:footnote w:id="22">
    <w:p w:rsidR="00CB3AA4" w:rsidP="00CB3AA4" w14:paraId="530D5E0F" w14:textId="77777777">
      <w:pPr>
        <w:pStyle w:val="FootnoteText"/>
      </w:pPr>
      <w:r>
        <w:rPr>
          <w:rStyle w:val="FootnoteReference"/>
        </w:rPr>
        <w:footnoteRef/>
      </w:r>
      <w:r>
        <w:t xml:space="preserve"> This filing should contain the information that would have been included in the Oct. 15, 2021 and Oct. 15, 2022 required reports.</w:t>
      </w:r>
    </w:p>
  </w:footnote>
  <w:footnote w:id="23">
    <w:p w:rsidR="00CB3AA4" w:rsidP="00CB3AA4" w14:paraId="42DE5864" w14:textId="77777777">
      <w:pPr>
        <w:pStyle w:val="FootnoteText"/>
      </w:pPr>
      <w:r>
        <w:rPr>
          <w:rStyle w:val="FootnoteReference"/>
        </w:rPr>
        <w:footnoteRef/>
      </w:r>
      <w:r>
        <w:t xml:space="preserve"> The authorization for mobile support was specifically for </w:t>
      </w:r>
      <w:r>
        <w:rPr>
          <w:szCs w:val="22"/>
        </w:rPr>
        <w:t>Choice Communications, LLC and Vitelcom Cellular, Inc.</w:t>
      </w:r>
    </w:p>
  </w:footnote>
  <w:footnote w:id="24">
    <w:p w:rsidR="00CB3AA4" w:rsidP="00CB3AA4" w14:paraId="66F1C03A" w14:textId="77777777">
      <w:pPr>
        <w:pStyle w:val="FootnoteText"/>
      </w:pPr>
      <w:r>
        <w:rPr>
          <w:rStyle w:val="FootnoteReference"/>
        </w:rPr>
        <w:footnoteRef/>
      </w:r>
      <w:r>
        <w:t xml:space="preserve"> This filing should contain the information that would have been included in the Nov. 16, 2021 and Nov. 16, 2022 required reports.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3782E3D" w14:textId="61D91037">
    <w:pPr>
      <w:tabs>
        <w:tab w:val="center" w:pos="4680"/>
        <w:tab w:val="right" w:pos="9360"/>
      </w:tabs>
    </w:pPr>
    <w:r w:rsidRPr="009838BC">
      <w:rPr>
        <w:b/>
      </w:rPr>
      <w:tab/>
      <w:t>Federal Communications Commission</w:t>
    </w:r>
    <w:r w:rsidRPr="009838BC">
      <w:rPr>
        <w:b/>
      </w:rPr>
      <w:tab/>
    </w:r>
    <w:r w:rsidR="0094447C">
      <w:rPr>
        <w:b/>
      </w:rPr>
      <w:t>DA  22-896</w:t>
    </w:r>
  </w:p>
  <w:p w:rsidR="009838BC" w:rsidRPr="009838BC" w:rsidP="009838BC" w14:paraId="049292BC" w14:textId="50AF168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0613EF1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90F6A30" w14:textId="20A39F5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42B19DAA" w14:textId="77777777">
                    <w:pPr>
                      <w:rPr>
                        <w:rFonts w:ascii="Arial" w:hAnsi="Arial"/>
                        <w:b/>
                        <w:snapToGrid/>
                      </w:rPr>
                    </w:pPr>
                    <w:r>
                      <w:rPr>
                        <w:rFonts w:ascii="Arial" w:hAnsi="Arial"/>
                        <w:b/>
                      </w:rPr>
                      <w:t>Federal Communications Commission</w:t>
                    </w:r>
                  </w:p>
                  <w:p w:rsidR="00DE0AB8" w:rsidP="00DE0AB8" w14:paraId="32FA4C6A" w14:textId="77777777">
                    <w:pPr>
                      <w:rPr>
                        <w:rFonts w:ascii="Arial" w:hAnsi="Arial"/>
                        <w:b/>
                      </w:rPr>
                    </w:pPr>
                    <w:r>
                      <w:rPr>
                        <w:rFonts w:ascii="Arial" w:hAnsi="Arial"/>
                        <w:b/>
                      </w:rPr>
                      <w:t>45 L Street NE</w:t>
                    </w:r>
                  </w:p>
                  <w:p w:rsidR="009838BC" w:rsidP="00DE0AB8" w14:paraId="475252A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0F699599" w14:textId="13DC9CA4">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0B353011" w14:textId="77777777">
                    <w:pPr>
                      <w:spacing w:before="40"/>
                      <w:jc w:val="right"/>
                      <w:rPr>
                        <w:rFonts w:ascii="Arial" w:hAnsi="Arial"/>
                        <w:b/>
                        <w:sz w:val="16"/>
                      </w:rPr>
                    </w:pPr>
                    <w:r>
                      <w:rPr>
                        <w:rFonts w:ascii="Arial" w:hAnsi="Arial"/>
                        <w:b/>
                        <w:sz w:val="16"/>
                      </w:rPr>
                      <w:t>News Media Information 202 / 418-0500</w:t>
                    </w:r>
                  </w:p>
                  <w:p w:rsidR="009838BC" w:rsidP="009838BC" w14:paraId="1281ADEE"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3FA4E51" w14:textId="77777777">
                    <w:pPr>
                      <w:jc w:val="right"/>
                    </w:pPr>
                    <w:r>
                      <w:rPr>
                        <w:rFonts w:ascii="Arial" w:hAnsi="Arial"/>
                        <w:b/>
                        <w:sz w:val="16"/>
                      </w:rPr>
                      <w:t>TTY: 1-888-835-5322</w:t>
                    </w:r>
                  </w:p>
                </w:txbxContent>
              </v:textbox>
            </v:shape>
          </w:pict>
        </mc:Fallback>
      </mc:AlternateContent>
    </w:r>
  </w:p>
  <w:p w:rsidR="006F7393" w:rsidRPr="009838BC" w:rsidP="009838BC" w14:paraId="609CC01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BA"/>
    <w:rsid w:val="000072CE"/>
    <w:rsid w:val="00013A8B"/>
    <w:rsid w:val="00021445"/>
    <w:rsid w:val="00036039"/>
    <w:rsid w:val="00037F90"/>
    <w:rsid w:val="000875BF"/>
    <w:rsid w:val="00096D8C"/>
    <w:rsid w:val="000C0B65"/>
    <w:rsid w:val="000C3876"/>
    <w:rsid w:val="000D7E7E"/>
    <w:rsid w:val="000E3D42"/>
    <w:rsid w:val="000E5884"/>
    <w:rsid w:val="0011362A"/>
    <w:rsid w:val="00122BD5"/>
    <w:rsid w:val="00155ABA"/>
    <w:rsid w:val="00164737"/>
    <w:rsid w:val="001956D9"/>
    <w:rsid w:val="001979D9"/>
    <w:rsid w:val="001B3F46"/>
    <w:rsid w:val="001D6BCF"/>
    <w:rsid w:val="001E01CA"/>
    <w:rsid w:val="002060D9"/>
    <w:rsid w:val="00226822"/>
    <w:rsid w:val="002510D5"/>
    <w:rsid w:val="00260594"/>
    <w:rsid w:val="00285017"/>
    <w:rsid w:val="002A2D2E"/>
    <w:rsid w:val="00335215"/>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4E5F7E"/>
    <w:rsid w:val="00500878"/>
    <w:rsid w:val="00511968"/>
    <w:rsid w:val="00531044"/>
    <w:rsid w:val="0055614C"/>
    <w:rsid w:val="005D7D17"/>
    <w:rsid w:val="00607BA5"/>
    <w:rsid w:val="00626EB6"/>
    <w:rsid w:val="006353A3"/>
    <w:rsid w:val="00655D03"/>
    <w:rsid w:val="00683F84"/>
    <w:rsid w:val="00691864"/>
    <w:rsid w:val="006A6A81"/>
    <w:rsid w:val="006B0E95"/>
    <w:rsid w:val="006D1CDA"/>
    <w:rsid w:val="006E26AF"/>
    <w:rsid w:val="006F7393"/>
    <w:rsid w:val="0070224F"/>
    <w:rsid w:val="007115F7"/>
    <w:rsid w:val="00785689"/>
    <w:rsid w:val="0079754B"/>
    <w:rsid w:val="007A1E6D"/>
    <w:rsid w:val="007F4A5D"/>
    <w:rsid w:val="00822CE0"/>
    <w:rsid w:val="00837C62"/>
    <w:rsid w:val="00841AB1"/>
    <w:rsid w:val="00853A59"/>
    <w:rsid w:val="008C22FD"/>
    <w:rsid w:val="008C2A06"/>
    <w:rsid w:val="008D12D8"/>
    <w:rsid w:val="00910F12"/>
    <w:rsid w:val="00926503"/>
    <w:rsid w:val="00930ECF"/>
    <w:rsid w:val="0094081E"/>
    <w:rsid w:val="0094447C"/>
    <w:rsid w:val="009838BC"/>
    <w:rsid w:val="00A45F4F"/>
    <w:rsid w:val="00A51A9F"/>
    <w:rsid w:val="00A600A9"/>
    <w:rsid w:val="00A866AC"/>
    <w:rsid w:val="00AA55B7"/>
    <w:rsid w:val="00AA5B9E"/>
    <w:rsid w:val="00AB2407"/>
    <w:rsid w:val="00AB53DF"/>
    <w:rsid w:val="00AD06C8"/>
    <w:rsid w:val="00B07E5C"/>
    <w:rsid w:val="00B20363"/>
    <w:rsid w:val="00B274AA"/>
    <w:rsid w:val="00B326E3"/>
    <w:rsid w:val="00B811F7"/>
    <w:rsid w:val="00BA5DC6"/>
    <w:rsid w:val="00BA6196"/>
    <w:rsid w:val="00BC6D8C"/>
    <w:rsid w:val="00C16AF2"/>
    <w:rsid w:val="00C34006"/>
    <w:rsid w:val="00C426B1"/>
    <w:rsid w:val="00C82B6B"/>
    <w:rsid w:val="00C90D6A"/>
    <w:rsid w:val="00C94739"/>
    <w:rsid w:val="00CB3AA4"/>
    <w:rsid w:val="00CC72B6"/>
    <w:rsid w:val="00CE5FAA"/>
    <w:rsid w:val="00D0218D"/>
    <w:rsid w:val="00D216CD"/>
    <w:rsid w:val="00DA2529"/>
    <w:rsid w:val="00DB130A"/>
    <w:rsid w:val="00DC10A1"/>
    <w:rsid w:val="00DC655F"/>
    <w:rsid w:val="00DD18F3"/>
    <w:rsid w:val="00DD7EBD"/>
    <w:rsid w:val="00DE0AB8"/>
    <w:rsid w:val="00DF62B6"/>
    <w:rsid w:val="00E07225"/>
    <w:rsid w:val="00E155B7"/>
    <w:rsid w:val="00E5409F"/>
    <w:rsid w:val="00EC0185"/>
    <w:rsid w:val="00F021FA"/>
    <w:rsid w:val="00F30DFB"/>
    <w:rsid w:val="00F57ACA"/>
    <w:rsid w:val="00F62E97"/>
    <w:rsid w:val="00F64209"/>
    <w:rsid w:val="00F86E0D"/>
    <w:rsid w:val="00F93BF5"/>
    <w:rsid w:val="00F96F63"/>
    <w:rsid w:val="00FA072C"/>
    <w:rsid w:val="00FD0C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BC33C4"/>
  <w15:chartTrackingRefBased/>
  <w15:docId w15:val="{39651ACF-D889-4C4E-BCA2-2AF13A8B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 Char,ALTS FOOTNOTE Char Char Char,ALTS FOOTNOTE Char Char Char Char Char,Footnote Text Char Char Char,Footnote Text Char Char Char Char Char,Footnote Text Char1 Char,Footnote Text Char1 Char Char Char,f Char"/>
    <w:basedOn w:val="DefaultParagraphFont"/>
    <w:link w:val="FootnoteText"/>
    <w:rsid w:val="00CB3AA4"/>
  </w:style>
  <w:style w:type="table" w:styleId="TableGrid">
    <w:name w:val="Table Grid"/>
    <w:basedOn w:val="TableNormal"/>
    <w:uiPriority w:val="59"/>
    <w:rsid w:val="00CB3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umChar">
    <w:name w:val="ParaNum Char"/>
    <w:link w:val="ParaNum"/>
    <w:uiPriority w:val="99"/>
    <w:locked/>
    <w:rsid w:val="00CB3AA4"/>
    <w:rPr>
      <w:snapToGrid w:val="0"/>
      <w:kern w:val="28"/>
      <w:sz w:val="22"/>
    </w:rPr>
  </w:style>
  <w:style w:type="paragraph" w:styleId="Revision">
    <w:name w:val="Revision"/>
    <w:hidden/>
    <w:uiPriority w:val="99"/>
    <w:semiHidden/>
    <w:rsid w:val="00B274A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rebekah.dougla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B0492-D589-457D-AA4D-3C4B5ABB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Portrait 3-12-21</Template>
  <TotalTime>1</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Public Notice Paragraph TOC.dot</vt:lpstr>
    </vt:vector>
  </TitlesOfParts>
  <Manager>OS, Agenda and Publications</Manager>
  <Company>FCC</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 Paragraph TOC.dot</dc:title>
  <dc:creator>WCB</dc:creator>
  <cp:lastModifiedBy>Lillian Lowery</cp:lastModifiedBy>
  <cp:revision>2</cp:revision>
  <cp:lastPrinted>2005-07-20T16:06:00Z</cp:lastPrinted>
  <dcterms:created xsi:type="dcterms:W3CDTF">2022-09-01T14:36:00Z</dcterms:created>
  <dcterms:modified xsi:type="dcterms:W3CDTF">2022-09-01T14:36:00Z</dcterms:modified>
</cp:coreProperties>
</file>