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5884" w:rsidRPr="00B02A93" w:rsidP="75796D0F" w14:paraId="1304E72A" w14:textId="49F2B064">
      <w:pPr>
        <w:jc w:val="right"/>
        <w:rPr>
          <w:sz w:val="24"/>
          <w:szCs w:val="24"/>
        </w:rPr>
      </w:pPr>
    </w:p>
    <w:p w:rsidR="005614FA" w:rsidRPr="008C12CA" w:rsidP="008C12CA" w14:paraId="3E24FDAA" w14:textId="2BF40741">
      <w:pPr>
        <w:widowControl/>
        <w:suppressAutoHyphens/>
        <w:jc w:val="right"/>
        <w:rPr>
          <w:b/>
          <w:highlight w:val="yellow"/>
        </w:rPr>
      </w:pPr>
      <w:r w:rsidRPr="00EA568F">
        <w:rPr>
          <w:b/>
        </w:rPr>
        <w:t>DA 22-</w:t>
      </w:r>
      <w:r w:rsidR="00EA568F">
        <w:rPr>
          <w:b/>
        </w:rPr>
        <w:t>90</w:t>
      </w:r>
    </w:p>
    <w:p w:rsidR="005614FA" w:rsidRPr="00B02A93" w:rsidP="005614FA" w14:paraId="2C244092" w14:textId="6B5181F3">
      <w:pPr>
        <w:widowControl/>
        <w:suppressAutoHyphens/>
        <w:spacing w:after="240"/>
        <w:jc w:val="right"/>
        <w:rPr>
          <w:b/>
        </w:rPr>
      </w:pPr>
      <w:r w:rsidRPr="00E16803">
        <w:rPr>
          <w:b/>
        </w:rPr>
        <w:t xml:space="preserve">Released: </w:t>
      </w:r>
      <w:r w:rsidRPr="00E16803" w:rsidR="00E16803">
        <w:rPr>
          <w:b/>
        </w:rPr>
        <w:t>January 27</w:t>
      </w:r>
      <w:r w:rsidRPr="00E16803">
        <w:rPr>
          <w:b/>
        </w:rPr>
        <w:t>, 2022</w:t>
      </w:r>
    </w:p>
    <w:p w:rsidR="008C12CA" w:rsidRPr="008C12CA" w:rsidP="008C12CA" w14:paraId="424998F3" w14:textId="77777777">
      <w:pPr>
        <w:autoSpaceDE w:val="0"/>
        <w:autoSpaceDN w:val="0"/>
        <w:adjustRightInd w:val="0"/>
        <w:jc w:val="center"/>
        <w:rPr>
          <w:b/>
          <w:bCs/>
          <w:szCs w:val="22"/>
        </w:rPr>
      </w:pPr>
      <w:r w:rsidRPr="008C12CA">
        <w:rPr>
          <w:b/>
          <w:szCs w:val="22"/>
        </w:rPr>
        <w:t>DOMESTIC 214 APPLICATION GRANTED FOR</w:t>
      </w:r>
      <w:r w:rsidRPr="008C12CA">
        <w:rPr>
          <w:b/>
          <w:bCs/>
          <w:szCs w:val="22"/>
        </w:rPr>
        <w:t xml:space="preserve"> THE TRANSFER OF CERTAIN AUTHORIZATIONS OF CHEROKEE TELEPHONE COMPANY </w:t>
      </w:r>
    </w:p>
    <w:p w:rsidR="008C12CA" w:rsidRPr="008C12CA" w:rsidP="008C12CA" w14:paraId="1C7D7B25" w14:textId="77777777">
      <w:pPr>
        <w:autoSpaceDE w:val="0"/>
        <w:autoSpaceDN w:val="0"/>
        <w:adjustRightInd w:val="0"/>
        <w:jc w:val="center"/>
        <w:rPr>
          <w:b/>
          <w:bCs/>
          <w:szCs w:val="22"/>
        </w:rPr>
      </w:pPr>
      <w:r w:rsidRPr="008C12CA">
        <w:rPr>
          <w:b/>
          <w:bCs/>
          <w:szCs w:val="22"/>
        </w:rPr>
        <w:t>TO ATLINK SERVICES, LLC</w:t>
      </w:r>
    </w:p>
    <w:p w:rsidR="008C12CA" w:rsidRPr="008C12CA" w:rsidP="008C12CA" w14:paraId="14E9FE41" w14:textId="77777777">
      <w:pPr>
        <w:autoSpaceDE w:val="0"/>
        <w:autoSpaceDN w:val="0"/>
        <w:adjustRightInd w:val="0"/>
        <w:jc w:val="center"/>
        <w:rPr>
          <w:b/>
          <w:szCs w:val="22"/>
        </w:rPr>
      </w:pPr>
    </w:p>
    <w:p w:rsidR="005614FA" w:rsidRPr="00B02A93" w:rsidP="008C12CA" w14:paraId="5D9244B0" w14:textId="6FCBC5D9">
      <w:pPr>
        <w:autoSpaceDE w:val="0"/>
        <w:autoSpaceDN w:val="0"/>
        <w:adjustRightInd w:val="0"/>
        <w:jc w:val="center"/>
        <w:rPr>
          <w:b/>
          <w:szCs w:val="22"/>
        </w:rPr>
      </w:pPr>
      <w:bookmarkStart w:id="0" w:name="_Hlk80002431"/>
      <w:r w:rsidRPr="008C12CA">
        <w:rPr>
          <w:b/>
          <w:szCs w:val="22"/>
        </w:rPr>
        <w:t>WC Docket No. 21-</w:t>
      </w:r>
      <w:bookmarkEnd w:id="0"/>
      <w:r w:rsidRPr="008C12CA">
        <w:rPr>
          <w:b/>
          <w:szCs w:val="22"/>
        </w:rPr>
        <w:t>423</w:t>
      </w:r>
    </w:p>
    <w:p w:rsidR="005614FA" w:rsidRPr="00B02A93" w:rsidP="005614FA" w14:paraId="4F620B5F" w14:textId="77777777">
      <w:pPr>
        <w:widowControl/>
        <w:suppressAutoHyphens/>
        <w:rPr>
          <w:b/>
        </w:rPr>
      </w:pPr>
    </w:p>
    <w:p w:rsidR="002E5941" w:rsidRPr="00B02A93" w:rsidP="00960B05" w14:paraId="7F5B29E1" w14:textId="66A833B9">
      <w:pPr>
        <w:widowControl/>
        <w:autoSpaceDE w:val="0"/>
        <w:autoSpaceDN w:val="0"/>
        <w:adjustRightInd w:val="0"/>
        <w:spacing w:after="120"/>
        <w:ind w:firstLine="720"/>
        <w:rPr>
          <w:snapToGrid/>
          <w:kern w:val="0"/>
          <w:szCs w:val="22"/>
        </w:rPr>
      </w:pPr>
      <w:r w:rsidRPr="008C12CA">
        <w:rPr>
          <w:snapToGrid/>
          <w:kern w:val="0"/>
          <w:szCs w:val="22"/>
        </w:rPr>
        <w:t xml:space="preserve">By this Public Notice, the Wireline Competition Bureau (Bureau) grants an application filed by Cherokee Telephone Company (Cherokee) and </w:t>
      </w:r>
      <w:r w:rsidRPr="008C12CA">
        <w:rPr>
          <w:snapToGrid/>
          <w:kern w:val="0"/>
          <w:szCs w:val="22"/>
        </w:rPr>
        <w:t>AtLink</w:t>
      </w:r>
      <w:r w:rsidRPr="008C12CA">
        <w:rPr>
          <w:snapToGrid/>
          <w:kern w:val="0"/>
          <w:szCs w:val="22"/>
        </w:rPr>
        <w:t xml:space="preserve"> Services, LLC (</w:t>
      </w:r>
      <w:r w:rsidRPr="008C12CA">
        <w:rPr>
          <w:snapToGrid/>
          <w:kern w:val="0"/>
          <w:szCs w:val="22"/>
        </w:rPr>
        <w:t>AtLink</w:t>
      </w:r>
      <w:r w:rsidRPr="008C12CA">
        <w:rPr>
          <w:snapToGrid/>
          <w:kern w:val="0"/>
          <w:szCs w:val="22"/>
        </w:rPr>
        <w:t>) (together, Applicants),</w:t>
      </w:r>
      <w:r>
        <w:rPr>
          <w:snapToGrid/>
          <w:kern w:val="0"/>
          <w:szCs w:val="22"/>
          <w:vertAlign w:val="superscript"/>
        </w:rPr>
        <w:footnoteReference w:id="3"/>
      </w:r>
      <w:r w:rsidRPr="008C12CA">
        <w:rPr>
          <w:snapToGrid/>
          <w:kern w:val="0"/>
          <w:szCs w:val="22"/>
        </w:rPr>
        <w:t xml:space="preserve"> pursuant to section 214 of the Communications Act of 1934, as amended (Act), and sections 63.03-04 of the Commission’s rules,</w:t>
      </w:r>
      <w:r>
        <w:rPr>
          <w:snapToGrid/>
          <w:kern w:val="0"/>
          <w:szCs w:val="22"/>
          <w:vertAlign w:val="superscript"/>
        </w:rPr>
        <w:footnoteReference w:id="4"/>
      </w:r>
      <w:r w:rsidRPr="008C12CA">
        <w:rPr>
          <w:snapToGrid/>
          <w:kern w:val="0"/>
          <w:szCs w:val="22"/>
        </w:rPr>
        <w:t xml:space="preserve"> requesting consent to transfer Cherokee’s Connect America Fund (</w:t>
      </w:r>
      <w:bookmarkStart w:id="1" w:name="_Hlk93946431"/>
      <w:r w:rsidRPr="008C12CA">
        <w:rPr>
          <w:snapToGrid/>
          <w:kern w:val="0"/>
          <w:szCs w:val="22"/>
        </w:rPr>
        <w:t>CAF) Phase II obligations</w:t>
      </w:r>
      <w:r w:rsidR="00EF41BD">
        <w:rPr>
          <w:snapToGrid/>
          <w:kern w:val="0"/>
          <w:szCs w:val="22"/>
        </w:rPr>
        <w:t xml:space="preserve"> and</w:t>
      </w:r>
      <w:r w:rsidRPr="008C12CA">
        <w:rPr>
          <w:snapToGrid/>
          <w:kern w:val="0"/>
          <w:szCs w:val="22"/>
        </w:rPr>
        <w:t xml:space="preserve"> </w:t>
      </w:r>
      <w:r w:rsidRPr="008C12CA" w:rsidR="00EF41BD">
        <w:rPr>
          <w:snapToGrid/>
          <w:kern w:val="0"/>
          <w:szCs w:val="22"/>
        </w:rPr>
        <w:t xml:space="preserve">support </w:t>
      </w:r>
      <w:r w:rsidRPr="008C12CA">
        <w:rPr>
          <w:snapToGrid/>
          <w:kern w:val="0"/>
          <w:szCs w:val="22"/>
        </w:rPr>
        <w:t>for certain census blocks in Oklahoma (Assigned Census Blocks)</w:t>
      </w:r>
      <w:r>
        <w:rPr>
          <w:snapToGrid/>
          <w:kern w:val="0"/>
          <w:szCs w:val="22"/>
          <w:vertAlign w:val="superscript"/>
        </w:rPr>
        <w:footnoteReference w:id="5"/>
      </w:r>
      <w:r w:rsidRPr="008C12CA">
        <w:rPr>
          <w:snapToGrid/>
          <w:kern w:val="0"/>
          <w:szCs w:val="22"/>
        </w:rPr>
        <w:t xml:space="preserve"> to </w:t>
      </w:r>
      <w:r w:rsidRPr="008C12CA">
        <w:rPr>
          <w:snapToGrid/>
          <w:kern w:val="0"/>
          <w:szCs w:val="22"/>
        </w:rPr>
        <w:t>AtLink</w:t>
      </w:r>
      <w:bookmarkEnd w:id="1"/>
      <w:r w:rsidRPr="008C12CA">
        <w:rPr>
          <w:snapToGrid/>
          <w:kern w:val="0"/>
          <w:szCs w:val="22"/>
        </w:rPr>
        <w:t>.</w:t>
      </w:r>
      <w:r w:rsidRPr="00B02A93" w:rsidR="008774D9">
        <w:rPr>
          <w:snapToGrid/>
          <w:kern w:val="0"/>
          <w:szCs w:val="22"/>
        </w:rPr>
        <w:t xml:space="preserve"> </w:t>
      </w:r>
    </w:p>
    <w:p w:rsidR="005614FA" w:rsidRPr="00B02A93" w:rsidP="00960B05" w14:paraId="67628BEE" w14:textId="6BDA847B">
      <w:pPr>
        <w:widowControl/>
        <w:autoSpaceDE w:val="0"/>
        <w:autoSpaceDN w:val="0"/>
        <w:adjustRightInd w:val="0"/>
        <w:spacing w:after="120"/>
        <w:ind w:firstLine="720"/>
        <w:rPr>
          <w:snapToGrid/>
          <w:kern w:val="0"/>
          <w:szCs w:val="22"/>
        </w:rPr>
      </w:pPr>
      <w:r w:rsidRPr="00B02A93">
        <w:rPr>
          <w:szCs w:val="22"/>
        </w:rPr>
        <w:t xml:space="preserve">On </w:t>
      </w:r>
      <w:r w:rsidR="00256F99">
        <w:rPr>
          <w:szCs w:val="22"/>
        </w:rPr>
        <w:t>November 16</w:t>
      </w:r>
      <w:r w:rsidRPr="00B02A93">
        <w:rPr>
          <w:szCs w:val="22"/>
        </w:rPr>
        <w:t xml:space="preserve">, </w:t>
      </w:r>
      <w:r w:rsidRPr="00960B05">
        <w:rPr>
          <w:snapToGrid/>
          <w:kern w:val="0"/>
          <w:szCs w:val="22"/>
        </w:rPr>
        <w:t>2021</w:t>
      </w:r>
      <w:r w:rsidRPr="00B02A93">
        <w:rPr>
          <w:szCs w:val="22"/>
        </w:rPr>
        <w:t>, the Bureau released a public notice seeking comment on the Application.</w:t>
      </w:r>
      <w:r>
        <w:rPr>
          <w:rStyle w:val="FootnoteReference"/>
          <w:szCs w:val="22"/>
        </w:rPr>
        <w:footnoteReference w:id="6"/>
      </w:r>
      <w:r w:rsidRPr="00B02A93">
        <w:rPr>
          <w:szCs w:val="22"/>
        </w:rPr>
        <w:t xml:space="preserve">  </w:t>
      </w:r>
      <w:r w:rsidRPr="00B02A93" w:rsidR="00AB3596">
        <w:rPr>
          <w:szCs w:val="22"/>
        </w:rPr>
        <w:t xml:space="preserve">The Bureau </w:t>
      </w:r>
      <w:r w:rsidRPr="00B02A93">
        <w:rPr>
          <w:szCs w:val="22"/>
        </w:rPr>
        <w:t>did not receive comments or petitions in opposition to the Application.</w:t>
      </w:r>
      <w:r w:rsidRPr="00B02A93" w:rsidR="0085777F">
        <w:rPr>
          <w:snapToGrid/>
          <w:kern w:val="0"/>
          <w:szCs w:val="22"/>
        </w:rPr>
        <w:t xml:space="preserve"> </w:t>
      </w:r>
    </w:p>
    <w:p w:rsidR="008D5B54" w:rsidRPr="00B02A93" w:rsidP="00960B05" w14:paraId="4A9F1894" w14:textId="77777777">
      <w:pPr>
        <w:widowControl/>
        <w:autoSpaceDE w:val="0"/>
        <w:autoSpaceDN w:val="0"/>
        <w:adjustRightInd w:val="0"/>
        <w:spacing w:after="120"/>
        <w:rPr>
          <w:b/>
          <w:bCs/>
          <w:snapToGrid/>
          <w:kern w:val="0"/>
          <w:szCs w:val="22"/>
          <w:u w:val="single"/>
        </w:rPr>
      </w:pPr>
      <w:r w:rsidRPr="00B02A93">
        <w:rPr>
          <w:b/>
          <w:bCs/>
          <w:snapToGrid/>
          <w:kern w:val="0"/>
          <w:szCs w:val="22"/>
          <w:u w:val="single"/>
        </w:rPr>
        <w:t>Applicants and Description of Transaction</w:t>
      </w:r>
    </w:p>
    <w:p w:rsidR="00433A96" w:rsidRPr="00433A96" w:rsidP="00433A96" w14:paraId="659AD9E5" w14:textId="5800A218">
      <w:pPr>
        <w:widowControl/>
        <w:autoSpaceDE w:val="0"/>
        <w:autoSpaceDN w:val="0"/>
        <w:adjustRightInd w:val="0"/>
        <w:spacing w:after="120"/>
        <w:ind w:firstLine="720"/>
        <w:rPr>
          <w:rFonts w:ascii="TimesNewRomanPSMT" w:hAnsi="TimesNewRomanPSMT" w:cs="TimesNewRomanPSMT"/>
          <w:szCs w:val="22"/>
        </w:rPr>
      </w:pPr>
      <w:bookmarkStart w:id="5" w:name="_Hlk67918832"/>
      <w:r w:rsidRPr="00433A96">
        <w:rPr>
          <w:rFonts w:ascii="TimesNewRomanPSMT" w:hAnsi="TimesNewRomanPSMT" w:cs="TimesNewRomanPSMT"/>
          <w:szCs w:val="22"/>
        </w:rPr>
        <w:t>Cherokee, an Oklahoma corporation</w:t>
      </w:r>
      <w:r w:rsidR="00B158C7">
        <w:rPr>
          <w:rFonts w:ascii="TimesNewRomanPSMT" w:hAnsi="TimesNewRomanPSMT" w:cs="TimesNewRomanPSMT"/>
          <w:szCs w:val="22"/>
        </w:rPr>
        <w:t xml:space="preserve"> and incumbent local exchange carrier (LEC)</w:t>
      </w:r>
      <w:r w:rsidRPr="00433A96">
        <w:rPr>
          <w:rFonts w:ascii="TimesNewRomanPSMT" w:hAnsi="TimesNewRomanPSMT" w:cs="TimesNewRomanPSMT"/>
          <w:szCs w:val="22"/>
        </w:rPr>
        <w:t>, provides voice and broadband service and is an eligible telecommunications carrier (ETC) in Oklahoma.</w:t>
      </w:r>
      <w:r>
        <w:rPr>
          <w:rFonts w:ascii="TimesNewRomanPSMT" w:hAnsi="TimesNewRomanPSMT" w:cs="TimesNewRomanPSMT"/>
          <w:szCs w:val="22"/>
          <w:vertAlign w:val="superscript"/>
        </w:rPr>
        <w:footnoteReference w:id="7"/>
      </w:r>
      <w:r w:rsidRPr="00433A96">
        <w:rPr>
          <w:rFonts w:ascii="TimesNewRomanPSMT" w:hAnsi="TimesNewRomanPSMT" w:cs="TimesNewRomanPSMT"/>
          <w:szCs w:val="22"/>
        </w:rPr>
        <w:t xml:space="preserve">  During the </w:t>
      </w:r>
      <w:r w:rsidRPr="00433A96">
        <w:rPr>
          <w:rFonts w:ascii="TimesNewRomanPSMT" w:hAnsi="TimesNewRomanPSMT" w:cs="TimesNewRomanPSMT"/>
          <w:szCs w:val="22"/>
        </w:rPr>
        <w:t>CAF Phase II Auction (Auction 903), Cherokee won the rights to service the Assigned Census Blocks.</w:t>
      </w:r>
      <w:r>
        <w:rPr>
          <w:rFonts w:ascii="TimesNewRomanPSMT" w:hAnsi="TimesNewRomanPSMT" w:cs="TimesNewRomanPSMT"/>
          <w:szCs w:val="22"/>
          <w:vertAlign w:val="superscript"/>
        </w:rPr>
        <w:footnoteReference w:id="8"/>
      </w:r>
      <w:r w:rsidRPr="00433A96">
        <w:rPr>
          <w:rFonts w:ascii="TimesNewRomanPSMT" w:hAnsi="TimesNewRomanPSMT" w:cs="TimesNewRomanPSMT"/>
          <w:szCs w:val="22"/>
        </w:rPr>
        <w:t xml:space="preserve">  Applicants state that “to date, Cherokee has not expended any CAF support with respect to the Assigned Census Blocks.”</w:t>
      </w:r>
      <w:r>
        <w:rPr>
          <w:rFonts w:ascii="TimesNewRomanPSMT" w:hAnsi="TimesNewRomanPSMT" w:cs="TimesNewRomanPSMT"/>
          <w:szCs w:val="22"/>
          <w:vertAlign w:val="superscript"/>
        </w:rPr>
        <w:footnoteReference w:id="9"/>
      </w:r>
    </w:p>
    <w:p w:rsidR="00976938" w:rsidRPr="007F2E5D" w:rsidP="00433A96" w14:paraId="36E8825E" w14:textId="5E9EAA80">
      <w:pPr>
        <w:widowControl/>
        <w:autoSpaceDE w:val="0"/>
        <w:autoSpaceDN w:val="0"/>
        <w:adjustRightInd w:val="0"/>
        <w:spacing w:after="120"/>
        <w:ind w:firstLine="720"/>
        <w:rPr>
          <w:rFonts w:ascii="TimesNewRomanPSMT" w:hAnsi="TimesNewRomanPSMT" w:cs="TimesNewRomanPSMT"/>
          <w:szCs w:val="22"/>
        </w:rPr>
      </w:pPr>
      <w:r w:rsidRPr="00433A96">
        <w:rPr>
          <w:rFonts w:ascii="TimesNewRomanPSMT" w:hAnsi="TimesNewRomanPSMT" w:cs="TimesNewRomanPSMT"/>
          <w:szCs w:val="22"/>
        </w:rPr>
        <w:t>AtLink</w:t>
      </w:r>
      <w:r w:rsidRPr="00433A96">
        <w:rPr>
          <w:rFonts w:ascii="TimesNewRomanPSMT" w:hAnsi="TimesNewRomanPSMT" w:cs="TimesNewRomanPSMT"/>
          <w:szCs w:val="22"/>
        </w:rPr>
        <w:t>, an Oklahoma limited liability company, is an Internet service provider and ETC in Oklahoma.</w:t>
      </w:r>
      <w:r>
        <w:rPr>
          <w:rFonts w:ascii="TimesNewRomanPSMT" w:hAnsi="TimesNewRomanPSMT" w:cs="TimesNewRomanPSMT"/>
          <w:szCs w:val="22"/>
          <w:vertAlign w:val="superscript"/>
        </w:rPr>
        <w:footnoteReference w:id="10"/>
      </w:r>
      <w:r w:rsidRPr="00433A96">
        <w:rPr>
          <w:rFonts w:ascii="TimesNewRomanPSMT" w:hAnsi="TimesNewRomanPSMT" w:cs="TimesNewRomanPSMT"/>
          <w:szCs w:val="22"/>
        </w:rPr>
        <w:t xml:space="preserve">  During the CAF Phase II Auction, </w:t>
      </w:r>
      <w:r w:rsidRPr="00433A96">
        <w:rPr>
          <w:rFonts w:ascii="TimesNewRomanPSMT" w:hAnsi="TimesNewRomanPSMT" w:cs="TimesNewRomanPSMT"/>
          <w:szCs w:val="22"/>
        </w:rPr>
        <w:t>AtLink</w:t>
      </w:r>
      <w:r w:rsidRPr="00433A96">
        <w:rPr>
          <w:rFonts w:ascii="TimesNewRomanPSMT" w:hAnsi="TimesNewRomanPSMT" w:cs="TimesNewRomanPSMT"/>
          <w:szCs w:val="22"/>
        </w:rPr>
        <w:t xml:space="preserve"> won the rights to service 1,938 census blocks in Oklahoma.</w:t>
      </w:r>
      <w:r>
        <w:rPr>
          <w:rFonts w:ascii="TimesNewRomanPSMT" w:hAnsi="TimesNewRomanPSMT" w:cs="TimesNewRomanPSMT"/>
          <w:szCs w:val="22"/>
          <w:vertAlign w:val="superscript"/>
        </w:rPr>
        <w:footnoteReference w:id="11"/>
      </w:r>
      <w:r w:rsidRPr="00433A96">
        <w:rPr>
          <w:rFonts w:ascii="TimesNewRomanPSMT" w:hAnsi="TimesNewRomanPSMT" w:cs="TimesNewRomanPSMT"/>
          <w:szCs w:val="22"/>
        </w:rPr>
        <w:t xml:space="preserve">  Applicants state that “</w:t>
      </w:r>
      <w:r w:rsidRPr="00433A96">
        <w:rPr>
          <w:rFonts w:ascii="TimesNewRomanPSMT" w:hAnsi="TimesNewRomanPSMT" w:cs="TimesNewRomanPSMT"/>
          <w:szCs w:val="22"/>
        </w:rPr>
        <w:t>AtLink</w:t>
      </w:r>
      <w:r w:rsidRPr="00433A96">
        <w:rPr>
          <w:rFonts w:ascii="TimesNewRomanPSMT" w:hAnsi="TimesNewRomanPSMT" w:cs="TimesNewRomanPSMT"/>
          <w:szCs w:val="22"/>
        </w:rPr>
        <w:t xml:space="preserve"> has expended CAF support funds in connection with deployment in its CAF-supported area, and expects to meet the 40 percent buildout milestone well ahead of the three year milestone deadline.”</w:t>
      </w:r>
      <w:r>
        <w:rPr>
          <w:rFonts w:ascii="TimesNewRomanPSMT" w:hAnsi="TimesNewRomanPSMT" w:cs="TimesNewRomanPSMT"/>
          <w:szCs w:val="22"/>
          <w:vertAlign w:val="superscript"/>
        </w:rPr>
        <w:footnoteReference w:id="12"/>
      </w:r>
      <w:r w:rsidRPr="00433A96">
        <w:rPr>
          <w:rFonts w:ascii="TimesNewRomanPSMT" w:hAnsi="TimesNewRomanPSMT" w:cs="TimesNewRomanPSMT"/>
          <w:szCs w:val="22"/>
        </w:rPr>
        <w:t xml:space="preserve">  The following U.S. citizen and Oklahoma corporations own </w:t>
      </w:r>
      <w:r w:rsidRPr="00433A96">
        <w:rPr>
          <w:rFonts w:ascii="TimesNewRomanPSMT" w:hAnsi="TimesNewRomanPSMT" w:cs="TimesNewRomanPSMT"/>
          <w:szCs w:val="22"/>
        </w:rPr>
        <w:t>AtLink</w:t>
      </w:r>
      <w:r w:rsidRPr="00433A96">
        <w:rPr>
          <w:rFonts w:ascii="TimesNewRomanPSMT" w:hAnsi="TimesNewRomanPSMT" w:cs="TimesNewRomanPSMT"/>
          <w:szCs w:val="22"/>
        </w:rPr>
        <w:t>:  Samuel T. Curtis (12.53%); the Hinton C A T V Company, Inc. (Hinton C A T V) (54.39%); and Communications Equipment Corporation (33.08%).</w:t>
      </w:r>
      <w:r>
        <w:rPr>
          <w:rFonts w:ascii="TimesNewRomanPSMT" w:hAnsi="TimesNewRomanPSMT" w:cs="TimesNewRomanPSMT"/>
          <w:szCs w:val="22"/>
          <w:vertAlign w:val="superscript"/>
        </w:rPr>
        <w:footnoteReference w:id="13"/>
      </w:r>
      <w:r w:rsidRPr="007F2E5D" w:rsidR="007F2E5D">
        <w:rPr>
          <w:rFonts w:ascii="TimesNewRomanPSMT" w:hAnsi="TimesNewRomanPSMT" w:cs="TimesNewRomanPSMT"/>
          <w:szCs w:val="22"/>
        </w:rPr>
        <w:t xml:space="preserve"> </w:t>
      </w:r>
      <w:bookmarkEnd w:id="5"/>
    </w:p>
    <w:p w:rsidR="00433A96" w:rsidRPr="00433A96" w:rsidP="00433A96" w14:paraId="04213BB5" w14:textId="5BE8359D">
      <w:pPr>
        <w:widowControl/>
        <w:autoSpaceDE w:val="0"/>
        <w:autoSpaceDN w:val="0"/>
        <w:adjustRightInd w:val="0"/>
        <w:spacing w:after="120"/>
        <w:ind w:firstLine="720"/>
        <w:rPr>
          <w:snapToGrid/>
          <w:kern w:val="0"/>
          <w:szCs w:val="22"/>
        </w:rPr>
      </w:pPr>
      <w:bookmarkStart w:id="8" w:name="_Hlk89639836"/>
      <w:r w:rsidRPr="00433A96">
        <w:rPr>
          <w:snapToGrid/>
          <w:kern w:val="0"/>
          <w:szCs w:val="22"/>
        </w:rPr>
        <w:t xml:space="preserve">Pursuant to the terms of the proposed transaction, </w:t>
      </w:r>
      <w:r w:rsidRPr="00433A96">
        <w:rPr>
          <w:snapToGrid/>
          <w:kern w:val="0"/>
          <w:szCs w:val="22"/>
        </w:rPr>
        <w:t>AtLink</w:t>
      </w:r>
      <w:r w:rsidRPr="00433A96">
        <w:rPr>
          <w:snapToGrid/>
          <w:kern w:val="0"/>
          <w:szCs w:val="22"/>
        </w:rPr>
        <w:t xml:space="preserve"> will assume Cherokee’s CAF obligations</w:t>
      </w:r>
      <w:r w:rsidR="00EF41BD">
        <w:rPr>
          <w:snapToGrid/>
          <w:kern w:val="0"/>
          <w:szCs w:val="22"/>
        </w:rPr>
        <w:t xml:space="preserve"> and acquire the corresponding CAF support</w:t>
      </w:r>
      <w:r w:rsidRPr="00433A96">
        <w:rPr>
          <w:snapToGrid/>
          <w:kern w:val="0"/>
          <w:szCs w:val="22"/>
        </w:rPr>
        <w:t xml:space="preserve"> for the Assigned Census Blocks.</w:t>
      </w:r>
      <w:r>
        <w:rPr>
          <w:snapToGrid/>
          <w:kern w:val="0"/>
          <w:szCs w:val="22"/>
          <w:vertAlign w:val="superscript"/>
        </w:rPr>
        <w:footnoteReference w:id="14"/>
      </w:r>
      <w:r w:rsidRPr="00433A96">
        <w:rPr>
          <w:snapToGrid/>
          <w:kern w:val="0"/>
          <w:szCs w:val="22"/>
        </w:rPr>
        <w:t xml:space="preserve">  </w:t>
      </w:r>
    </w:p>
    <w:p w:rsidR="00143076" w:rsidRPr="00143076" w:rsidP="00433A96" w14:paraId="4ED17AAC" w14:textId="55A91CE9">
      <w:pPr>
        <w:widowControl/>
        <w:autoSpaceDE w:val="0"/>
        <w:autoSpaceDN w:val="0"/>
        <w:adjustRightInd w:val="0"/>
        <w:spacing w:after="120"/>
        <w:ind w:firstLine="720"/>
        <w:rPr>
          <w:bCs/>
          <w:szCs w:val="22"/>
        </w:rPr>
      </w:pPr>
      <w:r w:rsidRPr="00433A96">
        <w:rPr>
          <w:bCs/>
          <w:snapToGrid/>
          <w:kern w:val="0"/>
          <w:szCs w:val="22"/>
        </w:rPr>
        <w:t>Applicants assert that a grant of the Application would serve the public interest, convenience, and necessity.</w:t>
      </w:r>
      <w:r>
        <w:rPr>
          <w:bCs/>
          <w:snapToGrid/>
          <w:kern w:val="0"/>
          <w:szCs w:val="22"/>
          <w:vertAlign w:val="superscript"/>
        </w:rPr>
        <w:footnoteReference w:id="15"/>
      </w:r>
      <w:r w:rsidRPr="00433A96">
        <w:rPr>
          <w:bCs/>
          <w:snapToGrid/>
          <w:kern w:val="0"/>
          <w:szCs w:val="22"/>
        </w:rPr>
        <w:t xml:space="preserve">  Following the consummation of the proposed transaction, Applicants state that “no carrier change charges will result from the transaction, and no customer service or billing contact information will change as a result of the transaction.”</w:t>
      </w:r>
      <w:r>
        <w:rPr>
          <w:bCs/>
          <w:snapToGrid/>
          <w:kern w:val="0"/>
          <w:szCs w:val="22"/>
          <w:vertAlign w:val="superscript"/>
        </w:rPr>
        <w:footnoteReference w:id="16"/>
      </w:r>
      <w:r w:rsidRPr="00433A96">
        <w:rPr>
          <w:bCs/>
          <w:snapToGrid/>
          <w:kern w:val="0"/>
          <w:szCs w:val="22"/>
        </w:rPr>
        <w:t xml:space="preserve">  Applicants maintain that “</w:t>
      </w:r>
      <w:r w:rsidRPr="00433A96">
        <w:rPr>
          <w:snapToGrid/>
          <w:kern w:val="0"/>
          <w:szCs w:val="22"/>
        </w:rPr>
        <w:t>AtLink</w:t>
      </w:r>
      <w:r w:rsidRPr="00433A96">
        <w:rPr>
          <w:snapToGrid/>
          <w:kern w:val="0"/>
          <w:szCs w:val="22"/>
        </w:rPr>
        <w:t xml:space="preserve"> has both the necessary industry experience and requisite financial means to take on the responsibility of deploying CAF-supported voice and broadband service in the Assigned Census Blocks it proposes to assume from Cherokee</w:t>
      </w:r>
      <w:r w:rsidR="00547B1A">
        <w:rPr>
          <w:snapToGrid/>
          <w:kern w:val="0"/>
          <w:szCs w:val="22"/>
        </w:rPr>
        <w:t>.</w:t>
      </w:r>
      <w:r w:rsidRPr="00433A96">
        <w:rPr>
          <w:snapToGrid/>
          <w:kern w:val="0"/>
          <w:szCs w:val="22"/>
        </w:rPr>
        <w:t>”</w:t>
      </w:r>
      <w:r>
        <w:rPr>
          <w:snapToGrid/>
          <w:kern w:val="0"/>
          <w:szCs w:val="22"/>
          <w:vertAlign w:val="superscript"/>
        </w:rPr>
        <w:footnoteReference w:id="17"/>
      </w:r>
      <w:r w:rsidRPr="00433A96">
        <w:rPr>
          <w:snapToGrid/>
          <w:kern w:val="0"/>
          <w:szCs w:val="22"/>
        </w:rPr>
        <w:t xml:space="preserve">  Applicants assert that “since becoming authorized to receive CAF support, Cherokee realized that the Assigned Census Blocks might be served in a more expeditious and cost-effective manner by </w:t>
      </w:r>
      <w:r w:rsidRPr="00433A96">
        <w:rPr>
          <w:snapToGrid/>
          <w:kern w:val="0"/>
          <w:szCs w:val="22"/>
        </w:rPr>
        <w:t>AtLink</w:t>
      </w:r>
      <w:r w:rsidRPr="00433A96">
        <w:rPr>
          <w:snapToGrid/>
          <w:kern w:val="0"/>
          <w:szCs w:val="22"/>
        </w:rPr>
        <w:t xml:space="preserve"> given its proximity to Cherokee’s CAF-supported areas, its existing operations, resources and infrastructure, and its ahead-of-schedule deployment of its own CAF obligations.”</w:t>
      </w:r>
      <w:r>
        <w:rPr>
          <w:snapToGrid/>
          <w:kern w:val="0"/>
          <w:szCs w:val="22"/>
          <w:vertAlign w:val="superscript"/>
        </w:rPr>
        <w:footnoteReference w:id="18"/>
      </w:r>
      <w:r w:rsidRPr="00433A96">
        <w:rPr>
          <w:snapToGrid/>
          <w:kern w:val="0"/>
          <w:szCs w:val="22"/>
        </w:rPr>
        <w:t xml:space="preserve">  They further state that “because Cherokee’s CAF areas are adjacent to or nearby </w:t>
      </w:r>
      <w:r w:rsidRPr="00433A96">
        <w:rPr>
          <w:snapToGrid/>
          <w:kern w:val="0"/>
          <w:szCs w:val="22"/>
        </w:rPr>
        <w:t>AtLink’s</w:t>
      </w:r>
      <w:r w:rsidRPr="00433A96">
        <w:rPr>
          <w:snapToGrid/>
          <w:kern w:val="0"/>
          <w:szCs w:val="22"/>
        </w:rPr>
        <w:t xml:space="preserve"> existing operations and </w:t>
      </w:r>
      <w:r w:rsidRPr="00433A96">
        <w:rPr>
          <w:snapToGrid/>
          <w:kern w:val="0"/>
          <w:szCs w:val="22"/>
        </w:rPr>
        <w:t>AtLink’s</w:t>
      </w:r>
      <w:r w:rsidRPr="00433A96">
        <w:rPr>
          <w:snapToGrid/>
          <w:kern w:val="0"/>
          <w:szCs w:val="22"/>
        </w:rPr>
        <w:t xml:space="preserve"> CAF-supported areas, </w:t>
      </w:r>
      <w:r w:rsidRPr="00433A96">
        <w:rPr>
          <w:snapToGrid/>
          <w:kern w:val="0"/>
          <w:szCs w:val="22"/>
        </w:rPr>
        <w:t>AtLink</w:t>
      </w:r>
      <w:r w:rsidRPr="00433A96">
        <w:rPr>
          <w:snapToGrid/>
          <w:kern w:val="0"/>
          <w:szCs w:val="22"/>
        </w:rPr>
        <w:t xml:space="preserve"> can achieve economies of scale and leverage its labor force, infrastructure and operational capabilities to rapidly and cost-effectively build out the Cherokee CAF areas as it expands its broadband operations.”</w:t>
      </w:r>
      <w:r>
        <w:rPr>
          <w:snapToGrid/>
          <w:kern w:val="0"/>
          <w:szCs w:val="22"/>
          <w:vertAlign w:val="superscript"/>
        </w:rPr>
        <w:footnoteReference w:id="19"/>
      </w:r>
      <w:r w:rsidRPr="00433A96">
        <w:rPr>
          <w:snapToGrid/>
          <w:kern w:val="0"/>
          <w:szCs w:val="22"/>
        </w:rPr>
        <w:t xml:space="preserve">  According to the Applicants, since “</w:t>
      </w:r>
      <w:r w:rsidRPr="00433A96">
        <w:rPr>
          <w:snapToGrid/>
          <w:kern w:val="0"/>
          <w:szCs w:val="22"/>
        </w:rPr>
        <w:t>AtLink</w:t>
      </w:r>
      <w:r w:rsidRPr="00433A96">
        <w:rPr>
          <w:snapToGrid/>
          <w:kern w:val="0"/>
          <w:szCs w:val="22"/>
        </w:rPr>
        <w:t xml:space="preserve"> is not taking on any debt repayment obligations or otherwise increasing substantially its costs to deploy service . . . . the transaction will not compromise </w:t>
      </w:r>
      <w:r w:rsidRPr="00433A96">
        <w:rPr>
          <w:snapToGrid/>
          <w:kern w:val="0"/>
          <w:szCs w:val="22"/>
        </w:rPr>
        <w:t>AtLink’s</w:t>
      </w:r>
      <w:r w:rsidRPr="00433A96">
        <w:rPr>
          <w:snapToGrid/>
          <w:kern w:val="0"/>
          <w:szCs w:val="22"/>
        </w:rPr>
        <w:t xml:space="preserve"> ability to meet the buildout milestones or performance obligations for either its CAF deployment or the deployment in Cherokee’s CAF supported areas.”</w:t>
      </w:r>
      <w:r>
        <w:rPr>
          <w:snapToGrid/>
          <w:kern w:val="0"/>
          <w:szCs w:val="22"/>
          <w:vertAlign w:val="superscript"/>
        </w:rPr>
        <w:footnoteReference w:id="20"/>
      </w:r>
      <w:r>
        <w:t xml:space="preserve"> </w:t>
      </w:r>
      <w:bookmarkEnd w:id="8"/>
    </w:p>
    <w:p w:rsidR="008D5B54" w:rsidRPr="00B02A93" w:rsidP="006C1880" w14:paraId="460F2DA2" w14:textId="77777777">
      <w:pPr>
        <w:keepNext/>
        <w:widowControl/>
        <w:autoSpaceDE w:val="0"/>
        <w:autoSpaceDN w:val="0"/>
        <w:adjustRightInd w:val="0"/>
        <w:spacing w:after="120"/>
        <w:rPr>
          <w:b/>
          <w:bCs/>
          <w:szCs w:val="22"/>
          <w:u w:val="single"/>
        </w:rPr>
      </w:pPr>
      <w:r w:rsidRPr="00B02A93">
        <w:rPr>
          <w:b/>
          <w:bCs/>
          <w:szCs w:val="22"/>
          <w:u w:val="single"/>
        </w:rPr>
        <w:t>Discussion</w:t>
      </w:r>
    </w:p>
    <w:p w:rsidR="00A901ED" w:rsidP="005A7365" w14:paraId="59A6062E" w14:textId="2702AEC7">
      <w:pPr>
        <w:widowControl/>
        <w:autoSpaceDE w:val="0"/>
        <w:autoSpaceDN w:val="0"/>
        <w:adjustRightInd w:val="0"/>
        <w:spacing w:after="120"/>
        <w:ind w:firstLine="720"/>
        <w:rPr>
          <w:szCs w:val="22"/>
        </w:rPr>
      </w:pPr>
      <w:r w:rsidRPr="00B02A93">
        <w:rPr>
          <w:szCs w:val="22"/>
        </w:rPr>
        <w:t xml:space="preserve">We find, upon </w:t>
      </w:r>
      <w:r w:rsidRPr="001A7655">
        <w:rPr>
          <w:szCs w:val="22"/>
        </w:rPr>
        <w:t xml:space="preserve">consideration </w:t>
      </w:r>
      <w:r w:rsidRPr="00B02A93">
        <w:rPr>
          <w:szCs w:val="22"/>
        </w:rPr>
        <w:t>of the record, that grant of the Application will serve the public interest, convenience, and necessity.</w:t>
      </w:r>
      <w:r>
        <w:rPr>
          <w:szCs w:val="22"/>
          <w:vertAlign w:val="superscript"/>
        </w:rPr>
        <w:footnoteReference w:id="21"/>
      </w:r>
      <w:r w:rsidRPr="00B02A93">
        <w:rPr>
          <w:szCs w:val="22"/>
        </w:rPr>
        <w:t xml:space="preserve">  </w:t>
      </w:r>
      <w:r w:rsidRPr="00A901ED">
        <w:rPr>
          <w:szCs w:val="22"/>
        </w:rPr>
        <w:t>To make this determination under Commission precedent, we consider whether the proposed transaction could result in public interest harms by substantially frustrating or impairing the objectives or implementation of the</w:t>
      </w:r>
      <w:r>
        <w:rPr>
          <w:szCs w:val="22"/>
        </w:rPr>
        <w:t xml:space="preserve"> </w:t>
      </w:r>
      <w:r w:rsidRPr="00A901ED">
        <w:rPr>
          <w:szCs w:val="22"/>
        </w:rPr>
        <w:t>Act or related statutes.</w:t>
      </w:r>
      <w:r>
        <w:rPr>
          <w:szCs w:val="22"/>
          <w:vertAlign w:val="superscript"/>
        </w:rPr>
        <w:footnoteReference w:id="22"/>
      </w:r>
      <w:r w:rsidRPr="00A901ED">
        <w:rPr>
          <w:szCs w:val="22"/>
        </w:rPr>
        <w:t xml:space="preserve">  We then employ a balancing test weighing any potential public interest harms of the proposed transaction against any </w:t>
      </w:r>
      <w:r w:rsidRPr="00A901ED">
        <w:rPr>
          <w:szCs w:val="22"/>
        </w:rPr>
        <w:t>potential public interest benefits.</w:t>
      </w:r>
      <w:r>
        <w:rPr>
          <w:szCs w:val="22"/>
          <w:vertAlign w:val="superscript"/>
        </w:rPr>
        <w:footnoteReference w:id="23"/>
      </w:r>
      <w:r w:rsidRPr="00A901ED">
        <w:rPr>
          <w:szCs w:val="22"/>
        </w:rPr>
        <w:t xml:space="preserve">  The Applicants bear the burden of proving, by a preponderance of the evidence, that the proposed transaction, on balance, serves the public interest.</w:t>
      </w:r>
      <w:r>
        <w:rPr>
          <w:szCs w:val="22"/>
          <w:vertAlign w:val="superscript"/>
        </w:rPr>
        <w:footnoteReference w:id="24"/>
      </w:r>
    </w:p>
    <w:p w:rsidR="00682D96" w:rsidRPr="00682D96" w:rsidP="008C5AED" w14:paraId="0C33C53F" w14:textId="1149CB5E">
      <w:pPr>
        <w:widowControl/>
        <w:autoSpaceDE w:val="0"/>
        <w:autoSpaceDN w:val="0"/>
        <w:adjustRightInd w:val="0"/>
        <w:spacing w:after="120"/>
        <w:ind w:firstLine="720"/>
        <w:rPr>
          <w:color w:val="000000"/>
          <w:szCs w:val="22"/>
        </w:rPr>
      </w:pPr>
      <w:r w:rsidRPr="00682D96">
        <w:rPr>
          <w:color w:val="000000"/>
          <w:szCs w:val="22"/>
        </w:rPr>
        <w:t>We find that there are no potential public interest harms identified in the record.  First, the proposed transaction</w:t>
      </w:r>
      <w:r w:rsidR="00025905">
        <w:rPr>
          <w:color w:val="000000"/>
          <w:szCs w:val="22"/>
        </w:rPr>
        <w:t xml:space="preserve"> likely</w:t>
      </w:r>
      <w:r w:rsidRPr="00682D96">
        <w:rPr>
          <w:color w:val="000000"/>
          <w:szCs w:val="22"/>
        </w:rPr>
        <w:t xml:space="preserve"> </w:t>
      </w:r>
      <w:r w:rsidRPr="007F2E5D" w:rsidR="00025905">
        <w:rPr>
          <w:bCs/>
          <w:color w:val="000000"/>
          <w:szCs w:val="22"/>
        </w:rPr>
        <w:t>will not adversely affect competition</w:t>
      </w:r>
      <w:r w:rsidR="005D1FDC">
        <w:rPr>
          <w:bCs/>
          <w:color w:val="000000"/>
          <w:szCs w:val="22"/>
        </w:rPr>
        <w:t>, and no commenter has raised other potential harms</w:t>
      </w:r>
      <w:r w:rsidR="00DF02FA">
        <w:rPr>
          <w:bCs/>
          <w:color w:val="000000"/>
          <w:szCs w:val="22"/>
        </w:rPr>
        <w:t>.</w:t>
      </w:r>
      <w:r w:rsidR="005D1FDC">
        <w:rPr>
          <w:bCs/>
          <w:color w:val="000000"/>
          <w:szCs w:val="22"/>
        </w:rPr>
        <w:t xml:space="preserve">  </w:t>
      </w:r>
      <w:r w:rsidR="005B420F">
        <w:rPr>
          <w:bCs/>
          <w:color w:val="000000"/>
          <w:szCs w:val="22"/>
        </w:rPr>
        <w:t>Applicants state that</w:t>
      </w:r>
      <w:r w:rsidR="003E5F74">
        <w:rPr>
          <w:bCs/>
          <w:color w:val="000000"/>
          <w:szCs w:val="22"/>
        </w:rPr>
        <w:t>, as proposed,</w:t>
      </w:r>
      <w:r w:rsidR="005B420F">
        <w:rPr>
          <w:bCs/>
          <w:color w:val="000000"/>
          <w:szCs w:val="22"/>
        </w:rPr>
        <w:t xml:space="preserve"> “there will be no reduction in competitors in Cherokee’s CAF-supported areas [and] there will be no negative impact on competition in the communications market anywhere in the United States</w:t>
      </w:r>
      <w:r w:rsidR="008965D6">
        <w:rPr>
          <w:bCs/>
          <w:color w:val="000000"/>
          <w:szCs w:val="22"/>
        </w:rPr>
        <w:t>.</w:t>
      </w:r>
      <w:r w:rsidR="005B420F">
        <w:rPr>
          <w:bCs/>
          <w:color w:val="000000"/>
          <w:szCs w:val="22"/>
        </w:rPr>
        <w:t>”</w:t>
      </w:r>
      <w:r>
        <w:rPr>
          <w:rStyle w:val="FootnoteReference"/>
          <w:bCs/>
          <w:szCs w:val="22"/>
        </w:rPr>
        <w:footnoteReference w:id="25"/>
      </w:r>
      <w:r w:rsidR="00F67BF1">
        <w:rPr>
          <w:bCs/>
          <w:color w:val="000000"/>
          <w:szCs w:val="22"/>
        </w:rPr>
        <w:t xml:space="preserve"> </w:t>
      </w:r>
      <w:r w:rsidR="008965D6">
        <w:rPr>
          <w:bCs/>
          <w:color w:val="000000"/>
          <w:szCs w:val="22"/>
        </w:rPr>
        <w:t xml:space="preserve"> </w:t>
      </w:r>
      <w:r w:rsidR="005B420F">
        <w:rPr>
          <w:bCs/>
          <w:color w:val="000000"/>
          <w:szCs w:val="22"/>
        </w:rPr>
        <w:t xml:space="preserve">Further, </w:t>
      </w:r>
      <w:r w:rsidRPr="00025905" w:rsidR="00025905">
        <w:rPr>
          <w:bCs/>
          <w:color w:val="000000"/>
          <w:szCs w:val="22"/>
        </w:rPr>
        <w:t>Applicants state</w:t>
      </w:r>
      <w:r w:rsidR="003E5F74">
        <w:rPr>
          <w:bCs/>
          <w:color w:val="000000"/>
          <w:szCs w:val="22"/>
        </w:rPr>
        <w:t xml:space="preserve"> that</w:t>
      </w:r>
      <w:r w:rsidR="00131DFC">
        <w:rPr>
          <w:bCs/>
          <w:color w:val="000000"/>
          <w:szCs w:val="22"/>
        </w:rPr>
        <w:t xml:space="preserve"> </w:t>
      </w:r>
      <w:r w:rsidR="008C5AED">
        <w:rPr>
          <w:bCs/>
          <w:color w:val="000000"/>
          <w:szCs w:val="22"/>
        </w:rPr>
        <w:t xml:space="preserve">the proposed </w:t>
      </w:r>
      <w:r w:rsidRPr="00025905" w:rsidR="00025905">
        <w:rPr>
          <w:bCs/>
          <w:color w:val="000000"/>
          <w:szCs w:val="22"/>
        </w:rPr>
        <w:t xml:space="preserve">transaction </w:t>
      </w:r>
      <w:r w:rsidRPr="007F2E5D" w:rsidR="00025905">
        <w:rPr>
          <w:bCs/>
          <w:color w:val="000000"/>
          <w:szCs w:val="22"/>
        </w:rPr>
        <w:t xml:space="preserve">will be </w:t>
      </w:r>
      <w:r w:rsidR="00915DB4">
        <w:rPr>
          <w:bCs/>
          <w:color w:val="000000"/>
          <w:szCs w:val="22"/>
        </w:rPr>
        <w:t>transparent</w:t>
      </w:r>
      <w:r w:rsidRPr="007F2E5D" w:rsidR="00025905">
        <w:rPr>
          <w:bCs/>
          <w:color w:val="000000"/>
          <w:szCs w:val="22"/>
        </w:rPr>
        <w:t xml:space="preserve"> </w:t>
      </w:r>
      <w:r w:rsidR="00131DFC">
        <w:rPr>
          <w:bCs/>
          <w:color w:val="000000"/>
          <w:szCs w:val="22"/>
        </w:rPr>
        <w:t>to the customers of the Applicants, who will continue to be served pursuant to each Applicant’s existing operations and existing terms and conditions</w:t>
      </w:r>
      <w:r w:rsidRPr="00025905" w:rsidR="00025905">
        <w:rPr>
          <w:bCs/>
          <w:color w:val="000000"/>
          <w:szCs w:val="22"/>
        </w:rPr>
        <w:t xml:space="preserve">, and therefore, we expect no </w:t>
      </w:r>
      <w:r w:rsidR="008C5AED">
        <w:rPr>
          <w:bCs/>
          <w:color w:val="000000"/>
          <w:szCs w:val="22"/>
        </w:rPr>
        <w:t>harm to existing customers</w:t>
      </w:r>
      <w:r w:rsidRPr="00025905" w:rsidR="00025905">
        <w:rPr>
          <w:bCs/>
          <w:color w:val="000000"/>
          <w:szCs w:val="22"/>
        </w:rPr>
        <w:t xml:space="preserve"> to result from the transactio</w:t>
      </w:r>
      <w:r w:rsidR="00025905">
        <w:rPr>
          <w:bCs/>
          <w:color w:val="000000"/>
          <w:szCs w:val="22"/>
        </w:rPr>
        <w:t>n.</w:t>
      </w:r>
      <w:r>
        <w:rPr>
          <w:rStyle w:val="FootnoteReference"/>
          <w:bCs/>
          <w:szCs w:val="22"/>
        </w:rPr>
        <w:footnoteReference w:id="26"/>
      </w:r>
    </w:p>
    <w:p w:rsidR="00682D96" w:rsidRPr="00682D96" w:rsidP="00682D96" w14:paraId="3922BA62" w14:textId="307D2EDB">
      <w:pPr>
        <w:widowControl/>
        <w:autoSpaceDE w:val="0"/>
        <w:autoSpaceDN w:val="0"/>
        <w:adjustRightInd w:val="0"/>
        <w:spacing w:after="120"/>
        <w:ind w:firstLine="720"/>
        <w:rPr>
          <w:color w:val="000000"/>
          <w:szCs w:val="22"/>
        </w:rPr>
      </w:pPr>
      <w:r w:rsidRPr="00682D96">
        <w:rPr>
          <w:color w:val="000000"/>
          <w:szCs w:val="22"/>
        </w:rPr>
        <w:t xml:space="preserve">Second, </w:t>
      </w:r>
      <w:r w:rsidR="003E5F74">
        <w:rPr>
          <w:color w:val="000000"/>
          <w:szCs w:val="22"/>
        </w:rPr>
        <w:t>AtLink</w:t>
      </w:r>
      <w:r w:rsidR="003E5F74">
        <w:rPr>
          <w:color w:val="000000"/>
          <w:szCs w:val="22"/>
        </w:rPr>
        <w:t xml:space="preserve"> certifies that it will meet</w:t>
      </w:r>
      <w:r w:rsidRPr="00682D96">
        <w:rPr>
          <w:color w:val="000000"/>
          <w:szCs w:val="22"/>
        </w:rPr>
        <w:t xml:space="preserve"> all public interest and performance obligations associated with the receipt of </w:t>
      </w:r>
      <w:r w:rsidR="003E5F74">
        <w:rPr>
          <w:color w:val="000000"/>
          <w:szCs w:val="22"/>
        </w:rPr>
        <w:t>CAF</w:t>
      </w:r>
      <w:r w:rsidRPr="00682D96">
        <w:rPr>
          <w:color w:val="000000"/>
          <w:szCs w:val="22"/>
        </w:rPr>
        <w:t xml:space="preserve"> funding in </w:t>
      </w:r>
      <w:r w:rsidR="0083451B">
        <w:rPr>
          <w:color w:val="000000"/>
          <w:szCs w:val="22"/>
        </w:rPr>
        <w:t>the Assigned Census Blocks</w:t>
      </w:r>
      <w:r w:rsidR="00994CBF">
        <w:rPr>
          <w:color w:val="000000"/>
          <w:szCs w:val="22"/>
        </w:rPr>
        <w:t>,</w:t>
      </w:r>
      <w:r>
        <w:rPr>
          <w:rStyle w:val="FootnoteReference"/>
          <w:szCs w:val="22"/>
        </w:rPr>
        <w:footnoteReference w:id="27"/>
      </w:r>
      <w:r w:rsidRPr="00682D96">
        <w:rPr>
          <w:color w:val="000000"/>
          <w:szCs w:val="22"/>
        </w:rPr>
        <w:t xml:space="preserve"> and we expect that the proposed transaction will not negatively impact these obligations.</w:t>
      </w:r>
      <w:r w:rsidRPr="00682D96">
        <w:rPr>
          <w:bCs/>
          <w:color w:val="000000"/>
          <w:szCs w:val="22"/>
        </w:rPr>
        <w:t xml:space="preserve">  </w:t>
      </w:r>
      <w:r w:rsidR="00093575">
        <w:rPr>
          <w:color w:val="000000"/>
          <w:szCs w:val="22"/>
        </w:rPr>
        <w:t>Indeed</w:t>
      </w:r>
      <w:r w:rsidRPr="00682D96">
        <w:rPr>
          <w:color w:val="000000"/>
          <w:szCs w:val="22"/>
        </w:rPr>
        <w:t xml:space="preserve">, Applicants have confirmed that </w:t>
      </w:r>
      <w:r w:rsidR="00801DFE">
        <w:rPr>
          <w:color w:val="000000"/>
          <w:szCs w:val="22"/>
        </w:rPr>
        <w:t>“the transaction will not result in any adverse alteration to the buildout plans Cherokee submitted to the Commission in order to be authorized to receive CAF funding,”</w:t>
      </w:r>
      <w:r>
        <w:rPr>
          <w:rStyle w:val="FootnoteReference"/>
          <w:szCs w:val="22"/>
        </w:rPr>
        <w:footnoteReference w:id="28"/>
      </w:r>
      <w:r w:rsidRPr="00682D96">
        <w:rPr>
          <w:color w:val="000000"/>
          <w:szCs w:val="22"/>
        </w:rPr>
        <w:t xml:space="preserve"> and that the proposed transaction will “</w:t>
      </w:r>
      <w:r w:rsidR="00801DFE">
        <w:rPr>
          <w:color w:val="000000"/>
          <w:szCs w:val="22"/>
        </w:rPr>
        <w:t xml:space="preserve">not result in any harms to either company’s existing customers and will accelerate </w:t>
      </w:r>
      <w:r w:rsidR="00801DFE">
        <w:rPr>
          <w:color w:val="000000"/>
          <w:szCs w:val="22"/>
        </w:rPr>
        <w:t>AtLink’s</w:t>
      </w:r>
      <w:r w:rsidR="00801DFE">
        <w:rPr>
          <w:color w:val="000000"/>
          <w:szCs w:val="22"/>
        </w:rPr>
        <w:t xml:space="preserve"> ongoing efforts to expand broadband service to unserved areas</w:t>
      </w:r>
      <w:r w:rsidRPr="00682D96">
        <w:rPr>
          <w:color w:val="000000"/>
          <w:szCs w:val="22"/>
        </w:rPr>
        <w:t>.”</w:t>
      </w:r>
      <w:r>
        <w:rPr>
          <w:color w:val="000000"/>
          <w:szCs w:val="22"/>
          <w:vertAlign w:val="superscript"/>
        </w:rPr>
        <w:footnoteReference w:id="29"/>
      </w:r>
      <w:r w:rsidRPr="00682D96">
        <w:rPr>
          <w:color w:val="000000"/>
          <w:szCs w:val="22"/>
        </w:rPr>
        <w:t xml:space="preserve">  </w:t>
      </w:r>
      <w:r w:rsidR="006A35D1">
        <w:rPr>
          <w:color w:val="000000"/>
          <w:szCs w:val="22"/>
        </w:rPr>
        <w:t>T</w:t>
      </w:r>
      <w:r w:rsidR="00CF4923">
        <w:rPr>
          <w:color w:val="000000"/>
          <w:szCs w:val="22"/>
        </w:rPr>
        <w:t xml:space="preserve">here is nothing in the record to indicate that </w:t>
      </w:r>
      <w:r w:rsidR="00CF4923">
        <w:rPr>
          <w:color w:val="000000"/>
          <w:szCs w:val="22"/>
        </w:rPr>
        <w:t>AtLink</w:t>
      </w:r>
      <w:r w:rsidR="00CF4923">
        <w:rPr>
          <w:color w:val="000000"/>
          <w:szCs w:val="22"/>
        </w:rPr>
        <w:t xml:space="preserve"> is not qualified to </w:t>
      </w:r>
      <w:r w:rsidR="006A35D1">
        <w:rPr>
          <w:color w:val="000000"/>
          <w:szCs w:val="22"/>
        </w:rPr>
        <w:t xml:space="preserve">efficiently </w:t>
      </w:r>
      <w:r w:rsidR="00CF4923">
        <w:rPr>
          <w:color w:val="000000"/>
          <w:szCs w:val="22"/>
        </w:rPr>
        <w:t xml:space="preserve">manage the obligations associated with the CAF funding.  </w:t>
      </w:r>
      <w:r w:rsidR="00CF4923">
        <w:rPr>
          <w:color w:val="000000"/>
          <w:szCs w:val="22"/>
        </w:rPr>
        <w:t>AtLink</w:t>
      </w:r>
      <w:r w:rsidR="00CF4923">
        <w:rPr>
          <w:color w:val="000000"/>
          <w:szCs w:val="22"/>
        </w:rPr>
        <w:t xml:space="preserve"> is a rural broadband provider already receiving CAF support in Oklahoma as an ETC and states that it has deployed fiber in its </w:t>
      </w:r>
      <w:r w:rsidR="00C22BA8">
        <w:rPr>
          <w:color w:val="000000"/>
          <w:szCs w:val="22"/>
        </w:rPr>
        <w:t xml:space="preserve">existing </w:t>
      </w:r>
      <w:r w:rsidR="00CF4923">
        <w:rPr>
          <w:color w:val="000000"/>
          <w:szCs w:val="22"/>
        </w:rPr>
        <w:t>assigned census blocks.</w:t>
      </w:r>
      <w:r>
        <w:rPr>
          <w:rStyle w:val="FootnoteReference"/>
          <w:szCs w:val="22"/>
        </w:rPr>
        <w:footnoteReference w:id="30"/>
      </w:r>
      <w:r w:rsidR="00CF4923">
        <w:rPr>
          <w:color w:val="000000"/>
          <w:szCs w:val="22"/>
        </w:rPr>
        <w:t xml:space="preserve">  Applicants have </w:t>
      </w:r>
      <w:r w:rsidRPr="00682D96">
        <w:rPr>
          <w:color w:val="000000"/>
          <w:szCs w:val="22"/>
        </w:rPr>
        <w:t xml:space="preserve">confirmed </w:t>
      </w:r>
      <w:r w:rsidR="00742221">
        <w:rPr>
          <w:color w:val="000000"/>
          <w:szCs w:val="22"/>
        </w:rPr>
        <w:t xml:space="preserve">that following consummation of the proposed transaction, </w:t>
      </w:r>
      <w:r w:rsidR="00801DFE">
        <w:rPr>
          <w:color w:val="000000"/>
          <w:szCs w:val="22"/>
        </w:rPr>
        <w:t>AtLink</w:t>
      </w:r>
      <w:r w:rsidR="00742221">
        <w:rPr>
          <w:color w:val="000000"/>
          <w:szCs w:val="22"/>
        </w:rPr>
        <w:t xml:space="preserve"> will </w:t>
      </w:r>
      <w:r w:rsidR="00CF4923">
        <w:rPr>
          <w:color w:val="000000"/>
          <w:szCs w:val="22"/>
        </w:rPr>
        <w:t xml:space="preserve">continue to </w:t>
      </w:r>
      <w:r w:rsidR="00742221">
        <w:rPr>
          <w:color w:val="000000"/>
          <w:szCs w:val="22"/>
        </w:rPr>
        <w:t xml:space="preserve">have the necessary managerial and operational expertise to meet the </w:t>
      </w:r>
      <w:r w:rsidR="00CF4923">
        <w:rPr>
          <w:color w:val="000000"/>
          <w:szCs w:val="22"/>
        </w:rPr>
        <w:t>additional</w:t>
      </w:r>
      <w:r w:rsidR="00742221">
        <w:rPr>
          <w:color w:val="000000"/>
          <w:szCs w:val="22"/>
        </w:rPr>
        <w:t xml:space="preserve"> </w:t>
      </w:r>
      <w:r w:rsidR="00801DFE">
        <w:rPr>
          <w:color w:val="000000"/>
          <w:szCs w:val="22"/>
        </w:rPr>
        <w:t>CAF</w:t>
      </w:r>
      <w:r w:rsidR="00742221">
        <w:rPr>
          <w:color w:val="000000"/>
          <w:szCs w:val="22"/>
        </w:rPr>
        <w:t xml:space="preserve"> commitments</w:t>
      </w:r>
      <w:r w:rsidR="00C22BA8">
        <w:rPr>
          <w:color w:val="000000"/>
          <w:szCs w:val="22"/>
        </w:rPr>
        <w:t xml:space="preserve"> it acquires from Cherokee</w:t>
      </w:r>
      <w:r w:rsidR="00994CBF">
        <w:rPr>
          <w:color w:val="000000"/>
          <w:szCs w:val="22"/>
        </w:rPr>
        <w:t>.</w:t>
      </w:r>
      <w:r>
        <w:rPr>
          <w:color w:val="000000"/>
          <w:szCs w:val="22"/>
          <w:vertAlign w:val="superscript"/>
        </w:rPr>
        <w:footnoteReference w:id="31"/>
      </w:r>
      <w:r w:rsidRPr="00682D96">
        <w:rPr>
          <w:color w:val="000000"/>
          <w:szCs w:val="22"/>
        </w:rPr>
        <w:t xml:space="preserve"> </w:t>
      </w:r>
      <w:r w:rsidR="00994CBF">
        <w:rPr>
          <w:color w:val="000000"/>
          <w:szCs w:val="22"/>
        </w:rPr>
        <w:t xml:space="preserve"> </w:t>
      </w:r>
      <w:r w:rsidR="00043FF5">
        <w:rPr>
          <w:color w:val="000000"/>
          <w:szCs w:val="22"/>
        </w:rPr>
        <w:t xml:space="preserve">Applicants further state that the proposed transaction will not compromise </w:t>
      </w:r>
      <w:r w:rsidR="00994CBF">
        <w:rPr>
          <w:color w:val="000000"/>
          <w:szCs w:val="22"/>
        </w:rPr>
        <w:t>AtLink</w:t>
      </w:r>
      <w:r w:rsidR="00043FF5">
        <w:rPr>
          <w:color w:val="000000"/>
          <w:szCs w:val="22"/>
        </w:rPr>
        <w:t>’s</w:t>
      </w:r>
      <w:r w:rsidR="00043FF5">
        <w:rPr>
          <w:color w:val="000000"/>
          <w:szCs w:val="22"/>
        </w:rPr>
        <w:t xml:space="preserve"> support obligations through the assumption of debt.</w:t>
      </w:r>
      <w:r>
        <w:rPr>
          <w:rStyle w:val="FootnoteReference"/>
          <w:szCs w:val="22"/>
        </w:rPr>
        <w:footnoteReference w:id="32"/>
      </w:r>
      <w:r w:rsidR="00043FF5">
        <w:rPr>
          <w:color w:val="000000"/>
          <w:szCs w:val="22"/>
        </w:rPr>
        <w:t xml:space="preserve">  </w:t>
      </w:r>
      <w:r w:rsidR="007E4A79">
        <w:rPr>
          <w:color w:val="000000"/>
          <w:szCs w:val="22"/>
        </w:rPr>
        <w:t xml:space="preserve">In addition, </w:t>
      </w:r>
      <w:r w:rsidR="00994CBF">
        <w:rPr>
          <w:color w:val="000000"/>
          <w:szCs w:val="22"/>
        </w:rPr>
        <w:t>AtLink</w:t>
      </w:r>
      <w:r w:rsidR="007E4A79">
        <w:rPr>
          <w:color w:val="000000"/>
          <w:szCs w:val="22"/>
        </w:rPr>
        <w:t xml:space="preserve"> </w:t>
      </w:r>
      <w:r w:rsidRPr="007E4A79" w:rsidR="007E4A79">
        <w:t>will be subject to ongoing oversight</w:t>
      </w:r>
      <w:r w:rsidR="00994CBF">
        <w:t xml:space="preserve"> and </w:t>
      </w:r>
      <w:r w:rsidRPr="007E4A79" w:rsidR="007E4A79">
        <w:t>must comply with annual reporting and certification requirements</w:t>
      </w:r>
      <w:r w:rsidR="00994CBF">
        <w:t>.</w:t>
      </w:r>
    </w:p>
    <w:p w:rsidR="00A901ED" w:rsidP="00B33C83" w14:paraId="6A9051AB" w14:textId="47E96C7A">
      <w:pPr>
        <w:widowControl/>
        <w:autoSpaceDE w:val="0"/>
        <w:autoSpaceDN w:val="0"/>
        <w:adjustRightInd w:val="0"/>
        <w:spacing w:after="120"/>
        <w:ind w:firstLine="720"/>
        <w:rPr>
          <w:szCs w:val="22"/>
        </w:rPr>
      </w:pPr>
      <w:r>
        <w:rPr>
          <w:szCs w:val="22"/>
        </w:rPr>
        <w:t>We</w:t>
      </w:r>
      <w:r w:rsidRPr="00A901ED">
        <w:rPr>
          <w:szCs w:val="22"/>
        </w:rPr>
        <w:t xml:space="preserve"> next consider whether the proposed transaction is likely to generate verifiable, transaction-specific public interest benefits.</w:t>
      </w:r>
      <w:r>
        <w:rPr>
          <w:szCs w:val="22"/>
          <w:vertAlign w:val="superscript"/>
        </w:rPr>
        <w:footnoteReference w:id="33"/>
      </w:r>
      <w:r w:rsidRPr="00A901ED">
        <w:rPr>
          <w:szCs w:val="22"/>
        </w:rPr>
        <w:t xml:space="preserve"> </w:t>
      </w:r>
      <w:r w:rsidR="00BB2051">
        <w:rPr>
          <w:szCs w:val="22"/>
        </w:rPr>
        <w:t xml:space="preserve"> </w:t>
      </w:r>
      <w:r w:rsidRPr="00A901ED">
        <w:rPr>
          <w:szCs w:val="22"/>
        </w:rPr>
        <w:t xml:space="preserve">Applicants must provide evidence of a claimed benefit to allow the </w:t>
      </w:r>
      <w:r w:rsidRPr="00A901ED">
        <w:rPr>
          <w:szCs w:val="22"/>
        </w:rPr>
        <w:t>Commission to verify its likelihood and magnitude.</w:t>
      </w:r>
      <w:r>
        <w:rPr>
          <w:szCs w:val="22"/>
          <w:vertAlign w:val="superscript"/>
        </w:rPr>
        <w:footnoteReference w:id="34"/>
      </w:r>
      <w:r w:rsidRPr="00A901ED">
        <w:rPr>
          <w:szCs w:val="22"/>
        </w:rPr>
        <w:t xml:space="preserve">  Where potential harms appear unlikely, as is the case with the Application before us here, the Commission accepts a lesser degree of magnitude and likelihood than when harms are present.</w:t>
      </w:r>
      <w:r>
        <w:rPr>
          <w:szCs w:val="22"/>
          <w:vertAlign w:val="superscript"/>
        </w:rPr>
        <w:footnoteReference w:id="35"/>
      </w:r>
      <w:r w:rsidRPr="00A901ED">
        <w:rPr>
          <w:szCs w:val="22"/>
        </w:rPr>
        <w:t xml:space="preserve">  </w:t>
      </w:r>
    </w:p>
    <w:p w:rsidR="00682D96" w:rsidRPr="0076309F" w:rsidP="0076309F" w14:paraId="301919C1" w14:textId="6C9F885B">
      <w:pPr>
        <w:widowControl/>
        <w:autoSpaceDE w:val="0"/>
        <w:autoSpaceDN w:val="0"/>
        <w:adjustRightInd w:val="0"/>
        <w:spacing w:after="120"/>
        <w:ind w:firstLine="720"/>
        <w:rPr>
          <w:szCs w:val="22"/>
        </w:rPr>
      </w:pPr>
      <w:r>
        <w:rPr>
          <w:bCs/>
          <w:szCs w:val="22"/>
        </w:rPr>
        <w:t xml:space="preserve">Applicants </w:t>
      </w:r>
      <w:r w:rsidR="00907362">
        <w:rPr>
          <w:bCs/>
          <w:szCs w:val="22"/>
        </w:rPr>
        <w:t xml:space="preserve">“anticipate that with the financial and human resources and operational efficiencies </w:t>
      </w:r>
      <w:r w:rsidR="00907362">
        <w:rPr>
          <w:bCs/>
          <w:szCs w:val="22"/>
        </w:rPr>
        <w:t>AtLink</w:t>
      </w:r>
      <w:r w:rsidR="00907362">
        <w:rPr>
          <w:bCs/>
          <w:szCs w:val="22"/>
        </w:rPr>
        <w:t xml:space="preserve"> will provide, consumers will be able to re</w:t>
      </w:r>
      <w:r w:rsidR="00BB2051">
        <w:rPr>
          <w:bCs/>
          <w:szCs w:val="22"/>
        </w:rPr>
        <w:t>ceive</w:t>
      </w:r>
      <w:r w:rsidR="00907362">
        <w:rPr>
          <w:bCs/>
          <w:szCs w:val="22"/>
        </w:rPr>
        <w:t xml:space="preserve"> CAF services in the </w:t>
      </w:r>
      <w:r w:rsidR="00BB2051">
        <w:rPr>
          <w:bCs/>
          <w:szCs w:val="22"/>
        </w:rPr>
        <w:t>Assigned</w:t>
      </w:r>
      <w:r w:rsidR="00907362">
        <w:rPr>
          <w:bCs/>
          <w:szCs w:val="22"/>
        </w:rPr>
        <w:t xml:space="preserve"> </w:t>
      </w:r>
      <w:r w:rsidR="00BB2051">
        <w:rPr>
          <w:bCs/>
          <w:szCs w:val="22"/>
        </w:rPr>
        <w:t>Census</w:t>
      </w:r>
      <w:r w:rsidR="00907362">
        <w:rPr>
          <w:bCs/>
          <w:szCs w:val="22"/>
        </w:rPr>
        <w:t xml:space="preserve"> Blocks more quickly.</w:t>
      </w:r>
      <w:r w:rsidRPr="007F2E5D" w:rsidR="00B33C83">
        <w:rPr>
          <w:bCs/>
          <w:szCs w:val="22"/>
        </w:rPr>
        <w:t>”</w:t>
      </w:r>
      <w:r>
        <w:rPr>
          <w:bCs/>
          <w:szCs w:val="22"/>
          <w:vertAlign w:val="superscript"/>
        </w:rPr>
        <w:footnoteReference w:id="36"/>
      </w:r>
      <w:r w:rsidRPr="007F2E5D" w:rsidR="00B33C83">
        <w:rPr>
          <w:bCs/>
          <w:szCs w:val="22"/>
        </w:rPr>
        <w:t xml:space="preserve">  </w:t>
      </w:r>
      <w:r w:rsidRPr="0076309F">
        <w:rPr>
          <w:bCs/>
          <w:szCs w:val="22"/>
        </w:rPr>
        <w:t>The Commission has specified that ensuring consumers receive new or additional services is an important public interest factor</w:t>
      </w:r>
      <w:r>
        <w:rPr>
          <w:bCs/>
          <w:szCs w:val="22"/>
          <w:vertAlign w:val="superscript"/>
        </w:rPr>
        <w:footnoteReference w:id="37"/>
      </w:r>
      <w:r w:rsidRPr="0076309F">
        <w:rPr>
          <w:bCs/>
          <w:szCs w:val="22"/>
        </w:rPr>
        <w:t xml:space="preserve"> </w:t>
      </w:r>
      <w:r w:rsidR="00CE6E0B">
        <w:rPr>
          <w:bCs/>
          <w:szCs w:val="22"/>
        </w:rPr>
        <w:t>and</w:t>
      </w:r>
      <w:r w:rsidRPr="0076309F">
        <w:rPr>
          <w:bCs/>
          <w:szCs w:val="22"/>
        </w:rPr>
        <w:t xml:space="preserve"> accelerating private sector deployment of advanced services</w:t>
      </w:r>
      <w:r w:rsidR="00CE6E0B">
        <w:rPr>
          <w:bCs/>
          <w:szCs w:val="22"/>
        </w:rPr>
        <w:t xml:space="preserve"> is one of the aims of the Act</w:t>
      </w:r>
      <w:r w:rsidRPr="0076309F">
        <w:rPr>
          <w:bCs/>
          <w:szCs w:val="22"/>
        </w:rPr>
        <w:t>.</w:t>
      </w:r>
      <w:r>
        <w:rPr>
          <w:bCs/>
          <w:szCs w:val="22"/>
          <w:vertAlign w:val="superscript"/>
        </w:rPr>
        <w:footnoteReference w:id="38"/>
      </w:r>
      <w:r w:rsidRPr="0076309F">
        <w:rPr>
          <w:bCs/>
          <w:szCs w:val="22"/>
        </w:rPr>
        <w:t xml:space="preserve">  </w:t>
      </w:r>
      <w:r w:rsidR="00BB2051">
        <w:rPr>
          <w:bCs/>
          <w:snapToGrid/>
          <w:kern w:val="0"/>
          <w:szCs w:val="22"/>
        </w:rPr>
        <w:t>AtLink</w:t>
      </w:r>
      <w:r w:rsidR="00246575">
        <w:rPr>
          <w:bCs/>
          <w:snapToGrid/>
          <w:kern w:val="0"/>
          <w:szCs w:val="22"/>
        </w:rPr>
        <w:t xml:space="preserve"> is already a recipient of universal service funding in </w:t>
      </w:r>
      <w:r w:rsidR="00BB2051">
        <w:rPr>
          <w:bCs/>
          <w:snapToGrid/>
          <w:kern w:val="0"/>
          <w:szCs w:val="22"/>
        </w:rPr>
        <w:t>Oklahoma</w:t>
      </w:r>
      <w:r w:rsidR="00246575">
        <w:rPr>
          <w:bCs/>
          <w:snapToGrid/>
          <w:kern w:val="0"/>
          <w:szCs w:val="22"/>
        </w:rPr>
        <w:t>,</w:t>
      </w:r>
      <w:r>
        <w:rPr>
          <w:rStyle w:val="FootnoteReference"/>
          <w:bCs/>
          <w:snapToGrid/>
          <w:kern w:val="0"/>
          <w:szCs w:val="22"/>
        </w:rPr>
        <w:footnoteReference w:id="39"/>
      </w:r>
      <w:r w:rsidR="00246575">
        <w:rPr>
          <w:bCs/>
          <w:snapToGrid/>
          <w:kern w:val="0"/>
          <w:szCs w:val="22"/>
        </w:rPr>
        <w:t xml:space="preserve"> has experience </w:t>
      </w:r>
      <w:r w:rsidR="00BB2051">
        <w:rPr>
          <w:bCs/>
          <w:snapToGrid/>
          <w:kern w:val="0"/>
          <w:szCs w:val="22"/>
        </w:rPr>
        <w:t>deploying</w:t>
      </w:r>
      <w:r w:rsidR="00246575">
        <w:rPr>
          <w:bCs/>
          <w:snapToGrid/>
          <w:kern w:val="0"/>
          <w:szCs w:val="22"/>
        </w:rPr>
        <w:t xml:space="preserve"> broadband networks,</w:t>
      </w:r>
      <w:r>
        <w:rPr>
          <w:rStyle w:val="FootnoteReference"/>
          <w:bCs/>
          <w:snapToGrid/>
          <w:kern w:val="0"/>
          <w:szCs w:val="22"/>
        </w:rPr>
        <w:footnoteReference w:id="40"/>
      </w:r>
      <w:r w:rsidR="00246575">
        <w:rPr>
          <w:bCs/>
          <w:snapToGrid/>
          <w:kern w:val="0"/>
          <w:szCs w:val="22"/>
        </w:rPr>
        <w:t xml:space="preserve"> and intends to </w:t>
      </w:r>
      <w:r w:rsidR="00BB2051">
        <w:rPr>
          <w:bCs/>
          <w:snapToGrid/>
          <w:kern w:val="0"/>
          <w:szCs w:val="22"/>
        </w:rPr>
        <w:t>integrate deployment of the CAF-supported network activities and operations into its own ongoing operations and its CAF deployment</w:t>
      </w:r>
      <w:r w:rsidR="00246575">
        <w:rPr>
          <w:bCs/>
          <w:snapToGrid/>
          <w:kern w:val="0"/>
          <w:szCs w:val="22"/>
        </w:rPr>
        <w:t>.</w:t>
      </w:r>
      <w:r>
        <w:rPr>
          <w:rStyle w:val="FootnoteReference"/>
          <w:bCs/>
          <w:snapToGrid/>
          <w:kern w:val="0"/>
          <w:szCs w:val="22"/>
        </w:rPr>
        <w:footnoteReference w:id="41"/>
      </w:r>
      <w:r w:rsidR="00246575">
        <w:rPr>
          <w:bCs/>
          <w:snapToGrid/>
          <w:kern w:val="0"/>
          <w:szCs w:val="22"/>
        </w:rPr>
        <w:t xml:space="preserve">  </w:t>
      </w:r>
      <w:r>
        <w:rPr>
          <w:bCs/>
          <w:snapToGrid/>
          <w:kern w:val="0"/>
          <w:szCs w:val="22"/>
        </w:rPr>
        <w:t>Based on the record of this proceeding, we find it likely that the proposed transaction would result in some public interest benefits</w:t>
      </w:r>
      <w:r w:rsidR="00246575">
        <w:rPr>
          <w:bCs/>
          <w:snapToGrid/>
          <w:kern w:val="0"/>
          <w:szCs w:val="22"/>
        </w:rPr>
        <w:t xml:space="preserve">, including increased </w:t>
      </w:r>
      <w:r w:rsidR="008178AF">
        <w:rPr>
          <w:bCs/>
          <w:snapToGrid/>
          <w:kern w:val="0"/>
          <w:szCs w:val="22"/>
        </w:rPr>
        <w:t>efficiencies</w:t>
      </w:r>
      <w:r w:rsidR="00246575">
        <w:rPr>
          <w:bCs/>
          <w:snapToGrid/>
          <w:kern w:val="0"/>
          <w:szCs w:val="22"/>
        </w:rPr>
        <w:t xml:space="preserve"> for </w:t>
      </w:r>
      <w:r w:rsidR="008178AF">
        <w:rPr>
          <w:bCs/>
          <w:snapToGrid/>
          <w:kern w:val="0"/>
          <w:szCs w:val="22"/>
        </w:rPr>
        <w:t>AtLink</w:t>
      </w:r>
      <w:r w:rsidR="00246575">
        <w:rPr>
          <w:bCs/>
          <w:snapToGrid/>
          <w:kern w:val="0"/>
          <w:szCs w:val="22"/>
        </w:rPr>
        <w:t xml:space="preserve"> to expand service offerings</w:t>
      </w:r>
      <w:r w:rsidR="008178AF">
        <w:rPr>
          <w:bCs/>
          <w:snapToGrid/>
          <w:kern w:val="0"/>
          <w:szCs w:val="22"/>
        </w:rPr>
        <w:t xml:space="preserve"> more quickly</w:t>
      </w:r>
      <w:r w:rsidR="00246575">
        <w:rPr>
          <w:bCs/>
          <w:snapToGrid/>
          <w:kern w:val="0"/>
          <w:szCs w:val="22"/>
        </w:rPr>
        <w:t xml:space="preserve"> and better compete</w:t>
      </w:r>
      <w:r>
        <w:rPr>
          <w:bCs/>
          <w:snapToGrid/>
          <w:kern w:val="0"/>
          <w:szCs w:val="22"/>
        </w:rPr>
        <w:t xml:space="preserve">.  </w:t>
      </w:r>
      <w:r>
        <w:rPr>
          <w:snapToGrid/>
          <w:kern w:val="0"/>
          <w:szCs w:val="22"/>
        </w:rPr>
        <w:t>Absent any potential harms, and c</w:t>
      </w:r>
      <w:r w:rsidRPr="00585EC7">
        <w:rPr>
          <w:snapToGrid/>
          <w:kern w:val="0"/>
          <w:szCs w:val="22"/>
        </w:rPr>
        <w:t>onsidering that the proposed transaction is likely to yield some benefits, we find</w:t>
      </w:r>
      <w:r>
        <w:rPr>
          <w:snapToGrid/>
          <w:kern w:val="0"/>
          <w:szCs w:val="22"/>
        </w:rPr>
        <w:t>,</w:t>
      </w:r>
      <w:r w:rsidRPr="00585EC7">
        <w:rPr>
          <w:snapToGrid/>
          <w:kern w:val="0"/>
          <w:szCs w:val="22"/>
        </w:rPr>
        <w:t xml:space="preserve"> on balance</w:t>
      </w:r>
      <w:r>
        <w:rPr>
          <w:snapToGrid/>
          <w:kern w:val="0"/>
          <w:szCs w:val="22"/>
        </w:rPr>
        <w:t>,</w:t>
      </w:r>
      <w:r w:rsidRPr="00585EC7">
        <w:rPr>
          <w:snapToGrid/>
          <w:kern w:val="0"/>
          <w:szCs w:val="22"/>
        </w:rPr>
        <w:t xml:space="preserve"> that the proposed transaction serves the public interest.</w:t>
      </w:r>
    </w:p>
    <w:p w:rsidR="00D06F09" w:rsidP="00D0137A" w14:paraId="588EC071" w14:textId="4D7B563C">
      <w:pPr>
        <w:widowControl/>
        <w:autoSpaceDE w:val="0"/>
        <w:autoSpaceDN w:val="0"/>
        <w:adjustRightInd w:val="0"/>
        <w:spacing w:after="120"/>
        <w:ind w:firstLine="720"/>
        <w:rPr>
          <w:szCs w:val="22"/>
        </w:rPr>
      </w:pPr>
      <w:r w:rsidRPr="00B02A93">
        <w:rPr>
          <w:szCs w:val="22"/>
        </w:rPr>
        <w:t xml:space="preserve">Therefore, pursuant to section 214 of the Act, 47 U.S.C. § 214, and sections 0.91, 0.291, </w:t>
      </w:r>
      <w:r w:rsidRPr="00B02A93">
        <w:rPr>
          <w:snapToGrid/>
          <w:kern w:val="0"/>
          <w:szCs w:val="22"/>
        </w:rPr>
        <w:t>63.03, and 63.04</w:t>
      </w:r>
      <w:r w:rsidRPr="00B02A93">
        <w:rPr>
          <w:szCs w:val="22"/>
        </w:rPr>
        <w:t xml:space="preserve"> of the Commission’s rules, 47 CFR §§ 0.91, 0.291, 63.03, and 63.04, the Bureau hereby grants the </w:t>
      </w:r>
      <w:r w:rsidRPr="00D0137A">
        <w:t>Application</w:t>
      </w:r>
      <w:r w:rsidRPr="00B02A93">
        <w:rPr>
          <w:szCs w:val="22"/>
        </w:rPr>
        <w:t xml:space="preserve"> discussed in this Public Notice</w:t>
      </w:r>
      <w:r w:rsidR="00746770">
        <w:rPr>
          <w:szCs w:val="22"/>
        </w:rPr>
        <w:t xml:space="preserve"> under which the </w:t>
      </w:r>
      <w:r w:rsidRPr="008C12CA" w:rsidR="00746770">
        <w:rPr>
          <w:snapToGrid/>
          <w:kern w:val="0"/>
          <w:szCs w:val="22"/>
        </w:rPr>
        <w:t>CAF Phase II obligations</w:t>
      </w:r>
      <w:r w:rsidR="00746770">
        <w:rPr>
          <w:snapToGrid/>
          <w:kern w:val="0"/>
          <w:szCs w:val="22"/>
        </w:rPr>
        <w:t xml:space="preserve"> and</w:t>
      </w:r>
      <w:r w:rsidRPr="008C12CA" w:rsidR="00746770">
        <w:rPr>
          <w:snapToGrid/>
          <w:kern w:val="0"/>
          <w:szCs w:val="22"/>
        </w:rPr>
        <w:t xml:space="preserve"> support for </w:t>
      </w:r>
      <w:r w:rsidR="00746770">
        <w:rPr>
          <w:snapToGrid/>
          <w:kern w:val="0"/>
          <w:szCs w:val="22"/>
        </w:rPr>
        <w:t xml:space="preserve">Cherokee’s </w:t>
      </w:r>
      <w:r w:rsidRPr="008C12CA" w:rsidR="00746770">
        <w:rPr>
          <w:snapToGrid/>
          <w:kern w:val="0"/>
          <w:szCs w:val="22"/>
        </w:rPr>
        <w:t>Assigned Census Blocks</w:t>
      </w:r>
      <w:r w:rsidR="00746770">
        <w:rPr>
          <w:snapToGrid/>
          <w:kern w:val="0"/>
          <w:szCs w:val="22"/>
        </w:rPr>
        <w:t xml:space="preserve"> in Oklahoma will be transferred to </w:t>
      </w:r>
      <w:r w:rsidRPr="008C12CA" w:rsidR="00746770">
        <w:rPr>
          <w:snapToGrid/>
          <w:kern w:val="0"/>
          <w:szCs w:val="22"/>
        </w:rPr>
        <w:t>AtLin</w:t>
      </w:r>
      <w:r w:rsidR="00746770">
        <w:rPr>
          <w:snapToGrid/>
          <w:kern w:val="0"/>
          <w:szCs w:val="22"/>
        </w:rPr>
        <w:t>k</w:t>
      </w:r>
      <w:r w:rsidR="00746770">
        <w:rPr>
          <w:snapToGrid/>
          <w:kern w:val="0"/>
          <w:szCs w:val="22"/>
        </w:rPr>
        <w:t xml:space="preserve">, subject to </w:t>
      </w:r>
      <w:r w:rsidR="00DF1626">
        <w:rPr>
          <w:snapToGrid/>
          <w:kern w:val="0"/>
          <w:szCs w:val="22"/>
        </w:rPr>
        <w:t>AtLink’s</w:t>
      </w:r>
      <w:r w:rsidR="00DF1626">
        <w:rPr>
          <w:snapToGrid/>
          <w:kern w:val="0"/>
          <w:szCs w:val="22"/>
        </w:rPr>
        <w:t xml:space="preserve"> compliance with all applicable obligations.</w:t>
      </w:r>
      <w:r>
        <w:rPr>
          <w:rStyle w:val="FootnoteReference"/>
          <w:snapToGrid/>
          <w:kern w:val="0"/>
          <w:szCs w:val="22"/>
        </w:rPr>
        <w:footnoteReference w:id="42"/>
      </w:r>
      <w:r w:rsidRPr="00B02A93">
        <w:rPr>
          <w:szCs w:val="22"/>
        </w:rPr>
        <w:t xml:space="preserve">  </w:t>
      </w:r>
    </w:p>
    <w:p w:rsidR="002D7CCE" w:rsidRPr="00B02A93" w:rsidP="00D0137A" w14:paraId="110330C6" w14:textId="00DCCB16">
      <w:pPr>
        <w:widowControl/>
        <w:autoSpaceDE w:val="0"/>
        <w:autoSpaceDN w:val="0"/>
        <w:adjustRightInd w:val="0"/>
        <w:spacing w:after="120"/>
        <w:ind w:firstLine="720"/>
        <w:rPr>
          <w:szCs w:val="22"/>
        </w:rPr>
      </w:pPr>
      <w:r w:rsidRPr="00B02A93">
        <w:rPr>
          <w:szCs w:val="22"/>
        </w:rPr>
        <w:t>Pursuant to section 1.103 of the Commission</w:t>
      </w:r>
      <w:r w:rsidR="00BC1F26">
        <w:rPr>
          <w:szCs w:val="22"/>
        </w:rPr>
        <w:t>’</w:t>
      </w:r>
      <w:r w:rsidRPr="00B02A93">
        <w:rPr>
          <w:szCs w:val="22"/>
        </w:rPr>
        <w:t xml:space="preserve">s rules, 47 </w:t>
      </w:r>
      <w:r w:rsidRPr="00931D6F" w:rsidR="00931D6F">
        <w:rPr>
          <w:szCs w:val="22"/>
        </w:rPr>
        <w:t xml:space="preserve">CFR </w:t>
      </w:r>
      <w:r w:rsidRPr="00B02A93">
        <w:rPr>
          <w:szCs w:val="22"/>
        </w:rPr>
        <w:t>§ 1.103, the grant is effective upon release of this Public Notice.</w:t>
      </w:r>
      <w:r>
        <w:rPr>
          <w:szCs w:val="22"/>
          <w:vertAlign w:val="superscript"/>
        </w:rPr>
        <w:footnoteReference w:id="43"/>
      </w:r>
      <w:r w:rsidRPr="00B02A93">
        <w:rPr>
          <w:szCs w:val="22"/>
        </w:rPr>
        <w:t xml:space="preserve">  Petitions for reconsideration under section 1.106 or applications for review under section 1.115 of the Commission</w:t>
      </w:r>
      <w:r w:rsidR="00033AD2">
        <w:rPr>
          <w:szCs w:val="22"/>
        </w:rPr>
        <w:t>’</w:t>
      </w:r>
      <w:r w:rsidRPr="00B02A93">
        <w:rPr>
          <w:szCs w:val="22"/>
        </w:rPr>
        <w:t xml:space="preserve">s rules, 47 </w:t>
      </w:r>
      <w:r w:rsidRPr="00931D6F" w:rsidR="00931D6F">
        <w:rPr>
          <w:szCs w:val="22"/>
        </w:rPr>
        <w:t xml:space="preserve">CFR </w:t>
      </w:r>
      <w:r w:rsidRPr="00B02A93">
        <w:rPr>
          <w:szCs w:val="22"/>
        </w:rPr>
        <w:t>§§ 1.106, 1.115, may be filed within 30 days of the date of this Public Notice.</w:t>
      </w:r>
      <w:bookmarkStart w:id="9" w:name="FN[FN9]"/>
      <w:bookmarkStart w:id="10" w:name="sp_999_1"/>
      <w:bookmarkStart w:id="11" w:name="SDU_1"/>
      <w:bookmarkEnd w:id="9"/>
      <w:bookmarkEnd w:id="10"/>
      <w:bookmarkEnd w:id="11"/>
    </w:p>
    <w:p w:rsidR="002D7CCE" w:rsidRPr="00B02A93" w:rsidP="00986B91" w14:paraId="4272D04E" w14:textId="79B20C7F">
      <w:pPr>
        <w:ind w:firstLine="720"/>
        <w:rPr>
          <w:szCs w:val="22"/>
        </w:rPr>
      </w:pPr>
      <w:bookmarkStart w:id="12" w:name="sp_999_2"/>
      <w:bookmarkStart w:id="13" w:name="SDU_2"/>
      <w:bookmarkEnd w:id="12"/>
      <w:bookmarkEnd w:id="13"/>
      <w:r w:rsidRPr="00B02A93">
        <w:rPr>
          <w:szCs w:val="22"/>
        </w:rPr>
        <w:t xml:space="preserve">For further information, please contact </w:t>
      </w:r>
      <w:r w:rsidR="005A3ADF">
        <w:rPr>
          <w:szCs w:val="22"/>
        </w:rPr>
        <w:t>Christi Shewman</w:t>
      </w:r>
      <w:r w:rsidRPr="00B02A93">
        <w:rPr>
          <w:szCs w:val="22"/>
        </w:rPr>
        <w:t>, Wireline Competition Bureau, Competition Policy Division, (202) 418-</w:t>
      </w:r>
      <w:r w:rsidR="005A3ADF">
        <w:rPr>
          <w:szCs w:val="22"/>
        </w:rPr>
        <w:t>0646</w:t>
      </w:r>
      <w:r w:rsidRPr="00B02A93">
        <w:rPr>
          <w:szCs w:val="22"/>
        </w:rPr>
        <w:t>.</w:t>
      </w:r>
    </w:p>
    <w:p w:rsidR="002D7CCE" w:rsidRPr="00B02A93" w:rsidP="002D7CCE" w14:paraId="49AE18E7" w14:textId="77777777">
      <w:pPr>
        <w:pStyle w:val="Default"/>
        <w:rPr>
          <w:color w:val="auto"/>
          <w:sz w:val="22"/>
          <w:szCs w:val="22"/>
        </w:rPr>
      </w:pPr>
    </w:p>
    <w:p w:rsidR="00B17B13" w:rsidRPr="004D7F00" w:rsidP="004D7F00" w14:paraId="1C186417" w14:textId="017E35B5">
      <w:pPr>
        <w:pStyle w:val="Default"/>
        <w:jc w:val="center"/>
        <w:rPr>
          <w:b/>
          <w:bCs/>
          <w:color w:val="auto"/>
          <w:sz w:val="22"/>
          <w:szCs w:val="22"/>
        </w:rPr>
      </w:pPr>
      <w:r w:rsidRPr="00B02A93">
        <w:rPr>
          <w:b/>
          <w:bCs/>
          <w:color w:val="auto"/>
          <w:sz w:val="22"/>
          <w:szCs w:val="22"/>
        </w:rPr>
        <w:t>-FCC-</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55614C" w14:paraId="02F7F1A9" w14:textId="77777777">
    <w:pPr>
      <w:pStyle w:val="Footer"/>
      <w:framePr w:wrap="around" w:vAnchor="text" w:hAnchor="margin" w:xAlign="center" w:y="1"/>
    </w:pPr>
    <w:r>
      <w:fldChar w:fldCharType="begin"/>
    </w:r>
    <w:r>
      <w:instrText xml:space="preserve">PAGE  </w:instrText>
    </w:r>
    <w:r>
      <w:fldChar w:fldCharType="separate"/>
    </w:r>
    <w:r>
      <w:fldChar w:fldCharType="end"/>
    </w:r>
  </w:p>
  <w:p w:rsidR="00475AE7" w14:paraId="7CFEA2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P="00910F12" w14:paraId="7385F844" w14:textId="77777777">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14:paraId="7AE8A7D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1544" w14:paraId="025A6EB4" w14:textId="77777777">
      <w:r>
        <w:separator/>
      </w:r>
    </w:p>
  </w:footnote>
  <w:footnote w:type="continuationSeparator" w:id="1">
    <w:p w:rsidR="00C71544" w14:paraId="08816568" w14:textId="77777777">
      <w:pPr>
        <w:rPr>
          <w:sz w:val="20"/>
        </w:rPr>
      </w:pPr>
      <w:r>
        <w:rPr>
          <w:sz w:val="20"/>
        </w:rPr>
        <w:t xml:space="preserve">(Continued from previous page)  </w:t>
      </w:r>
      <w:r>
        <w:rPr>
          <w:sz w:val="20"/>
        </w:rPr>
        <w:separator/>
      </w:r>
    </w:p>
  </w:footnote>
  <w:footnote w:type="continuationNotice" w:id="2">
    <w:p w:rsidR="00C71544" w:rsidP="00910F12" w14:paraId="37EC412F" w14:textId="77777777">
      <w:pPr>
        <w:jc w:val="right"/>
        <w:rPr>
          <w:sz w:val="20"/>
        </w:rPr>
      </w:pPr>
      <w:r>
        <w:rPr>
          <w:sz w:val="20"/>
        </w:rPr>
        <w:t>(continued….)</w:t>
      </w:r>
    </w:p>
  </w:footnote>
  <w:footnote w:id="3">
    <w:p w:rsidR="008C12CA" w:rsidP="008C12CA" w14:paraId="66D705A5" w14:textId="45DAC802">
      <w:pPr>
        <w:pStyle w:val="FootnoteText"/>
      </w:pPr>
      <w:r>
        <w:rPr>
          <w:rStyle w:val="FootnoteReference"/>
        </w:rPr>
        <w:footnoteRef/>
      </w:r>
      <w:r>
        <w:t xml:space="preserve"> </w:t>
      </w:r>
      <w:r w:rsidRPr="00C86E84">
        <w:rPr>
          <w:i/>
        </w:rPr>
        <w:t xml:space="preserve">See </w:t>
      </w:r>
      <w:r w:rsidRPr="00C86E84">
        <w:t xml:space="preserve">Domestic Section 214 Application of Cherokee Telephone Company, Assignor, and </w:t>
      </w:r>
      <w:r w:rsidRPr="00C86E84">
        <w:t>AtLink</w:t>
      </w:r>
      <w:r w:rsidRPr="00C86E84">
        <w:t xml:space="preserve"> Services, LLC, Assignee, </w:t>
      </w:r>
      <w:r>
        <w:t>f</w:t>
      </w:r>
      <w:r w:rsidRPr="00C86E84">
        <w:t xml:space="preserve">or Consent for the Assignment of Certain Assets of Cherokee Telephone Company to </w:t>
      </w:r>
      <w:r w:rsidRPr="00C86E84">
        <w:t>AtLink</w:t>
      </w:r>
      <w:r w:rsidRPr="00C86E84">
        <w:t xml:space="preserve"> Services, LLC; Pursuant to Section 214 of the Communications Act of 1934, as Amended, WC Docket No. 21-423 (filed Oct. 27, 2021), </w:t>
      </w:r>
      <w:hyperlink r:id="rId1" w:history="1">
        <w:r w:rsidRPr="00C86E84">
          <w:rPr>
            <w:rStyle w:val="Hyperlink"/>
          </w:rPr>
          <w:t>https://ecfsapi.fcc.gov/file/102742244794/AtLink%20Services%20Transfer%20Application.pdf</w:t>
        </w:r>
      </w:hyperlink>
      <w:r w:rsidRPr="00C86E84">
        <w:t xml:space="preserve"> (Application). </w:t>
      </w:r>
      <w:r>
        <w:t xml:space="preserve"> On November 15, 2021, Applicants filed a supplement to the Application.  Letter from Stephen E. Coran, Counsel </w:t>
      </w:r>
      <w:r w:rsidR="00256F99">
        <w:t>for</w:t>
      </w:r>
      <w:r>
        <w:t xml:space="preserve"> Applicants, to Marlene H. Dortch, Secretary, FCC</w:t>
      </w:r>
      <w:r w:rsidR="00256F99">
        <w:t xml:space="preserve">, </w:t>
      </w:r>
      <w:r w:rsidRPr="00773172" w:rsidR="00256F99">
        <w:t>WC Docket No. 21-423</w:t>
      </w:r>
      <w:r>
        <w:t xml:space="preserve"> (Nov. 15, 2021) (Supplement).  </w:t>
      </w:r>
      <w:r w:rsidRPr="00595ECF">
        <w:t xml:space="preserve">Any action on this domestic section 214 application is without prejudice to Commission action on other related, pending applications.  </w:t>
      </w:r>
    </w:p>
  </w:footnote>
  <w:footnote w:id="4">
    <w:p w:rsidR="008C12CA" w:rsidP="008C12CA" w14:paraId="62008081" w14:textId="77777777">
      <w:pPr>
        <w:pStyle w:val="FootnoteText"/>
      </w:pPr>
      <w:r>
        <w:rPr>
          <w:rStyle w:val="FootnoteReference"/>
        </w:rPr>
        <w:footnoteRef/>
      </w:r>
      <w:r>
        <w:t xml:space="preserve"> </w:t>
      </w:r>
      <w:r w:rsidRPr="00595ECF">
        <w:rPr>
          <w:i/>
        </w:rPr>
        <w:t>See</w:t>
      </w:r>
      <w:r w:rsidRPr="00595ECF">
        <w:t xml:space="preserve"> 47 U.S.C. § 214; 47 CFR §§ 63.03-04.  </w:t>
      </w:r>
    </w:p>
  </w:footnote>
  <w:footnote w:id="5">
    <w:p w:rsidR="008C12CA" w:rsidRPr="00595ECF" w:rsidP="008C12CA" w14:paraId="484EAE7A" w14:textId="266639A5">
      <w:pPr>
        <w:pStyle w:val="FootnoteText"/>
      </w:pPr>
      <w:r w:rsidRPr="00595ECF">
        <w:rPr>
          <w:rStyle w:val="FootnoteReference"/>
        </w:rPr>
        <w:footnoteRef/>
      </w:r>
      <w:r w:rsidRPr="00595ECF">
        <w:t xml:space="preserve"> Applicants </w:t>
      </w:r>
      <w:r>
        <w:t>state that there are</w:t>
      </w:r>
      <w:r w:rsidRPr="00595ECF">
        <w:t xml:space="preserve"> 249 eligible census blocks compris</w:t>
      </w:r>
      <w:r w:rsidR="00256F99">
        <w:t>ed</w:t>
      </w:r>
      <w:r w:rsidRPr="00595ECF">
        <w:t xml:space="preserve"> of 1,166 locations in Oklahoma that make up the Assigned Census Blocks.  Application at Exhibit </w:t>
      </w:r>
      <w:r w:rsidR="00256F99">
        <w:t>1</w:t>
      </w:r>
      <w:r w:rsidRPr="00595ECF">
        <w:t xml:space="preserve"> (Census Blocks Assigned).</w:t>
      </w:r>
    </w:p>
  </w:footnote>
  <w:footnote w:id="6">
    <w:p w:rsidR="008774D9" w:rsidRPr="00DF448D" w:rsidP="00DF448D" w14:paraId="45CA48F1" w14:textId="5FDFF55A">
      <w:pPr>
        <w:spacing w:after="120"/>
        <w:rPr>
          <w:rFonts w:eastAsia="Calibri"/>
          <w:b/>
          <w:bCs/>
          <w:i/>
          <w:iCs/>
          <w:sz w:val="20"/>
        </w:rPr>
      </w:pPr>
      <w:r>
        <w:rPr>
          <w:rStyle w:val="FootnoteReference"/>
        </w:rPr>
        <w:footnoteRef/>
      </w:r>
      <w:r>
        <w:t xml:space="preserve"> </w:t>
      </w:r>
      <w:bookmarkStart w:id="2" w:name="_Hlk519509475"/>
      <w:bookmarkStart w:id="3" w:name="_Hlk502044717"/>
      <w:bookmarkStart w:id="4" w:name="_Hlk516578398"/>
      <w:r w:rsidRPr="00DF448D" w:rsidR="00DF448D">
        <w:rPr>
          <w:rFonts w:eastAsia="Calibri"/>
          <w:i/>
          <w:iCs/>
          <w:sz w:val="20"/>
        </w:rPr>
        <w:t xml:space="preserve">Domestic Section 214 Application Filed </w:t>
      </w:r>
      <w:r w:rsidR="00DF448D">
        <w:rPr>
          <w:rFonts w:eastAsia="Calibri"/>
          <w:i/>
          <w:iCs/>
          <w:sz w:val="20"/>
        </w:rPr>
        <w:t>f</w:t>
      </w:r>
      <w:r w:rsidRPr="00DF448D" w:rsidR="00DF448D">
        <w:rPr>
          <w:rFonts w:eastAsia="Calibri"/>
          <w:i/>
          <w:iCs/>
          <w:sz w:val="20"/>
        </w:rPr>
        <w:t xml:space="preserve">or </w:t>
      </w:r>
      <w:r w:rsidR="00DF448D">
        <w:rPr>
          <w:rFonts w:eastAsia="Calibri"/>
          <w:i/>
          <w:iCs/>
          <w:sz w:val="20"/>
        </w:rPr>
        <w:t>t</w:t>
      </w:r>
      <w:r w:rsidRPr="00DF448D" w:rsidR="00DF448D">
        <w:rPr>
          <w:rFonts w:eastAsia="Calibri"/>
          <w:i/>
          <w:iCs/>
          <w:sz w:val="20"/>
        </w:rPr>
        <w:t xml:space="preserve">he Transfer </w:t>
      </w:r>
      <w:r w:rsidR="00DF448D">
        <w:rPr>
          <w:rFonts w:eastAsia="Calibri"/>
          <w:i/>
          <w:iCs/>
          <w:sz w:val="20"/>
        </w:rPr>
        <w:t>o</w:t>
      </w:r>
      <w:r w:rsidRPr="00DF448D" w:rsidR="00DF448D">
        <w:rPr>
          <w:rFonts w:eastAsia="Calibri"/>
          <w:i/>
          <w:iCs/>
          <w:sz w:val="20"/>
        </w:rPr>
        <w:t xml:space="preserve">f Certain Authorizations </w:t>
      </w:r>
      <w:r w:rsidR="00DF448D">
        <w:rPr>
          <w:rFonts w:eastAsia="Calibri"/>
          <w:i/>
          <w:iCs/>
          <w:sz w:val="20"/>
        </w:rPr>
        <w:t>o</w:t>
      </w:r>
      <w:r w:rsidRPr="00DF448D" w:rsidR="00DF448D">
        <w:rPr>
          <w:rFonts w:eastAsia="Calibri"/>
          <w:i/>
          <w:iCs/>
          <w:sz w:val="20"/>
        </w:rPr>
        <w:t xml:space="preserve">f Cherokee Telephone Company To </w:t>
      </w:r>
      <w:r w:rsidRPr="00DF448D" w:rsidR="00DF448D">
        <w:rPr>
          <w:rFonts w:eastAsia="Calibri"/>
          <w:i/>
          <w:iCs/>
          <w:sz w:val="20"/>
        </w:rPr>
        <w:t>At</w:t>
      </w:r>
      <w:r w:rsidR="00DF448D">
        <w:rPr>
          <w:rFonts w:eastAsia="Calibri"/>
          <w:i/>
          <w:iCs/>
          <w:sz w:val="20"/>
        </w:rPr>
        <w:t>L</w:t>
      </w:r>
      <w:r w:rsidRPr="00DF448D" w:rsidR="00DF448D">
        <w:rPr>
          <w:rFonts w:eastAsia="Calibri"/>
          <w:i/>
          <w:iCs/>
          <w:sz w:val="20"/>
        </w:rPr>
        <w:t>ink</w:t>
      </w:r>
      <w:r w:rsidRPr="00DF448D" w:rsidR="00DF448D">
        <w:rPr>
          <w:rFonts w:eastAsia="Calibri"/>
          <w:i/>
          <w:iCs/>
          <w:sz w:val="20"/>
        </w:rPr>
        <w:t xml:space="preserve"> Services, L</w:t>
      </w:r>
      <w:bookmarkEnd w:id="2"/>
      <w:bookmarkEnd w:id="3"/>
      <w:bookmarkEnd w:id="4"/>
      <w:r w:rsidR="00DF448D">
        <w:rPr>
          <w:rFonts w:eastAsia="Calibri"/>
          <w:i/>
          <w:iCs/>
          <w:sz w:val="20"/>
        </w:rPr>
        <w:t>LC</w:t>
      </w:r>
      <w:r w:rsidRPr="005F5D60">
        <w:rPr>
          <w:rFonts w:eastAsia="Calibri"/>
          <w:sz w:val="20"/>
        </w:rPr>
        <w:t>, WC Docket No. 21-</w:t>
      </w:r>
      <w:r w:rsidR="00DF448D">
        <w:rPr>
          <w:rFonts w:eastAsia="Calibri"/>
          <w:sz w:val="20"/>
        </w:rPr>
        <w:t>423</w:t>
      </w:r>
      <w:r w:rsidRPr="005F5D60">
        <w:rPr>
          <w:rFonts w:eastAsia="Calibri"/>
          <w:sz w:val="20"/>
        </w:rPr>
        <w:t>, Public Notice, DA 21-</w:t>
      </w:r>
      <w:r w:rsidR="000778AF">
        <w:rPr>
          <w:rFonts w:eastAsia="Calibri"/>
          <w:sz w:val="20"/>
        </w:rPr>
        <w:t>1</w:t>
      </w:r>
      <w:r w:rsidR="00DF448D">
        <w:rPr>
          <w:rFonts w:eastAsia="Calibri"/>
          <w:sz w:val="20"/>
        </w:rPr>
        <w:t>437</w:t>
      </w:r>
      <w:r w:rsidRPr="005F5D60">
        <w:rPr>
          <w:rFonts w:eastAsia="Calibri"/>
          <w:sz w:val="20"/>
        </w:rPr>
        <w:t xml:space="preserve"> (WCB 2021). </w:t>
      </w:r>
    </w:p>
  </w:footnote>
  <w:footnote w:id="7">
    <w:p w:rsidR="001E68E0" w:rsidRPr="00DB5B34" w:rsidP="00433A96" w14:paraId="196FE767" w14:textId="3AEC9431">
      <w:pPr>
        <w:pStyle w:val="FootnoteText"/>
      </w:pPr>
      <w:r>
        <w:rPr>
          <w:rStyle w:val="FootnoteReference"/>
        </w:rPr>
        <w:footnoteRef/>
      </w:r>
      <w:r>
        <w:t xml:space="preserve"> </w:t>
      </w:r>
      <w:r w:rsidRPr="00DB5B34">
        <w:t xml:space="preserve">Application at 2-3 </w:t>
      </w:r>
      <w:bookmarkStart w:id="6" w:name="_Hlk87426186"/>
      <w:r w:rsidRPr="00DB5B34">
        <w:t xml:space="preserve">(citing Oklahoma Corporation Commission, Cause No. 201800108, Order No. 690983 (Feb. 6, 2019) </w:t>
      </w:r>
      <w:r w:rsidR="002832E8">
        <w:t>(</w:t>
      </w:r>
      <w:r w:rsidR="002832E8">
        <w:rPr>
          <w:i/>
          <w:iCs/>
        </w:rPr>
        <w:t xml:space="preserve">Cherokee </w:t>
      </w:r>
      <w:r w:rsidRPr="00EA57D7" w:rsidR="002832E8">
        <w:rPr>
          <w:i/>
          <w:iCs/>
        </w:rPr>
        <w:t>ETC Order</w:t>
      </w:r>
      <w:r w:rsidR="002832E8">
        <w:t xml:space="preserve">) </w:t>
      </w:r>
      <w:r w:rsidRPr="00DB5B34">
        <w:t>(designating Cherokee as an ETC)).</w:t>
      </w:r>
      <w:bookmarkEnd w:id="6"/>
      <w:r w:rsidR="00B158C7">
        <w:t xml:space="preserve">  </w:t>
      </w:r>
      <w:r w:rsidR="002832E8">
        <w:t>The Assigned Census Blocks are located</w:t>
      </w:r>
      <w:r w:rsidR="006A35D1">
        <w:t xml:space="preserve"> outside of Cherokee’s incumbent LEC service territory and are</w:t>
      </w:r>
      <w:r w:rsidR="002832E8">
        <w:t xml:space="preserve"> in the AT&amp;T Oklahoma exchanges of Holdenville, Wetumka, Allen, and Calvin and in the Windstream Oklahoma exchange of </w:t>
      </w:r>
      <w:r w:rsidR="002832E8">
        <w:t>Gerty</w:t>
      </w:r>
      <w:r w:rsidR="002832E8">
        <w:t xml:space="preserve">.  </w:t>
      </w:r>
      <w:r w:rsidRPr="00EA57D7" w:rsidR="002832E8">
        <w:rPr>
          <w:i/>
          <w:iCs/>
        </w:rPr>
        <w:t>Cherokee ETC Order</w:t>
      </w:r>
      <w:r w:rsidR="002832E8">
        <w:t xml:space="preserve"> at 1</w:t>
      </w:r>
      <w:r w:rsidR="00E24342">
        <w:t xml:space="preserve">; </w:t>
      </w:r>
      <w:r w:rsidRPr="00EA57D7" w:rsidR="00E24342">
        <w:rPr>
          <w:i/>
          <w:iCs/>
        </w:rPr>
        <w:t>see also</w:t>
      </w:r>
      <w:r w:rsidR="00E24342">
        <w:t xml:space="preserve"> </w:t>
      </w:r>
      <w:r w:rsidRPr="00DB5B34" w:rsidR="00E24342">
        <w:t>Oklahoma Corporation Commission, Cause No. 2018001</w:t>
      </w:r>
      <w:r w:rsidR="00E24342">
        <w:t>2</w:t>
      </w:r>
      <w:r w:rsidRPr="00DB5B34" w:rsidR="00E24342">
        <w:t>8, Order No. 6</w:t>
      </w:r>
      <w:r w:rsidR="00E24342">
        <w:t>89892</w:t>
      </w:r>
      <w:r w:rsidRPr="00DB5B34" w:rsidR="00E24342">
        <w:t xml:space="preserve"> (</w:t>
      </w:r>
      <w:r w:rsidR="00E24342">
        <w:t>Jan</w:t>
      </w:r>
      <w:r w:rsidRPr="00DB5B34" w:rsidR="00E24342">
        <w:t xml:space="preserve">. </w:t>
      </w:r>
      <w:r w:rsidR="00E24342">
        <w:t>17</w:t>
      </w:r>
      <w:r w:rsidRPr="00DB5B34" w:rsidR="00E24342">
        <w:t>, 2019)</w:t>
      </w:r>
      <w:r w:rsidR="00E24342">
        <w:t xml:space="preserve"> (granting Cherokee a Certificate of Convenience and Necessity in the AT&amp;T Oklahoma exchanges of Holdenville, Wetumka, Allen, and Calvin and in the Windstream Oklahoma exchange of </w:t>
      </w:r>
      <w:r w:rsidR="00E24342">
        <w:t>Gerty</w:t>
      </w:r>
      <w:r w:rsidR="00E24342">
        <w:t>).</w:t>
      </w:r>
      <w:r>
        <w:t xml:space="preserve">  On January 5, 2022, </w:t>
      </w:r>
      <w:r w:rsidR="002B3776">
        <w:t xml:space="preserve">in anticipation of the proposed transaction, </w:t>
      </w:r>
      <w:r>
        <w:t xml:space="preserve">Cherokee submitted an application to the Oklahoma Corporation Commission to relinquish the ETC designation granted in </w:t>
      </w:r>
      <w:r w:rsidRPr="00DB5B34">
        <w:t>Order No. 690983</w:t>
      </w:r>
      <w:r>
        <w:t xml:space="preserve">.  Application of Cherokee Telephone Company to Relinquish its Designation as an Eligible Telecommunications Carrier that Was Granted by Order Number </w:t>
      </w:r>
      <w:r w:rsidRPr="00DB5B34">
        <w:t>690983</w:t>
      </w:r>
      <w:r>
        <w:t>, Cause No. PUD 202200004 (filed Jan. 5, 20</w:t>
      </w:r>
      <w:r w:rsidR="00B01FC8">
        <w:t>2</w:t>
      </w:r>
      <w:r>
        <w:t>2 Okla. Corp. Comm’n).</w:t>
      </w:r>
    </w:p>
  </w:footnote>
  <w:footnote w:id="8">
    <w:p w:rsidR="00433A96" w:rsidRPr="00DB5B34" w:rsidP="00433A96" w14:paraId="1F155F1D" w14:textId="68F96D07">
      <w:pPr>
        <w:pStyle w:val="FootnoteText"/>
      </w:pPr>
      <w:r w:rsidRPr="00595ECF">
        <w:rPr>
          <w:rStyle w:val="FootnoteReference"/>
        </w:rPr>
        <w:footnoteRef/>
      </w:r>
      <w:r w:rsidRPr="00595ECF">
        <w:t xml:space="preserve"> </w:t>
      </w:r>
      <w:bookmarkStart w:id="7" w:name="_Hlk87427949"/>
      <w:r>
        <w:t xml:space="preserve">Application </w:t>
      </w:r>
      <w:r w:rsidRPr="00595ECF">
        <w:t>at 2-3</w:t>
      </w:r>
      <w:r>
        <w:t xml:space="preserve"> (citing </w:t>
      </w:r>
      <w:r w:rsidRPr="00595ECF">
        <w:rPr>
          <w:i/>
          <w:iCs/>
        </w:rPr>
        <w:t xml:space="preserve">Connect America Fund Phase II Auction Support </w:t>
      </w:r>
      <w:r>
        <w:rPr>
          <w:i/>
          <w:iCs/>
        </w:rPr>
        <w:t xml:space="preserve">for 566 Winning Bids Ready to be </w:t>
      </w:r>
      <w:r w:rsidRPr="00A14255">
        <w:t>A</w:t>
      </w:r>
      <w:r w:rsidRPr="00985C24">
        <w:rPr>
          <w:i/>
          <w:iCs/>
        </w:rPr>
        <w:t>uthorized</w:t>
      </w:r>
      <w:r>
        <w:t xml:space="preserve">, AU </w:t>
      </w:r>
      <w:r w:rsidRPr="00595ECF">
        <w:t xml:space="preserve">Docket No. 17-182, WC Docket No. 10-90, Public Notice, 34 FCC </w:t>
      </w:r>
      <w:r w:rsidRPr="00595ECF">
        <w:t>Rcd</w:t>
      </w:r>
      <w:r w:rsidRPr="00595ECF">
        <w:t xml:space="preserve"> </w:t>
      </w:r>
      <w:r>
        <w:t>8663</w:t>
      </w:r>
      <w:r w:rsidRPr="00595ECF">
        <w:t xml:space="preserve">, Attach. A </w:t>
      </w:r>
      <w:r>
        <w:t xml:space="preserve">(Ready to </w:t>
      </w:r>
      <w:r w:rsidRPr="00595ECF">
        <w:t>Authorize Long-Form Applicants and Bids) (WCB</w:t>
      </w:r>
      <w:r>
        <w:t>/OEA</w:t>
      </w:r>
      <w:r w:rsidRPr="00595ECF">
        <w:t xml:space="preserve"> 2019).</w:t>
      </w:r>
      <w:r w:rsidRPr="00595ECF">
        <w:rPr>
          <w:i/>
          <w:iCs/>
        </w:rPr>
        <w:t xml:space="preserve"> </w:t>
      </w:r>
      <w:r>
        <w:rPr>
          <w:i/>
          <w:iCs/>
        </w:rPr>
        <w:t xml:space="preserve"> See</w:t>
      </w:r>
      <w:r>
        <w:t xml:space="preserve"> </w:t>
      </w:r>
      <w:r w:rsidRPr="00DB5B34">
        <w:rPr>
          <w:i/>
          <w:iCs/>
        </w:rPr>
        <w:t>Connect America Fund Phase II Auction Support Authorized for 77 Winning Bids</w:t>
      </w:r>
      <w:r>
        <w:t xml:space="preserve">, AU </w:t>
      </w:r>
      <w:r w:rsidRPr="00595ECF">
        <w:t>Docket No. 17-182, WC Docket No. 10-90, Public Notice</w:t>
      </w:r>
      <w:r>
        <w:t xml:space="preserve">, 35 FCC </w:t>
      </w:r>
      <w:r>
        <w:t>Rcd</w:t>
      </w:r>
      <w:r>
        <w:t xml:space="preserve"> 4869, 4875 and Attach. A (Authorized Long Form Applicants and Winning Bids) (WCB/OEA 2020)</w:t>
      </w:r>
      <w:r w:rsidR="00DF1626">
        <w:t xml:space="preserve"> (</w:t>
      </w:r>
      <w:r w:rsidRPr="00EA57D7" w:rsidR="00DF1626">
        <w:rPr>
          <w:i/>
          <w:iCs/>
        </w:rPr>
        <w:t>CAF Authorization Public Notice</w:t>
      </w:r>
      <w:r w:rsidR="00DF1626">
        <w:t>)</w:t>
      </w:r>
      <w:r>
        <w:t xml:space="preserve"> </w:t>
      </w:r>
      <w:bookmarkEnd w:id="7"/>
      <w:r>
        <w:t>(</w:t>
      </w:r>
      <w:r w:rsidRPr="00DB5B34">
        <w:t xml:space="preserve">stating that </w:t>
      </w:r>
      <w:r w:rsidRPr="00DB5B34">
        <w:rPr>
          <w:color w:val="3D3D3D"/>
          <w:shd w:val="clear" w:color="auto" w:fill="FFFFFF"/>
        </w:rPr>
        <w:t>ETCs seeking to transfer control of their domestic authorizations to operate pursuant to section 214 of the</w:t>
      </w:r>
      <w:r>
        <w:rPr>
          <w:color w:val="3D3D3D"/>
          <w:shd w:val="clear" w:color="auto" w:fill="FFFFFF"/>
        </w:rPr>
        <w:t xml:space="preserve"> Act</w:t>
      </w:r>
      <w:r w:rsidRPr="00DB5B34">
        <w:rPr>
          <w:color w:val="3D3D3D"/>
          <w:shd w:val="clear" w:color="auto" w:fill="FFFFFF"/>
        </w:rPr>
        <w:t>, or to engage in the sale of assets under section 214 must first receive approval from the Commission in accordance with sections 63.03 and 63.04 of the Commission's rules governing the procedures for domestic transfer of control/asset applications</w:t>
      </w:r>
      <w:r>
        <w:rPr>
          <w:color w:val="3D3D3D"/>
          <w:shd w:val="clear" w:color="auto" w:fill="FFFFFF"/>
        </w:rPr>
        <w:t>)</w:t>
      </w:r>
      <w:r w:rsidRPr="00DB5B34">
        <w:rPr>
          <w:color w:val="3D3D3D"/>
          <w:shd w:val="clear" w:color="auto" w:fill="FFFFFF"/>
        </w:rPr>
        <w:t>.</w:t>
      </w:r>
    </w:p>
  </w:footnote>
  <w:footnote w:id="9">
    <w:p w:rsidR="00433A96" w:rsidRPr="00595ECF" w:rsidP="00433A96" w14:paraId="11EEA7C7" w14:textId="77777777">
      <w:pPr>
        <w:pStyle w:val="FootnoteText"/>
      </w:pPr>
      <w:r w:rsidRPr="00595ECF">
        <w:rPr>
          <w:rStyle w:val="FootnoteReference"/>
        </w:rPr>
        <w:footnoteRef/>
      </w:r>
      <w:r w:rsidRPr="00595ECF">
        <w:t xml:space="preserve"> Application at</w:t>
      </w:r>
      <w:r>
        <w:t xml:space="preserve"> </w:t>
      </w:r>
      <w:r w:rsidRPr="00595ECF">
        <w:t xml:space="preserve">3.  Applicants state that </w:t>
      </w:r>
      <w:r>
        <w:t xml:space="preserve">Cherokee’s </w:t>
      </w:r>
      <w:r w:rsidRPr="00595ECF">
        <w:t>assigned CAF II support amount over 10 years is $594,975.50.</w:t>
      </w:r>
    </w:p>
  </w:footnote>
  <w:footnote w:id="10">
    <w:p w:rsidR="00433A96" w:rsidRPr="000A7F5F" w:rsidP="00433A96" w14:paraId="0BA72605" w14:textId="68A90B05">
      <w:pPr>
        <w:pStyle w:val="FootnoteText"/>
      </w:pPr>
      <w:r w:rsidRPr="00985C24">
        <w:rPr>
          <w:rStyle w:val="FootnoteReference"/>
        </w:rPr>
        <w:footnoteRef/>
      </w:r>
      <w:r w:rsidRPr="00985C24">
        <w:t xml:space="preserve"> </w:t>
      </w:r>
      <w:r w:rsidRPr="00985C24">
        <w:rPr>
          <w:i/>
          <w:iCs/>
        </w:rPr>
        <w:t xml:space="preserve">Id. </w:t>
      </w:r>
      <w:r w:rsidRPr="00985C24">
        <w:t>at 3 (citing Oklahom</w:t>
      </w:r>
      <w:r w:rsidRPr="000A7F5F">
        <w:t xml:space="preserve">a Corporation Commission, Cause No. 201800107, Order No. 690248 (Jan. 24, 2019) (designating </w:t>
      </w:r>
      <w:r w:rsidRPr="000A7F5F">
        <w:t>AtLink</w:t>
      </w:r>
      <w:r w:rsidRPr="000A7F5F">
        <w:t xml:space="preserve"> as an ETC)). </w:t>
      </w:r>
      <w:r w:rsidR="002B3776">
        <w:t xml:space="preserve"> On December 21, 2021, in anticipation of the proposed transaction, </w:t>
      </w:r>
      <w:r w:rsidR="002B3776">
        <w:t>AtLink</w:t>
      </w:r>
      <w:r w:rsidR="002B3776">
        <w:t xml:space="preserve"> submitted an application to the Oklahoma Corporation Commission for ETC designation in the additional census blocks where it has agreed to assume the CAF Phase II obligations from Cherokee and be eligible to receive Cherokee’s CAF support.  Application of </w:t>
      </w:r>
      <w:r w:rsidR="00C86386">
        <w:t>@Link Services, LLC as an Eligible Telecommunications Carrier Pursuant to the Telecommunications Act of 1996</w:t>
      </w:r>
      <w:r w:rsidR="002B3776">
        <w:t>, Cause No. PUD 202</w:t>
      </w:r>
      <w:r w:rsidR="00C86386">
        <w:t>100170</w:t>
      </w:r>
      <w:r w:rsidR="002B3776">
        <w:t xml:space="preserve"> (filed </w:t>
      </w:r>
      <w:r w:rsidR="00C86386">
        <w:t>Dec. 21</w:t>
      </w:r>
      <w:r w:rsidR="002B3776">
        <w:t>, 20</w:t>
      </w:r>
      <w:r w:rsidR="00C86386">
        <w:t>21</w:t>
      </w:r>
      <w:r w:rsidR="002B3776">
        <w:t xml:space="preserve"> Okla. Corp. Comm’n).</w:t>
      </w:r>
    </w:p>
  </w:footnote>
  <w:footnote w:id="11">
    <w:p w:rsidR="00433A96" w:rsidRPr="00595ECF" w:rsidP="00433A96" w14:paraId="266A49CC" w14:textId="77777777">
      <w:pPr>
        <w:pStyle w:val="FootnoteText"/>
      </w:pPr>
      <w:r w:rsidRPr="00595ECF">
        <w:rPr>
          <w:rStyle w:val="FootnoteReference"/>
        </w:rPr>
        <w:footnoteRef/>
      </w:r>
      <w:r w:rsidRPr="00595ECF">
        <w:t xml:space="preserve"> </w:t>
      </w:r>
      <w:r>
        <w:t>Application</w:t>
      </w:r>
      <w:r>
        <w:rPr>
          <w:i/>
          <w:iCs/>
        </w:rPr>
        <w:t xml:space="preserve"> </w:t>
      </w:r>
      <w:r w:rsidRPr="00595ECF">
        <w:t xml:space="preserve">at 3.  </w:t>
      </w:r>
      <w:r>
        <w:rPr>
          <w:i/>
          <w:iCs/>
        </w:rPr>
        <w:t xml:space="preserve">See </w:t>
      </w:r>
      <w:r w:rsidRPr="00595ECF">
        <w:rPr>
          <w:i/>
          <w:iCs/>
        </w:rPr>
        <w:t xml:space="preserve">Connect America Fund Phase II Auction Support </w:t>
      </w:r>
      <w:r>
        <w:rPr>
          <w:i/>
          <w:iCs/>
        </w:rPr>
        <w:t>Authorized for 2,413 Winning Bids</w:t>
      </w:r>
      <w:r>
        <w:t xml:space="preserve">, AU </w:t>
      </w:r>
      <w:r w:rsidRPr="00595ECF">
        <w:t xml:space="preserve">Docket No. 17-182, WC Docket No. 10-90, Public Notice, 34 FCC </w:t>
      </w:r>
      <w:r w:rsidRPr="00595ECF">
        <w:t>Rcd</w:t>
      </w:r>
      <w:r w:rsidRPr="00595ECF">
        <w:t xml:space="preserve"> </w:t>
      </w:r>
      <w:r>
        <w:t>5966</w:t>
      </w:r>
      <w:r w:rsidRPr="00595ECF">
        <w:t xml:space="preserve">, Attach. A </w:t>
      </w:r>
      <w:r>
        <w:t xml:space="preserve">(Authorized Long Form Applicants and Winning Bids) (WCB/OEA 2019).  </w:t>
      </w:r>
      <w:r>
        <w:t>AtLink’s</w:t>
      </w:r>
      <w:r w:rsidRPr="00595ECF">
        <w:t xml:space="preserve"> assigned CAF II support </w:t>
      </w:r>
      <w:r>
        <w:t xml:space="preserve">amount </w:t>
      </w:r>
      <w:r w:rsidRPr="00595ECF">
        <w:t>over 10 years is $4,762,674.20</w:t>
      </w:r>
      <w:r>
        <w:t xml:space="preserve"> for 12,501 locations</w:t>
      </w:r>
      <w:r w:rsidRPr="00595ECF">
        <w:t xml:space="preserve">.  </w:t>
      </w:r>
      <w:r>
        <w:t>Application at 3.</w:t>
      </w:r>
    </w:p>
  </w:footnote>
  <w:footnote w:id="12">
    <w:p w:rsidR="00433A96" w:rsidRPr="00595ECF" w:rsidP="00433A96" w14:paraId="569DED3D" w14:textId="77777777">
      <w:pPr>
        <w:pStyle w:val="FootnoteText"/>
      </w:pPr>
      <w:r w:rsidRPr="00595ECF">
        <w:rPr>
          <w:rStyle w:val="FootnoteReference"/>
        </w:rPr>
        <w:footnoteRef/>
      </w:r>
      <w:r w:rsidRPr="00595ECF">
        <w:t xml:space="preserve"> </w:t>
      </w:r>
      <w:r>
        <w:t>Application at 3</w:t>
      </w:r>
      <w:r w:rsidRPr="00595ECF">
        <w:rPr>
          <w:i/>
          <w:iCs/>
        </w:rPr>
        <w:t xml:space="preserve">.  </w:t>
      </w:r>
    </w:p>
  </w:footnote>
  <w:footnote w:id="13">
    <w:p w:rsidR="00433A96" w:rsidRPr="00595ECF" w:rsidP="00433A96" w14:paraId="03A3225B" w14:textId="77777777">
      <w:pPr>
        <w:pStyle w:val="FootnoteText"/>
      </w:pPr>
      <w:r w:rsidRPr="00595ECF">
        <w:rPr>
          <w:rStyle w:val="FootnoteReference"/>
        </w:rPr>
        <w:footnoteRef/>
      </w:r>
      <w:r w:rsidRPr="00595ECF">
        <w:t xml:space="preserve"> </w:t>
      </w:r>
      <w:r w:rsidRPr="00595ECF">
        <w:rPr>
          <w:i/>
          <w:iCs/>
        </w:rPr>
        <w:t xml:space="preserve">Id. </w:t>
      </w:r>
      <w:r w:rsidRPr="00595ECF">
        <w:t xml:space="preserve">at 9-10.  Applicants list four U.S. trusts, and their beneficiaries, each </w:t>
      </w:r>
      <w:r>
        <w:t xml:space="preserve">a </w:t>
      </w:r>
      <w:r w:rsidRPr="00595ECF">
        <w:t>U.S. citizen, which hold interests in Hinton C A T V</w:t>
      </w:r>
      <w:r>
        <w:t>,</w:t>
      </w:r>
      <w:r w:rsidRPr="00595ECF">
        <w:t xml:space="preserve"> as well as four shareholders of Communications Equipment Corporation, each also </w:t>
      </w:r>
      <w:r>
        <w:t xml:space="preserve">a </w:t>
      </w:r>
      <w:r w:rsidRPr="00595ECF">
        <w:t xml:space="preserve">U.S. citizen.  </w:t>
      </w:r>
      <w:r>
        <w:rPr>
          <w:i/>
          <w:iCs/>
        </w:rPr>
        <w:t>Id.</w:t>
      </w:r>
      <w:r w:rsidRPr="00595ECF">
        <w:t xml:space="preserve"> at 10. </w:t>
      </w:r>
      <w:r>
        <w:t xml:space="preserve"> Applicants state that Hinton C A T V holds a 25% interest in Terral Telephone Company, a rural incumbent local exchange carrier serving a single exchange in Terral, Oklahoma which is not adjacent to the service area of Cherokee.  Supplement at 2 (Certification of </w:t>
      </w:r>
      <w:r>
        <w:t>Samual</w:t>
      </w:r>
      <w:r>
        <w:t xml:space="preserve"> T. Curtis).</w:t>
      </w:r>
    </w:p>
  </w:footnote>
  <w:footnote w:id="14">
    <w:p w:rsidR="00433A96" w:rsidRPr="00595ECF" w:rsidP="00433A96" w14:paraId="2F854C16" w14:textId="77777777">
      <w:pPr>
        <w:pStyle w:val="FootnoteText"/>
      </w:pPr>
      <w:r w:rsidRPr="00595ECF">
        <w:rPr>
          <w:rStyle w:val="FootnoteReference"/>
        </w:rPr>
        <w:footnoteRef/>
      </w:r>
      <w:r w:rsidRPr="00595ECF">
        <w:t xml:space="preserve"> Application at 4.</w:t>
      </w:r>
      <w:r w:rsidRPr="001C0C29">
        <w:rPr>
          <w:szCs w:val="22"/>
        </w:rPr>
        <w:t xml:space="preserve"> </w:t>
      </w:r>
      <w:r>
        <w:rPr>
          <w:szCs w:val="22"/>
        </w:rPr>
        <w:t xml:space="preserve"> </w:t>
      </w:r>
      <w:r w:rsidRPr="001C0C29">
        <w:t xml:space="preserve">Applicants state that </w:t>
      </w:r>
      <w:r w:rsidRPr="001C0C29">
        <w:t>AtLink</w:t>
      </w:r>
      <w:r w:rsidRPr="001C0C29">
        <w:t xml:space="preserve"> </w:t>
      </w:r>
      <w:r w:rsidRPr="003046CE">
        <w:t>will retain its current CAF obligations in addition to assuming Cherokee’s</w:t>
      </w:r>
      <w:r w:rsidRPr="001C0C29">
        <w:t xml:space="preserve"> CAF obligations in the Assigned Census Blocks and that </w:t>
      </w:r>
      <w:r w:rsidRPr="001C0C29">
        <w:t>AtLink</w:t>
      </w:r>
      <w:r w:rsidRPr="001C0C29">
        <w:t xml:space="preserve"> is not acquiring any of Cherokee’s telecommunications assets, services, or customers outside the CAF-supported areas.  </w:t>
      </w:r>
      <w:r w:rsidRPr="001C0C29">
        <w:rPr>
          <w:i/>
          <w:iCs/>
        </w:rPr>
        <w:t>Id.</w:t>
      </w:r>
      <w:r w:rsidRPr="001C0C29">
        <w:t xml:space="preserve"> at 2 and 12.  Applicants </w:t>
      </w:r>
      <w:r>
        <w:t xml:space="preserve">further </w:t>
      </w:r>
      <w:r w:rsidRPr="001C0C29">
        <w:t xml:space="preserve">state that, as a condition to each receiving CAF support, both Cherokee and </w:t>
      </w:r>
      <w:r w:rsidRPr="001C0C29">
        <w:t>AtLink</w:t>
      </w:r>
      <w:r w:rsidRPr="001C0C29">
        <w:t xml:space="preserve"> have been designated as ETCs and that, “[i]n connection with this proposed transaction, the Applicants are filing for OCC</w:t>
      </w:r>
      <w:r>
        <w:t xml:space="preserve"> [Oklahoma Corporation Commission]</w:t>
      </w:r>
      <w:r w:rsidRPr="001C0C29">
        <w:t xml:space="preserve"> approval for Cherokee to relinquish its Oklahoma ETC designation for the Assigned Census Blocks and for </w:t>
      </w:r>
      <w:r w:rsidRPr="001C0C29">
        <w:t>AtLink</w:t>
      </w:r>
      <w:r w:rsidRPr="001C0C29">
        <w:t xml:space="preserve"> to expand its ETC designation to cover the Assigned Census Blocks.”  </w:t>
      </w:r>
      <w:r w:rsidRPr="001C0C29">
        <w:rPr>
          <w:i/>
          <w:iCs/>
        </w:rPr>
        <w:t xml:space="preserve">Id. </w:t>
      </w:r>
      <w:r w:rsidRPr="001C0C29">
        <w:t>at 4.</w:t>
      </w:r>
    </w:p>
  </w:footnote>
  <w:footnote w:id="15">
    <w:p w:rsidR="00433A96" w:rsidRPr="00595ECF" w:rsidP="00433A96" w14:paraId="27C4BCBD" w14:textId="77777777">
      <w:pPr>
        <w:pStyle w:val="FootnoteText"/>
      </w:pPr>
      <w:r w:rsidRPr="00595ECF">
        <w:rPr>
          <w:rStyle w:val="FootnoteReference"/>
        </w:rPr>
        <w:footnoteRef/>
      </w:r>
      <w:r w:rsidRPr="00595ECF">
        <w:t xml:space="preserve"> </w:t>
      </w:r>
      <w:r>
        <w:rPr>
          <w:i/>
          <w:iCs/>
        </w:rPr>
        <w:t xml:space="preserve">Id. </w:t>
      </w:r>
      <w:r w:rsidRPr="00595ECF">
        <w:t>at 5-7.</w:t>
      </w:r>
    </w:p>
  </w:footnote>
  <w:footnote w:id="16">
    <w:p w:rsidR="00433A96" w:rsidRPr="00595ECF" w:rsidP="00433A96" w14:paraId="418962D8" w14:textId="77777777">
      <w:pPr>
        <w:pStyle w:val="FootnoteText"/>
      </w:pPr>
      <w:r w:rsidRPr="00595ECF">
        <w:rPr>
          <w:rStyle w:val="FootnoteReference"/>
        </w:rPr>
        <w:footnoteRef/>
      </w:r>
      <w:r w:rsidRPr="00595ECF">
        <w:t xml:space="preserve"> </w:t>
      </w:r>
      <w:r w:rsidRPr="00595ECF">
        <w:rPr>
          <w:i/>
          <w:iCs/>
        </w:rPr>
        <w:t>Id</w:t>
      </w:r>
      <w:r w:rsidRPr="00595ECF">
        <w:t xml:space="preserve">. at 5. </w:t>
      </w:r>
    </w:p>
  </w:footnote>
  <w:footnote w:id="17">
    <w:p w:rsidR="00433A96" w:rsidRPr="00595ECF" w:rsidP="00433A96" w14:paraId="4EA1DD8C" w14:textId="77777777">
      <w:pPr>
        <w:pStyle w:val="FootnoteText"/>
      </w:pPr>
      <w:r w:rsidRPr="00595ECF">
        <w:rPr>
          <w:rStyle w:val="FootnoteReference"/>
        </w:rPr>
        <w:footnoteRef/>
      </w:r>
      <w:r w:rsidRPr="00595ECF">
        <w:t xml:space="preserve"> </w:t>
      </w:r>
      <w:r w:rsidRPr="00595ECF">
        <w:rPr>
          <w:i/>
          <w:iCs/>
        </w:rPr>
        <w:t>Id.</w:t>
      </w:r>
      <w:r w:rsidRPr="00595ECF">
        <w:t xml:space="preserve"> at</w:t>
      </w:r>
      <w:r>
        <w:t xml:space="preserve"> 5-6.</w:t>
      </w:r>
      <w:r w:rsidRPr="00595ECF">
        <w:t xml:space="preserve"> </w:t>
      </w:r>
    </w:p>
  </w:footnote>
  <w:footnote w:id="18">
    <w:p w:rsidR="00433A96" w:rsidRPr="001F67E3" w:rsidP="00433A96" w14:paraId="32BD1EF9" w14:textId="77777777">
      <w:pPr>
        <w:pStyle w:val="FootnoteText"/>
      </w:pPr>
      <w:r>
        <w:rPr>
          <w:rStyle w:val="FootnoteReference"/>
        </w:rPr>
        <w:footnoteRef/>
      </w:r>
      <w:r>
        <w:t xml:space="preserve"> </w:t>
      </w:r>
      <w:r>
        <w:rPr>
          <w:i/>
          <w:iCs/>
        </w:rPr>
        <w:t>Id.</w:t>
      </w:r>
      <w:r>
        <w:t xml:space="preserve"> at 6.</w:t>
      </w:r>
    </w:p>
  </w:footnote>
  <w:footnote w:id="19">
    <w:p w:rsidR="00433A96" w:rsidRPr="001F67E3" w:rsidP="00433A96" w14:paraId="1C5A0B81" w14:textId="77777777">
      <w:pPr>
        <w:pStyle w:val="FootnoteText"/>
      </w:pPr>
      <w:r>
        <w:rPr>
          <w:rStyle w:val="FootnoteReference"/>
        </w:rPr>
        <w:footnoteRef/>
      </w:r>
      <w:r>
        <w:t xml:space="preserve"> </w:t>
      </w:r>
      <w:r>
        <w:rPr>
          <w:i/>
          <w:iCs/>
        </w:rPr>
        <w:t>Id</w:t>
      </w:r>
      <w:r>
        <w:t xml:space="preserve">. </w:t>
      </w:r>
    </w:p>
  </w:footnote>
  <w:footnote w:id="20">
    <w:p w:rsidR="00433A96" w:rsidRPr="00595ECF" w:rsidP="00433A96" w14:paraId="45780D8F" w14:textId="65554C49">
      <w:pPr>
        <w:pStyle w:val="FootnoteText"/>
      </w:pPr>
      <w:r w:rsidRPr="00595ECF">
        <w:rPr>
          <w:rStyle w:val="FootnoteReference"/>
        </w:rPr>
        <w:footnoteRef/>
      </w:r>
      <w:r w:rsidRPr="00595ECF">
        <w:t xml:space="preserve"> </w:t>
      </w:r>
      <w:r w:rsidRPr="001B66CB">
        <w:rPr>
          <w:i/>
          <w:iCs/>
        </w:rPr>
        <w:t>Id</w:t>
      </w:r>
      <w:r>
        <w:t>.</w:t>
      </w:r>
      <w:r w:rsidRPr="00595ECF">
        <w:rPr>
          <w:i/>
          <w:iCs/>
        </w:rPr>
        <w:t xml:space="preserve"> </w:t>
      </w:r>
      <w:r w:rsidRPr="00595ECF">
        <w:t>at 7</w:t>
      </w:r>
      <w:r w:rsidR="001005D1">
        <w:t xml:space="preserve">; </w:t>
      </w:r>
      <w:r w:rsidRPr="001005D1" w:rsidR="001005D1">
        <w:rPr>
          <w:i/>
          <w:iCs/>
        </w:rPr>
        <w:t>s</w:t>
      </w:r>
      <w:r>
        <w:rPr>
          <w:i/>
          <w:iCs/>
        </w:rPr>
        <w:t>ee id</w:t>
      </w:r>
      <w:r>
        <w:t xml:space="preserve">. at Attach. (Certification of </w:t>
      </w:r>
      <w:r>
        <w:t>Samu</w:t>
      </w:r>
      <w:r w:rsidR="001005D1">
        <w:t>a</w:t>
      </w:r>
      <w:r>
        <w:t>l</w:t>
      </w:r>
      <w:r>
        <w:t xml:space="preserve"> T. Curtis, President of </w:t>
      </w:r>
      <w:r>
        <w:t>AtLink</w:t>
      </w:r>
      <w:r>
        <w:t>, at paras. 3-5).</w:t>
      </w:r>
    </w:p>
  </w:footnote>
  <w:footnote w:id="21">
    <w:p w:rsidR="00CB52EB" w:rsidP="00CB52EB" w14:paraId="471B9C11" w14:textId="5A0D19B8">
      <w:pPr>
        <w:pStyle w:val="FootnoteText"/>
      </w:pPr>
      <w:r>
        <w:rPr>
          <w:rStyle w:val="FootnoteReference"/>
        </w:rPr>
        <w:footnoteRef/>
      </w:r>
      <w:r>
        <w:t xml:space="preserve"> 47 U.S.C. § 214(a); 47 C</w:t>
      </w:r>
      <w:r w:rsidR="00D64012">
        <w:t>.</w:t>
      </w:r>
      <w:r>
        <w:t>F</w:t>
      </w:r>
      <w:r w:rsidR="00D64012">
        <w:t>.</w:t>
      </w:r>
      <w:r>
        <w:t>R</w:t>
      </w:r>
      <w:r w:rsidR="00D64012">
        <w:t>.</w:t>
      </w:r>
      <w:r>
        <w:t xml:space="preserve"> § 63.03</w:t>
      </w:r>
      <w:r w:rsidR="00855DB1">
        <w:t xml:space="preserve">; </w:t>
      </w:r>
      <w:r w:rsidR="00070000">
        <w:rPr>
          <w:i/>
          <w:iCs/>
        </w:rPr>
        <w:t>Telecommunications Carriers Eligible for Universal Service Support</w:t>
      </w:r>
      <w:r w:rsidR="00070000">
        <w:t xml:space="preserve">, WC Docket No. 09-197, </w:t>
      </w:r>
      <w:r w:rsidR="00070000">
        <w:rPr>
          <w:i/>
          <w:iCs/>
        </w:rPr>
        <w:t>Connect America Fund</w:t>
      </w:r>
      <w:r w:rsidR="00070000">
        <w:t>, WC Docket No. 10-90, Order, DA 21-663, para. 30 (WCB 2021)</w:t>
      </w:r>
      <w:r w:rsidR="002D1435">
        <w:t>.</w:t>
      </w:r>
    </w:p>
  </w:footnote>
  <w:footnote w:id="22">
    <w:p w:rsidR="00A901ED" w:rsidRPr="00C37B71" w:rsidP="00A901ED" w14:paraId="38FAE2BC" w14:textId="2CF7DBFD">
      <w:pPr>
        <w:pStyle w:val="FootnoteText"/>
        <w:widowControl w:val="0"/>
      </w:pPr>
      <w:r w:rsidRPr="00C37B71">
        <w:rPr>
          <w:rStyle w:val="FootnoteReference"/>
        </w:rPr>
        <w:footnoteRef/>
      </w:r>
      <w:r w:rsidRPr="00C37B71">
        <w:t xml:space="preserve"> </w:t>
      </w:r>
      <w:r w:rsidRPr="006E3ED7">
        <w:rPr>
          <w:i/>
        </w:rPr>
        <w:t>See, e.g.</w:t>
      </w:r>
      <w:r w:rsidRPr="006E3ED7">
        <w:t xml:space="preserve">, </w:t>
      </w:r>
      <w:r w:rsidRPr="006E3ED7">
        <w:rPr>
          <w:i/>
          <w:iCs/>
        </w:rPr>
        <w:t xml:space="preserve">Application of Verizon Communications Inc. and América </w:t>
      </w:r>
      <w:r w:rsidRPr="006E3ED7">
        <w:rPr>
          <w:i/>
          <w:iCs/>
        </w:rPr>
        <w:t>Móvil</w:t>
      </w:r>
      <w:r w:rsidRPr="006E3ED7">
        <w:rPr>
          <w:i/>
          <w:iCs/>
        </w:rPr>
        <w:t xml:space="preserve"> S.A.B. de C.V for Consent to Transfer Control of International Section 214 Authorization</w:t>
      </w:r>
      <w:r w:rsidRPr="006E3ED7">
        <w:t>, GN Docket No. 21-112; IBFS File No. ITC-T/C-20200930-00173, Memorandum Opinion and Order, FCC 21-121, at para. 21 (rel. Nov. 22, 2021) (</w:t>
      </w:r>
      <w:r w:rsidRPr="00C37B71">
        <w:rPr>
          <w:i/>
          <w:iCs/>
        </w:rPr>
        <w:t>Verizon-TracFone Order</w:t>
      </w:r>
      <w:r w:rsidRPr="00C37B71">
        <w:t>)</w:t>
      </w:r>
      <w:r w:rsidRPr="00C37B71">
        <w:rPr>
          <w:sz w:val="28"/>
          <w:szCs w:val="28"/>
        </w:rPr>
        <w:t xml:space="preserve"> </w:t>
      </w:r>
      <w:r w:rsidRPr="00C37B71">
        <w:t xml:space="preserve">(citing </w:t>
      </w:r>
      <w:r w:rsidRPr="00C37B71">
        <w:rPr>
          <w:i/>
        </w:rPr>
        <w:t>China Mobile International (USA) Inc., Application for Global Facilities-Based and Global Resale International Telecommunications Authority Pursuant to Section 214 of the Communications Act of 1934, as Amended</w:t>
      </w:r>
      <w:r w:rsidRPr="00C37B71">
        <w:t xml:space="preserve">, Memorandum Opinion and Order, 34 FCC </w:t>
      </w:r>
      <w:r w:rsidRPr="00C37B71">
        <w:t>Rcd</w:t>
      </w:r>
      <w:r w:rsidRPr="00C37B71">
        <w:t xml:space="preserve"> 3361, 3366, para. 9 (2019); </w:t>
      </w:r>
      <w:r w:rsidRPr="00C37B71">
        <w:rPr>
          <w:i/>
        </w:rPr>
        <w:t>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et al</w:t>
      </w:r>
      <w:r w:rsidRPr="00C37B71">
        <w:t xml:space="preserve">., MB Docket No. 05-192, Memorandum Opinion and Order, 21 FCC </w:t>
      </w:r>
      <w:r w:rsidRPr="00C37B71">
        <w:t>Rcd</w:t>
      </w:r>
      <w:r w:rsidRPr="00C37B71">
        <w:t xml:space="preserve"> 8203, 8219-21, paras. 27-28 (2006) (</w:t>
      </w:r>
      <w:r w:rsidRPr="00C37B71">
        <w:rPr>
          <w:i/>
          <w:iCs/>
        </w:rPr>
        <w:t>Adelphia-TWC Order</w:t>
      </w:r>
      <w:r w:rsidRPr="00C37B71">
        <w:t>))</w:t>
      </w:r>
      <w:r>
        <w:t>.</w:t>
      </w:r>
    </w:p>
  </w:footnote>
  <w:footnote w:id="23">
    <w:p w:rsidR="00A901ED" w:rsidRPr="00B83976" w:rsidP="00A901ED" w14:paraId="0BD928E8" w14:textId="77777777">
      <w:pPr>
        <w:pStyle w:val="FootnoteText"/>
      </w:pPr>
      <w:r w:rsidRPr="00C37B71">
        <w:rPr>
          <w:rStyle w:val="FootnoteReference"/>
        </w:rPr>
        <w:footnoteRef/>
      </w:r>
      <w:r w:rsidRPr="00C37B71">
        <w:t xml:space="preserve"> </w:t>
      </w:r>
      <w:r w:rsidRPr="00C37B71">
        <w:rPr>
          <w:i/>
        </w:rPr>
        <w:t>See Verizon-TracFone Order</w:t>
      </w:r>
      <w:r w:rsidRPr="00C37B71">
        <w:rPr>
          <w:iCs/>
        </w:rPr>
        <w:t xml:space="preserve"> at para. 21 (citing </w:t>
      </w:r>
      <w:r w:rsidRPr="00C37B71">
        <w:rPr>
          <w:i/>
        </w:rPr>
        <w:t xml:space="preserve">Applications of </w:t>
      </w:r>
      <w:r w:rsidRPr="00C37B71">
        <w:rPr>
          <w:i/>
          <w:iCs/>
        </w:rPr>
        <w:t>AT&amp;T</w:t>
      </w:r>
      <w:r w:rsidRPr="00C37B71">
        <w:rPr>
          <w:i/>
        </w:rPr>
        <w:t xml:space="preserve"> Inc. and </w:t>
      </w:r>
      <w:r w:rsidRPr="00C37B71">
        <w:rPr>
          <w:i/>
          <w:iCs/>
        </w:rPr>
        <w:t xml:space="preserve">DIRECTV </w:t>
      </w:r>
      <w:r w:rsidRPr="00C37B71">
        <w:rPr>
          <w:i/>
        </w:rPr>
        <w:t>for Consent to Assign or Transfer Control of Licenses and Authorizations</w:t>
      </w:r>
      <w:r w:rsidRPr="00C37B71">
        <w:t xml:space="preserve">, MB Docket No. 14-90, Memorandum Opinion and Order, 30 </w:t>
      </w:r>
      <w:r w:rsidRPr="00C37B71">
        <w:rPr>
          <w:iCs/>
        </w:rPr>
        <w:t xml:space="preserve">FCC </w:t>
      </w:r>
      <w:r w:rsidRPr="00C37B71">
        <w:rPr>
          <w:iCs/>
        </w:rPr>
        <w:t>Rcd</w:t>
      </w:r>
      <w:r w:rsidRPr="00C37B71">
        <w:rPr>
          <w:iCs/>
        </w:rPr>
        <w:t xml:space="preserve"> </w:t>
      </w:r>
      <w:r w:rsidRPr="00C37B71">
        <w:t>9131,</w:t>
      </w:r>
      <w:r w:rsidRPr="00C37B71">
        <w:rPr>
          <w:iCs/>
        </w:rPr>
        <w:t xml:space="preserve"> 9140, para. 18</w:t>
      </w:r>
      <w:r w:rsidRPr="00C37B71">
        <w:t xml:space="preserve"> (2015) (</w:t>
      </w:r>
      <w:r w:rsidRPr="00C37B71">
        <w:rPr>
          <w:i/>
          <w:iCs/>
        </w:rPr>
        <w:t>AT&amp;T-DIRECTV Order</w:t>
      </w:r>
      <w:r w:rsidRPr="00C37B71">
        <w:rPr>
          <w:iCs/>
        </w:rPr>
        <w:t>)</w:t>
      </w:r>
      <w:r>
        <w:rPr>
          <w:iCs/>
        </w:rPr>
        <w:t xml:space="preserve"> (further internal citations omitted).</w:t>
      </w:r>
    </w:p>
  </w:footnote>
  <w:footnote w:id="24">
    <w:p w:rsidR="00A901ED" w:rsidRPr="00B83976" w:rsidP="00A901ED" w14:paraId="25030142" w14:textId="77777777">
      <w:pPr>
        <w:pStyle w:val="FootnoteText"/>
      </w:pPr>
      <w:r w:rsidRPr="00B83976">
        <w:rPr>
          <w:rStyle w:val="FootnoteReference"/>
        </w:rPr>
        <w:footnoteRef/>
      </w:r>
      <w:r w:rsidRPr="00B83976">
        <w:t xml:space="preserve"> </w:t>
      </w:r>
      <w:r>
        <w:rPr>
          <w:i/>
        </w:rPr>
        <w:t>See Verizon-TracFone Order</w:t>
      </w:r>
      <w:r>
        <w:rPr>
          <w:iCs/>
        </w:rPr>
        <w:t xml:space="preserve"> at para. 21 (citing</w:t>
      </w:r>
      <w:r w:rsidRPr="003A6B1D">
        <w:t xml:space="preserve"> </w:t>
      </w:r>
      <w:r w:rsidRPr="00B83976">
        <w:rPr>
          <w:i/>
          <w:iCs/>
        </w:rPr>
        <w:t>AT&amp;T-DIRECTV Order</w:t>
      </w:r>
      <w:r w:rsidRPr="00B83976">
        <w:rPr>
          <w:iCs/>
        </w:rPr>
        <w:t xml:space="preserve">, </w:t>
      </w:r>
      <w:r w:rsidRPr="00B83976">
        <w:t xml:space="preserve">30 </w:t>
      </w:r>
      <w:r w:rsidRPr="00B83976">
        <w:rPr>
          <w:iCs/>
        </w:rPr>
        <w:t xml:space="preserve">FCC </w:t>
      </w:r>
      <w:r w:rsidRPr="00B83976">
        <w:rPr>
          <w:iCs/>
        </w:rPr>
        <w:t>Rcd</w:t>
      </w:r>
      <w:r w:rsidRPr="00B83976">
        <w:rPr>
          <w:iCs/>
        </w:rPr>
        <w:t xml:space="preserve"> at 9140, para. 18; </w:t>
      </w:r>
      <w:r w:rsidRPr="00B83976">
        <w:rPr>
          <w:i/>
        </w:rPr>
        <w:t>Adelphia-TWC Order</w:t>
      </w:r>
      <w:r w:rsidRPr="00B83976">
        <w:t xml:space="preserve">, 21 FCC </w:t>
      </w:r>
      <w:r w:rsidRPr="00B83976">
        <w:t>Rcd</w:t>
      </w:r>
      <w:r w:rsidRPr="00B83976">
        <w:t xml:space="preserve"> at 8217, para. 23; </w:t>
      </w:r>
      <w:r>
        <w:rPr>
          <w:i/>
        </w:rPr>
        <w:t xml:space="preserve">Application of </w:t>
      </w:r>
      <w:r w:rsidRPr="00B83976">
        <w:rPr>
          <w:i/>
        </w:rPr>
        <w:t>EchoStar</w:t>
      </w:r>
      <w:r>
        <w:rPr>
          <w:i/>
        </w:rPr>
        <w:t xml:space="preserve"> Communications Corp., General Motors Corp., and Hughes Electronics Corp., Transferors, and EchoStar Communications Corp., Transferee</w:t>
      </w:r>
      <w:r>
        <w:t xml:space="preserve">, CS Docket No. 01-348, Hearing Designation Order, 17 FCC </w:t>
      </w:r>
      <w:r>
        <w:t>Rcd</w:t>
      </w:r>
      <w:r>
        <w:t xml:space="preserve"> 20559, </w:t>
      </w:r>
      <w:r>
        <w:rPr>
          <w:snapToGrid w:val="0"/>
        </w:rPr>
        <w:t>20574, para.</w:t>
      </w:r>
      <w:r>
        <w:t xml:space="preserve"> 25 (2002) (</w:t>
      </w:r>
      <w:r w:rsidRPr="00B83976">
        <w:rPr>
          <w:i/>
        </w:rPr>
        <w:t>EchoStar-DIRECTV HDO</w:t>
      </w:r>
      <w:r>
        <w:rPr>
          <w:iCs/>
        </w:rPr>
        <w:t>) (further internal citations omitted)</w:t>
      </w:r>
      <w:r w:rsidRPr="00B83976">
        <w:t>.</w:t>
      </w:r>
    </w:p>
  </w:footnote>
  <w:footnote w:id="25">
    <w:p w:rsidR="005B420F" w14:paraId="00CD26D6" w14:textId="6ACF126E">
      <w:pPr>
        <w:pStyle w:val="FootnoteText"/>
      </w:pPr>
      <w:r>
        <w:rPr>
          <w:rStyle w:val="FootnoteReference"/>
        </w:rPr>
        <w:footnoteRef/>
      </w:r>
      <w:r>
        <w:t xml:space="preserve"> Application at 7.</w:t>
      </w:r>
    </w:p>
  </w:footnote>
  <w:footnote w:id="26">
    <w:p w:rsidR="00025905" w14:paraId="35BCCDFE" w14:textId="3784C1CF">
      <w:pPr>
        <w:pStyle w:val="FootnoteText"/>
      </w:pPr>
      <w:r>
        <w:rPr>
          <w:rStyle w:val="FootnoteReference"/>
        </w:rPr>
        <w:footnoteRef/>
      </w:r>
      <w:r>
        <w:t xml:space="preserve"> </w:t>
      </w:r>
      <w:r w:rsidRPr="005B420F" w:rsidR="005B420F">
        <w:rPr>
          <w:i/>
          <w:iCs/>
        </w:rPr>
        <w:t>Id.</w:t>
      </w:r>
      <w:r w:rsidR="00337CCE">
        <w:t xml:space="preserve"> at </w:t>
      </w:r>
      <w:r w:rsidR="00131DFC">
        <w:t>5</w:t>
      </w:r>
      <w:r w:rsidR="00337CCE">
        <w:t>.</w:t>
      </w:r>
    </w:p>
  </w:footnote>
  <w:footnote w:id="27">
    <w:p w:rsidR="00994CBF" w:rsidP="00994CBF" w14:paraId="0AB23678" w14:textId="16A2EBCA">
      <w:pPr>
        <w:pStyle w:val="FootnoteText"/>
      </w:pPr>
      <w:r>
        <w:rPr>
          <w:rStyle w:val="FootnoteReference"/>
        </w:rPr>
        <w:footnoteRef/>
      </w:r>
      <w:r>
        <w:t xml:space="preserve"> </w:t>
      </w:r>
      <w:r w:rsidRPr="00801DFE">
        <w:rPr>
          <w:i/>
          <w:iCs/>
        </w:rPr>
        <w:t>Id.</w:t>
      </w:r>
      <w:r>
        <w:t xml:space="preserve"> at Attach. (Certification of </w:t>
      </w:r>
      <w:r>
        <w:t>Samual</w:t>
      </w:r>
      <w:r>
        <w:t xml:space="preserve"> T. Curtis</w:t>
      </w:r>
      <w:r w:rsidR="001005D1">
        <w:t xml:space="preserve"> at para. 5</w:t>
      </w:r>
      <w:r>
        <w:t>).</w:t>
      </w:r>
    </w:p>
  </w:footnote>
  <w:footnote w:id="28">
    <w:p w:rsidR="00801DFE" w14:paraId="3D502D7F" w14:textId="25A3B99E">
      <w:pPr>
        <w:pStyle w:val="FootnoteText"/>
      </w:pPr>
      <w:r>
        <w:rPr>
          <w:rStyle w:val="FootnoteReference"/>
        </w:rPr>
        <w:footnoteRef/>
      </w:r>
      <w:r>
        <w:t xml:space="preserve"> </w:t>
      </w:r>
      <w:r w:rsidRPr="00801DFE">
        <w:rPr>
          <w:i/>
          <w:iCs/>
        </w:rPr>
        <w:t>Id.</w:t>
      </w:r>
      <w:r>
        <w:t xml:space="preserve"> at 6</w:t>
      </w:r>
    </w:p>
  </w:footnote>
  <w:footnote w:id="29">
    <w:p w:rsidR="00682D96" w:rsidRPr="0096483A" w:rsidP="00682D96" w14:paraId="4FCB5291" w14:textId="725D8AEC">
      <w:pPr>
        <w:pStyle w:val="FootnoteText"/>
      </w:pPr>
      <w:r>
        <w:rPr>
          <w:rStyle w:val="FootnoteReference"/>
        </w:rPr>
        <w:footnoteRef/>
      </w:r>
      <w:r>
        <w:t xml:space="preserve"> </w:t>
      </w:r>
      <w:r w:rsidR="00801DFE">
        <w:rPr>
          <w:i/>
        </w:rPr>
        <w:t>I</w:t>
      </w:r>
      <w:r w:rsidRPr="003720B5" w:rsidR="003720B5">
        <w:rPr>
          <w:i/>
          <w:iCs/>
        </w:rPr>
        <w:t>d</w:t>
      </w:r>
      <w:r w:rsidRPr="003720B5" w:rsidR="003720B5">
        <w:t>.</w:t>
      </w:r>
      <w:r>
        <w:t xml:space="preserve"> at </w:t>
      </w:r>
      <w:r w:rsidR="00A422EA">
        <w:t>7.</w:t>
      </w:r>
    </w:p>
  </w:footnote>
  <w:footnote w:id="30">
    <w:p w:rsidR="00CF4923" w14:paraId="79CBBE5F" w14:textId="4D6899B4">
      <w:pPr>
        <w:pStyle w:val="FootnoteText"/>
      </w:pPr>
      <w:r>
        <w:rPr>
          <w:rStyle w:val="FootnoteReference"/>
        </w:rPr>
        <w:footnoteRef/>
      </w:r>
      <w:r>
        <w:t xml:space="preserve"> Application at 3, 5-6.</w:t>
      </w:r>
    </w:p>
  </w:footnote>
  <w:footnote w:id="31">
    <w:p w:rsidR="00682D96" w:rsidRPr="0096483A" w:rsidP="00682D96" w14:paraId="462B6C00" w14:textId="6EAC8F77">
      <w:pPr>
        <w:pStyle w:val="FootnoteText"/>
      </w:pPr>
      <w:r>
        <w:rPr>
          <w:rStyle w:val="FootnoteReference"/>
        </w:rPr>
        <w:footnoteRef/>
      </w:r>
      <w:r>
        <w:t xml:space="preserve"> </w:t>
      </w:r>
      <w:r>
        <w:rPr>
          <w:i/>
        </w:rPr>
        <w:t xml:space="preserve">See </w:t>
      </w:r>
      <w:r w:rsidRPr="003720B5" w:rsidR="003720B5">
        <w:rPr>
          <w:i/>
          <w:iCs/>
        </w:rPr>
        <w:t>id</w:t>
      </w:r>
      <w:r w:rsidRPr="003720B5" w:rsidR="003720B5">
        <w:t>.</w:t>
      </w:r>
      <w:r>
        <w:t xml:space="preserve"> at </w:t>
      </w:r>
      <w:r w:rsidR="0017768A">
        <w:t>6</w:t>
      </w:r>
      <w:r w:rsidR="001005D1">
        <w:t xml:space="preserve">; </w:t>
      </w:r>
      <w:r w:rsidRPr="001005D1" w:rsidR="001005D1">
        <w:rPr>
          <w:i/>
          <w:iCs/>
        </w:rPr>
        <w:t>see also</w:t>
      </w:r>
      <w:r w:rsidR="00252BFB">
        <w:rPr>
          <w:i/>
          <w:iCs/>
        </w:rPr>
        <w:t xml:space="preserve"> </w:t>
      </w:r>
      <w:r w:rsidRPr="001005D1" w:rsidR="001005D1">
        <w:rPr>
          <w:i/>
          <w:iCs/>
        </w:rPr>
        <w:t>id.</w:t>
      </w:r>
      <w:r w:rsidR="001005D1">
        <w:t xml:space="preserve"> at </w:t>
      </w:r>
      <w:r w:rsidR="00F5736F">
        <w:t xml:space="preserve">Attach. (Certification of </w:t>
      </w:r>
      <w:r w:rsidR="0017768A">
        <w:t>Samual</w:t>
      </w:r>
      <w:r w:rsidR="0017768A">
        <w:t xml:space="preserve"> T. Curtis</w:t>
      </w:r>
      <w:r w:rsidR="00F5736F">
        <w:t>).</w:t>
      </w:r>
    </w:p>
  </w:footnote>
  <w:footnote w:id="32">
    <w:p w:rsidR="00043FF5" w:rsidRPr="00043FF5" w14:paraId="46A94DC4" w14:textId="51567B3B">
      <w:pPr>
        <w:pStyle w:val="FootnoteText"/>
      </w:pPr>
      <w:r>
        <w:rPr>
          <w:rStyle w:val="FootnoteReference"/>
        </w:rPr>
        <w:footnoteRef/>
      </w:r>
      <w:r>
        <w:t xml:space="preserve"> </w:t>
      </w:r>
      <w:r w:rsidR="006C16E6">
        <w:t>Application</w:t>
      </w:r>
      <w:r>
        <w:t xml:space="preserve"> at 7.</w:t>
      </w:r>
      <w:r w:rsidR="006C16E6">
        <w:t xml:space="preserve">  </w:t>
      </w:r>
      <w:r w:rsidR="006C16E6">
        <w:t>AtLink</w:t>
      </w:r>
      <w:r w:rsidR="006C16E6">
        <w:t xml:space="preserve"> acknowledges that it will need to submit and have approved by USAC an irrevocable letter of credit and bankruptcy opinion letter for the Assigned Census Blocks.  </w:t>
      </w:r>
      <w:r w:rsidRPr="006C16E6" w:rsidR="006C16E6">
        <w:rPr>
          <w:i/>
          <w:iCs/>
        </w:rPr>
        <w:t>Id.</w:t>
      </w:r>
      <w:r w:rsidR="006C16E6">
        <w:t xml:space="preserve"> at 4.</w:t>
      </w:r>
    </w:p>
  </w:footnote>
  <w:footnote w:id="33">
    <w:p w:rsidR="00A901ED" w:rsidP="00A901ED" w14:paraId="54A939C7" w14:textId="182292E9">
      <w:pPr>
        <w:pStyle w:val="FootnoteText"/>
      </w:pPr>
      <w:r>
        <w:rPr>
          <w:rStyle w:val="FootnoteReference"/>
        </w:rPr>
        <w:footnoteRef/>
      </w:r>
      <w:r>
        <w:t xml:space="preserve"> </w:t>
      </w:r>
      <w:r w:rsidRPr="001005A4">
        <w:rPr>
          <w:i/>
          <w:iCs/>
        </w:rPr>
        <w:t>See AT&amp;T/DIRECTV Order</w:t>
      </w:r>
      <w:r>
        <w:t xml:space="preserve">, 30 FCC </w:t>
      </w:r>
      <w:r>
        <w:t>Rcd</w:t>
      </w:r>
      <w:r>
        <w:t xml:space="preserve"> at 9237, para. 273-74.</w:t>
      </w:r>
    </w:p>
  </w:footnote>
  <w:footnote w:id="34">
    <w:p w:rsidR="00A901ED" w:rsidP="00A901ED" w14:paraId="7B1A5EA8" w14:textId="77777777">
      <w:pPr>
        <w:pStyle w:val="FootnoteText"/>
      </w:pPr>
      <w:r>
        <w:rPr>
          <w:rStyle w:val="FootnoteReference"/>
        </w:rPr>
        <w:footnoteRef/>
      </w:r>
      <w:r>
        <w:t xml:space="preserve"> </w:t>
      </w:r>
      <w:r w:rsidRPr="00907911">
        <w:rPr>
          <w:i/>
          <w:iCs/>
        </w:rPr>
        <w:t>See id</w:t>
      </w:r>
      <w:r>
        <w:t xml:space="preserve">. </w:t>
      </w:r>
      <w:r w:rsidRPr="00907911">
        <w:t>at</w:t>
      </w:r>
      <w:r>
        <w:t xml:space="preserve"> 9237-38, paras. 275-76.</w:t>
      </w:r>
    </w:p>
  </w:footnote>
  <w:footnote w:id="35">
    <w:p w:rsidR="00A901ED" w:rsidP="00A901ED" w14:paraId="3DAE4B4B" w14:textId="77777777">
      <w:pPr>
        <w:pStyle w:val="FootnoteText"/>
      </w:pPr>
      <w:r>
        <w:rPr>
          <w:rStyle w:val="FootnoteReference"/>
        </w:rPr>
        <w:footnoteRef/>
      </w:r>
      <w:r>
        <w:t xml:space="preserve"> </w:t>
      </w:r>
      <w:r w:rsidRPr="001005A4">
        <w:rPr>
          <w:i/>
          <w:iCs/>
        </w:rPr>
        <w:t xml:space="preserve">See </w:t>
      </w:r>
      <w:r>
        <w:rPr>
          <w:i/>
          <w:iCs/>
        </w:rPr>
        <w:t>id</w:t>
      </w:r>
      <w:r>
        <w:t>.</w:t>
      </w:r>
    </w:p>
  </w:footnote>
  <w:footnote w:id="36">
    <w:p w:rsidR="00B33C83" w:rsidP="00B33C83" w14:paraId="6BCA5A74" w14:textId="4A6D5914">
      <w:pPr>
        <w:pStyle w:val="FootnoteText"/>
      </w:pPr>
      <w:r>
        <w:rPr>
          <w:rStyle w:val="FootnoteReference"/>
        </w:rPr>
        <w:footnoteRef/>
      </w:r>
      <w:r>
        <w:t xml:space="preserve"> </w:t>
      </w:r>
      <w:r w:rsidR="00F5088D">
        <w:t xml:space="preserve">Application </w:t>
      </w:r>
      <w:r>
        <w:t xml:space="preserve">at </w:t>
      </w:r>
      <w:r w:rsidR="00BB2051">
        <w:t>7.</w:t>
      </w:r>
    </w:p>
  </w:footnote>
  <w:footnote w:id="37">
    <w:p w:rsidR="0076309F" w:rsidP="0076309F" w14:paraId="0BC73B88" w14:textId="77777777">
      <w:pPr>
        <w:pStyle w:val="FootnoteText"/>
      </w:pPr>
      <w:r>
        <w:rPr>
          <w:rStyle w:val="FootnoteReference"/>
        </w:rPr>
        <w:footnoteRef/>
      </w:r>
      <w:r>
        <w:t xml:space="preserve"> </w:t>
      </w:r>
      <w:r w:rsidRPr="00B83976">
        <w:rPr>
          <w:i/>
          <w:iCs/>
        </w:rPr>
        <w:t>See</w:t>
      </w:r>
      <w:r>
        <w:rPr>
          <w:i/>
          <w:iCs/>
        </w:rPr>
        <w:t>, e.g.</w:t>
      </w:r>
      <w:r w:rsidRPr="003A6B1D">
        <w:t xml:space="preserve">, </w:t>
      </w:r>
      <w:r w:rsidRPr="00B83976">
        <w:rPr>
          <w:i/>
          <w:iCs/>
        </w:rPr>
        <w:t>AT&amp;T-DIRECTV Order</w:t>
      </w:r>
      <w:r w:rsidRPr="00B83976">
        <w:rPr>
          <w:iCs/>
        </w:rPr>
        <w:t xml:space="preserve">, </w:t>
      </w:r>
      <w:r w:rsidRPr="00B83976">
        <w:t xml:space="preserve">30 </w:t>
      </w:r>
      <w:r w:rsidRPr="00B83976">
        <w:rPr>
          <w:iCs/>
        </w:rPr>
        <w:t xml:space="preserve">FCC </w:t>
      </w:r>
      <w:r w:rsidRPr="00B83976">
        <w:rPr>
          <w:iCs/>
        </w:rPr>
        <w:t>Rcd</w:t>
      </w:r>
      <w:r w:rsidRPr="00B83976">
        <w:rPr>
          <w:iCs/>
        </w:rPr>
        <w:t xml:space="preserve"> at 9140, para. 19</w:t>
      </w:r>
      <w:r>
        <w:rPr>
          <w:iCs/>
        </w:rPr>
        <w:t>.</w:t>
      </w:r>
    </w:p>
  </w:footnote>
  <w:footnote w:id="38">
    <w:p w:rsidR="0076309F" w:rsidRPr="00B83976" w:rsidP="0076309F" w14:paraId="754390EB" w14:textId="012CDEF9">
      <w:pPr>
        <w:pStyle w:val="FootnoteText"/>
      </w:pPr>
      <w:r w:rsidRPr="00B83976">
        <w:rPr>
          <w:rStyle w:val="FootnoteReference"/>
        </w:rPr>
        <w:footnoteRef/>
      </w:r>
      <w:r w:rsidRPr="00B83976">
        <w:t xml:space="preserve"> </w:t>
      </w:r>
      <w:r>
        <w:rPr>
          <w:i/>
        </w:rPr>
        <w:t>See Verizon-TracFone Order</w:t>
      </w:r>
      <w:r>
        <w:rPr>
          <w:iCs/>
        </w:rPr>
        <w:t xml:space="preserve"> at para. 22 (citing </w:t>
      </w:r>
      <w:r w:rsidRPr="00B83976">
        <w:t>47 U.S.C. §§ 254, 332(c)(7), 1302; Telecommunications Act of 1996, Preamble, Pub. L. No. 104-104, 110 Stat. 56 (1996) (one purpose of the Act is to “accelerate rapidly private sector deployment of advanced telecommunications and information technologies and services</w:t>
      </w:r>
      <w:r w:rsidR="00252BFB">
        <w:t>.</w:t>
      </w:r>
      <w:r w:rsidR="00FE16FD">
        <w:t xml:space="preserve">  </w:t>
      </w:r>
    </w:p>
  </w:footnote>
  <w:footnote w:id="39">
    <w:p w:rsidR="00BB2051" w14:paraId="70F4D925" w14:textId="6527213D">
      <w:pPr>
        <w:pStyle w:val="FootnoteText"/>
      </w:pPr>
      <w:r>
        <w:rPr>
          <w:rStyle w:val="FootnoteReference"/>
        </w:rPr>
        <w:footnoteRef/>
      </w:r>
      <w:r>
        <w:t xml:space="preserve"> Application at </w:t>
      </w:r>
      <w:r w:rsidR="000A177B">
        <w:t>3</w:t>
      </w:r>
      <w:r>
        <w:t>.</w:t>
      </w:r>
    </w:p>
  </w:footnote>
  <w:footnote w:id="40">
    <w:p w:rsidR="00246575" w:rsidP="00246575" w14:paraId="5573664C" w14:textId="38E6328F">
      <w:pPr>
        <w:pStyle w:val="FootnoteText"/>
      </w:pPr>
      <w:r>
        <w:rPr>
          <w:rStyle w:val="FootnoteReference"/>
        </w:rPr>
        <w:footnoteRef/>
      </w:r>
      <w:r>
        <w:t xml:space="preserve"> </w:t>
      </w:r>
      <w:r w:rsidR="000A177B">
        <w:rPr>
          <w:i/>
          <w:iCs/>
        </w:rPr>
        <w:t>Id</w:t>
      </w:r>
      <w:r w:rsidR="000A177B">
        <w:t xml:space="preserve">. </w:t>
      </w:r>
      <w:r>
        <w:t xml:space="preserve">at </w:t>
      </w:r>
      <w:r w:rsidR="000A177B">
        <w:t>6</w:t>
      </w:r>
      <w:r>
        <w:t>.</w:t>
      </w:r>
    </w:p>
  </w:footnote>
  <w:footnote w:id="41">
    <w:p w:rsidR="00246575" w:rsidRPr="00043FF5" w:rsidP="00246575" w14:paraId="472859C3" w14:textId="756A89DE">
      <w:pPr>
        <w:pStyle w:val="FootnoteText"/>
      </w:pPr>
      <w:r>
        <w:rPr>
          <w:rStyle w:val="FootnoteReference"/>
        </w:rPr>
        <w:footnoteRef/>
      </w:r>
      <w:r>
        <w:t xml:space="preserve"> </w:t>
      </w:r>
      <w:r>
        <w:rPr>
          <w:i/>
          <w:iCs/>
        </w:rPr>
        <w:t>Id</w:t>
      </w:r>
      <w:r>
        <w:t xml:space="preserve">. at </w:t>
      </w:r>
      <w:r w:rsidR="000A177B">
        <w:t>5</w:t>
      </w:r>
      <w:r>
        <w:t>.</w:t>
      </w:r>
    </w:p>
  </w:footnote>
  <w:footnote w:id="42">
    <w:p w:rsidR="00DF1626" w:rsidRPr="00DF1626" w14:paraId="6788CF1D" w14:textId="429AA277">
      <w:pPr>
        <w:pStyle w:val="FootnoteText"/>
      </w:pPr>
      <w:r>
        <w:rPr>
          <w:rStyle w:val="FootnoteReference"/>
        </w:rPr>
        <w:footnoteRef/>
      </w:r>
      <w:r>
        <w:t xml:space="preserve"> </w:t>
      </w:r>
      <w:r>
        <w:rPr>
          <w:i/>
          <w:iCs/>
        </w:rPr>
        <w:t xml:space="preserve">See </w:t>
      </w:r>
      <w:r w:rsidRPr="006367CB">
        <w:rPr>
          <w:i/>
          <w:iCs/>
        </w:rPr>
        <w:t>CAF Authorization Public Notice</w:t>
      </w:r>
      <w:r>
        <w:t xml:space="preserve">, 35 FCC </w:t>
      </w:r>
      <w:r>
        <w:t>Rcd</w:t>
      </w:r>
      <w:r>
        <w:t xml:space="preserve"> at 4869-75 (listing obligations for authorized CAF Phase II recipients).</w:t>
      </w:r>
    </w:p>
  </w:footnote>
  <w:footnote w:id="43">
    <w:p w:rsidR="00023EE2" w:rsidRPr="000B01F0" w:rsidP="000B01F0" w14:paraId="6236ADB7" w14:textId="50B86DA1">
      <w:pPr>
        <w:rPr>
          <w:snapToGrid/>
          <w:kern w:val="0"/>
        </w:rPr>
      </w:pPr>
      <w:r w:rsidRPr="00F4366C">
        <w:rPr>
          <w:rStyle w:val="FootnoteReference"/>
          <w:sz w:val="20"/>
        </w:rPr>
        <w:footnoteRef/>
      </w:r>
      <w:r w:rsidR="006813E7">
        <w:rPr>
          <w:color w:val="000000" w:themeColor="text1"/>
        </w:rPr>
        <w:t xml:space="preserve"> </w:t>
      </w:r>
      <w:r w:rsidRPr="006813E7" w:rsidR="006813E7">
        <w:rPr>
          <w:snapToGrid/>
          <w:kern w:val="0"/>
          <w:sz w:val="20"/>
        </w:rPr>
        <w:t>W</w:t>
      </w:r>
      <w:r w:rsidRPr="006813E7">
        <w:rPr>
          <w:snapToGrid/>
          <w:kern w:val="0"/>
          <w:sz w:val="20"/>
        </w:rPr>
        <w:t>e direct Applicants to submit</w:t>
      </w:r>
      <w:r w:rsidRPr="006813E7" w:rsidR="006813E7">
        <w:rPr>
          <w:snapToGrid/>
          <w:kern w:val="0"/>
          <w:sz w:val="20"/>
        </w:rPr>
        <w:t>,</w:t>
      </w:r>
      <w:r w:rsidRPr="006813E7">
        <w:rPr>
          <w:snapToGrid/>
          <w:kern w:val="0"/>
          <w:sz w:val="20"/>
        </w:rPr>
        <w:t xml:space="preserve"> </w:t>
      </w:r>
      <w:r w:rsidRPr="006813E7" w:rsidR="006813E7">
        <w:rPr>
          <w:snapToGrid/>
          <w:kern w:val="0"/>
          <w:sz w:val="20"/>
        </w:rPr>
        <w:t xml:space="preserve">within 30 days of closing the proposed transaction, </w:t>
      </w:r>
      <w:r w:rsidRPr="006813E7">
        <w:rPr>
          <w:snapToGrid/>
          <w:kern w:val="0"/>
          <w:sz w:val="20"/>
        </w:rPr>
        <w:t xml:space="preserve">a notice </w:t>
      </w:r>
      <w:r w:rsidRPr="006813E7" w:rsidR="006813E7">
        <w:rPr>
          <w:snapToGrid/>
          <w:kern w:val="0"/>
          <w:sz w:val="20"/>
        </w:rPr>
        <w:t>in WC Docket No. 21-</w:t>
      </w:r>
      <w:r w:rsidR="004D7F00">
        <w:rPr>
          <w:snapToGrid/>
          <w:kern w:val="0"/>
          <w:sz w:val="20"/>
        </w:rPr>
        <w:t>423</w:t>
      </w:r>
      <w:r w:rsidRPr="006813E7" w:rsidR="006813E7">
        <w:rPr>
          <w:snapToGrid/>
          <w:kern w:val="0"/>
          <w:sz w:val="20"/>
        </w:rPr>
        <w:t xml:space="preserve"> </w:t>
      </w:r>
      <w:r w:rsidRPr="006813E7">
        <w:rPr>
          <w:snapToGrid/>
          <w:kern w:val="0"/>
          <w:sz w:val="20"/>
        </w:rPr>
        <w:t>that the proposed transaction has closed with the consummation date, and also provide a courtesy copy of the notice to </w:t>
      </w:r>
      <w:hyperlink r:id="rId2" w:history="1">
        <w:r w:rsidRPr="006813E7" w:rsidR="006813E7">
          <w:rPr>
            <w:snapToGrid/>
            <w:kern w:val="0"/>
            <w:sz w:val="20"/>
          </w:rPr>
          <w:t>hcinfo@usac.org</w:t>
        </w:r>
      </w:hyperlink>
      <w:r w:rsidRPr="006813E7">
        <w:rPr>
          <w:snapToGrid/>
          <w:kern w:val="0"/>
          <w:sz w:val="20"/>
        </w:rPr>
        <w:t>.</w:t>
      </w:r>
      <w:r w:rsidRPr="006813E7" w:rsidR="006813E7">
        <w:rPr>
          <w:snapToGrid/>
          <w:kern w:val="0"/>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9838BC" w:rsidP="009838BC" w14:paraId="091CA6E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5AE7" w:rsidRPr="00A866AC" w:rsidP="009838BC" w14:paraId="0520FF58"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475AE7" w:rsidP="009838BC" w14:textId="77777777">
                          <w:pPr>
                            <w:rPr>
                              <w:rFonts w:ascii="Arial" w:hAnsi="Arial"/>
                              <w:b/>
                            </w:rPr>
                          </w:pPr>
                          <w:r>
                            <w:rPr>
                              <w:rFonts w:ascii="Arial" w:hAnsi="Arial"/>
                              <w:b/>
                            </w:rPr>
                            <w:t>Federal Communications Commission</w:t>
                          </w:r>
                        </w:p>
                        <w:p w:rsidR="00475AE7" w:rsidP="009838BC" w14:textId="77777777">
                          <w:pPr>
                            <w:rPr>
                              <w:rFonts w:ascii="Arial" w:hAnsi="Arial"/>
                              <w:b/>
                            </w:rPr>
                          </w:pPr>
                          <w:r>
                            <w:rPr>
                              <w:rFonts w:ascii="Arial" w:hAnsi="Arial"/>
                              <w:b/>
                            </w:rPr>
                            <w:t>45 L St., N.E.</w:t>
                          </w:r>
                        </w:p>
                        <w:p w:rsidR="00475AE7"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75AE7" w:rsidP="009838BC" w14:paraId="21A4A4CD" w14:textId="77777777">
                    <w:pPr>
                      <w:rPr>
                        <w:rFonts w:ascii="Arial" w:hAnsi="Arial"/>
                        <w:b/>
                      </w:rPr>
                    </w:pPr>
                    <w:r>
                      <w:rPr>
                        <w:rFonts w:ascii="Arial" w:hAnsi="Arial"/>
                        <w:b/>
                      </w:rPr>
                      <w:t>Federal Communications Commission</w:t>
                    </w:r>
                  </w:p>
                  <w:p w:rsidR="00475AE7" w:rsidP="009838BC" w14:paraId="4453238A" w14:textId="77777777">
                    <w:pPr>
                      <w:rPr>
                        <w:rFonts w:ascii="Arial" w:hAnsi="Arial"/>
                        <w:b/>
                      </w:rPr>
                    </w:pPr>
                    <w:r>
                      <w:rPr>
                        <w:rFonts w:ascii="Arial" w:hAnsi="Arial"/>
                        <w:b/>
                      </w:rPr>
                      <w:t>45 L St., N.E.</w:t>
                    </w:r>
                  </w:p>
                  <w:p w:rsidR="00475AE7" w:rsidP="009838BC" w14:paraId="4487418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75796D0F" w:rsidR="0085777F">
      <w:rPr>
        <w:rFonts w:ascii="Arial" w:hAnsi="Arial" w:cs="Arial"/>
        <w:b/>
        <w:bCs/>
        <w:sz w:val="96"/>
        <w:szCs w:val="96"/>
      </w:rPr>
      <w:t>PUBLIC NOTICE</w:t>
    </w:r>
  </w:p>
  <w:p w:rsidR="00475AE7" w:rsidRPr="00357D50" w:rsidP="009838BC" w14:paraId="5DF084F2"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475AE7" w:rsidP="009838BC" w14:textId="77777777">
                          <w:pPr>
                            <w:spacing w:before="40"/>
                            <w:jc w:val="right"/>
                            <w:rPr>
                              <w:rFonts w:ascii="Arial" w:hAnsi="Arial"/>
                              <w:b/>
                              <w:sz w:val="16"/>
                            </w:rPr>
                          </w:pPr>
                          <w:r>
                            <w:rPr>
                              <w:rFonts w:ascii="Arial" w:hAnsi="Arial"/>
                              <w:b/>
                              <w:sz w:val="16"/>
                            </w:rPr>
                            <w:t>News Media Information 202 / 418-0500</w:t>
                          </w:r>
                        </w:p>
                        <w:p w:rsidR="00475AE7" w:rsidP="009838BC" w14:textId="77777777">
                          <w:pPr>
                            <w:jc w:val="right"/>
                            <w:rPr>
                              <w:rFonts w:ascii="Arial" w:hAnsi="Arial"/>
                              <w:b/>
                              <w:sz w:val="16"/>
                            </w:rPr>
                          </w:pPr>
                          <w:r>
                            <w:rPr>
                              <w:rFonts w:ascii="Arial" w:hAnsi="Arial"/>
                              <w:b/>
                              <w:sz w:val="16"/>
                            </w:rPr>
                            <w:t xml:space="preserve">Internet: </w:t>
                          </w:r>
                          <w:bookmarkStart w:id="14" w:name="_Hlt233824"/>
                          <w:hyperlink r:id="rId2" w:history="1">
                            <w:r w:rsidRPr="00D216CD">
                              <w:rPr>
                                <w:rStyle w:val="Hyperlink"/>
                                <w:rFonts w:ascii="Arial" w:hAnsi="Arial"/>
                                <w:b/>
                                <w:sz w:val="16"/>
                              </w:rPr>
                              <w:t>h</w:t>
                            </w:r>
                            <w:bookmarkEnd w:id="14"/>
                            <w:r w:rsidRPr="00D216CD">
                              <w:rPr>
                                <w:rStyle w:val="Hyperlink"/>
                                <w:rFonts w:ascii="Arial" w:hAnsi="Arial"/>
                                <w:b/>
                                <w:sz w:val="16"/>
                              </w:rPr>
                              <w:t>ttps://www.fcc.gov</w:t>
                            </w:r>
                          </w:hyperlink>
                        </w:p>
                        <w:p w:rsidR="00475AE7"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475AE7" w:rsidP="009838BC" w14:paraId="7BA3E3A8" w14:textId="77777777">
                    <w:pPr>
                      <w:spacing w:before="40"/>
                      <w:jc w:val="right"/>
                      <w:rPr>
                        <w:rFonts w:ascii="Arial" w:hAnsi="Arial"/>
                        <w:b/>
                        <w:sz w:val="16"/>
                      </w:rPr>
                    </w:pPr>
                    <w:r>
                      <w:rPr>
                        <w:rFonts w:ascii="Arial" w:hAnsi="Arial"/>
                        <w:b/>
                        <w:sz w:val="16"/>
                      </w:rPr>
                      <w:t>News Media Information 202 / 418-0500</w:t>
                    </w:r>
                  </w:p>
                  <w:p w:rsidR="00475AE7" w:rsidP="009838BC" w14:paraId="5961A55B" w14:textId="77777777">
                    <w:pPr>
                      <w:jc w:val="right"/>
                      <w:rPr>
                        <w:rFonts w:ascii="Arial" w:hAnsi="Arial"/>
                        <w:b/>
                        <w:sz w:val="16"/>
                      </w:rPr>
                    </w:pPr>
                    <w:r>
                      <w:rPr>
                        <w:rFonts w:ascii="Arial" w:hAnsi="Arial"/>
                        <w:b/>
                        <w:sz w:val="16"/>
                      </w:rPr>
                      <w:t xml:space="preserve">Internet: </w:t>
                    </w:r>
                    <w:bookmarkStart w:id="14" w:name="_Hlt233824"/>
                    <w:hyperlink r:id="rId2" w:history="1">
                      <w:r w:rsidRPr="00D216CD">
                        <w:rPr>
                          <w:rStyle w:val="Hyperlink"/>
                          <w:rFonts w:ascii="Arial" w:hAnsi="Arial"/>
                          <w:b/>
                          <w:sz w:val="16"/>
                        </w:rPr>
                        <w:t>h</w:t>
                      </w:r>
                      <w:bookmarkEnd w:id="14"/>
                      <w:r w:rsidRPr="00D216CD">
                        <w:rPr>
                          <w:rStyle w:val="Hyperlink"/>
                          <w:rFonts w:ascii="Arial" w:hAnsi="Arial"/>
                          <w:b/>
                          <w:sz w:val="16"/>
                        </w:rPr>
                        <w:t>ttps://www.fcc.gov</w:t>
                      </w:r>
                    </w:hyperlink>
                  </w:p>
                  <w:p w:rsidR="00475AE7" w:rsidP="009838BC" w14:paraId="121181AF" w14:textId="77777777">
                    <w:pPr>
                      <w:jc w:val="right"/>
                    </w:pPr>
                  </w:p>
                </w:txbxContent>
              </v:textbox>
            </v:shape>
          </w:pict>
        </mc:Fallback>
      </mc:AlternateContent>
    </w:r>
  </w:p>
  <w:p w:rsidR="00475AE7" w:rsidRPr="009838BC" w:rsidP="009838BC" w14:paraId="6F2917A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FA"/>
    <w:rsid w:val="000009A3"/>
    <w:rsid w:val="000025FE"/>
    <w:rsid w:val="00003905"/>
    <w:rsid w:val="00005C82"/>
    <w:rsid w:val="000072CE"/>
    <w:rsid w:val="000109B1"/>
    <w:rsid w:val="00011ED7"/>
    <w:rsid w:val="00013A8B"/>
    <w:rsid w:val="000157A9"/>
    <w:rsid w:val="00016BF1"/>
    <w:rsid w:val="00021252"/>
    <w:rsid w:val="00021445"/>
    <w:rsid w:val="00023E9D"/>
    <w:rsid w:val="00023EE2"/>
    <w:rsid w:val="0002579D"/>
    <w:rsid w:val="00025905"/>
    <w:rsid w:val="000326B7"/>
    <w:rsid w:val="00033AD2"/>
    <w:rsid w:val="00036039"/>
    <w:rsid w:val="00037F90"/>
    <w:rsid w:val="00040D06"/>
    <w:rsid w:val="000418EE"/>
    <w:rsid w:val="00043FF5"/>
    <w:rsid w:val="00044FC2"/>
    <w:rsid w:val="0004637E"/>
    <w:rsid w:val="000505D6"/>
    <w:rsid w:val="00052C36"/>
    <w:rsid w:val="00052D7C"/>
    <w:rsid w:val="000578D9"/>
    <w:rsid w:val="000630A2"/>
    <w:rsid w:val="0006453A"/>
    <w:rsid w:val="000654FE"/>
    <w:rsid w:val="00065885"/>
    <w:rsid w:val="00070000"/>
    <w:rsid w:val="0007304F"/>
    <w:rsid w:val="000778AF"/>
    <w:rsid w:val="000875BF"/>
    <w:rsid w:val="00090879"/>
    <w:rsid w:val="000929A6"/>
    <w:rsid w:val="00093575"/>
    <w:rsid w:val="00095E72"/>
    <w:rsid w:val="00096D8C"/>
    <w:rsid w:val="000A15E0"/>
    <w:rsid w:val="000A177B"/>
    <w:rsid w:val="000A43AA"/>
    <w:rsid w:val="000A715F"/>
    <w:rsid w:val="000A719C"/>
    <w:rsid w:val="000A7F5F"/>
    <w:rsid w:val="000B01F0"/>
    <w:rsid w:val="000B1EFD"/>
    <w:rsid w:val="000B206F"/>
    <w:rsid w:val="000B3A1F"/>
    <w:rsid w:val="000B5082"/>
    <w:rsid w:val="000B5D03"/>
    <w:rsid w:val="000B6581"/>
    <w:rsid w:val="000B7562"/>
    <w:rsid w:val="000C0B65"/>
    <w:rsid w:val="000C0E52"/>
    <w:rsid w:val="000C43BA"/>
    <w:rsid w:val="000C5DEF"/>
    <w:rsid w:val="000C67E7"/>
    <w:rsid w:val="000D50EB"/>
    <w:rsid w:val="000D5BC1"/>
    <w:rsid w:val="000D7CAA"/>
    <w:rsid w:val="000E1A64"/>
    <w:rsid w:val="000E1C72"/>
    <w:rsid w:val="000E340C"/>
    <w:rsid w:val="000E3D42"/>
    <w:rsid w:val="000E5884"/>
    <w:rsid w:val="000E6601"/>
    <w:rsid w:val="000F248A"/>
    <w:rsid w:val="000F3EAA"/>
    <w:rsid w:val="000F4C4E"/>
    <w:rsid w:val="000F652F"/>
    <w:rsid w:val="000F70F5"/>
    <w:rsid w:val="000F7336"/>
    <w:rsid w:val="000F7AFB"/>
    <w:rsid w:val="001005A4"/>
    <w:rsid w:val="001005D1"/>
    <w:rsid w:val="00103CFD"/>
    <w:rsid w:val="001050B1"/>
    <w:rsid w:val="001073A5"/>
    <w:rsid w:val="00107713"/>
    <w:rsid w:val="001137A6"/>
    <w:rsid w:val="00114C73"/>
    <w:rsid w:val="00114E09"/>
    <w:rsid w:val="00116C3F"/>
    <w:rsid w:val="00122BD5"/>
    <w:rsid w:val="0012361D"/>
    <w:rsid w:val="00125C60"/>
    <w:rsid w:val="001265C3"/>
    <w:rsid w:val="00131DFC"/>
    <w:rsid w:val="00132378"/>
    <w:rsid w:val="0013301F"/>
    <w:rsid w:val="001330FF"/>
    <w:rsid w:val="00135F54"/>
    <w:rsid w:val="00136137"/>
    <w:rsid w:val="001415BA"/>
    <w:rsid w:val="00143076"/>
    <w:rsid w:val="00144A2D"/>
    <w:rsid w:val="001539F3"/>
    <w:rsid w:val="001541A8"/>
    <w:rsid w:val="00154EB8"/>
    <w:rsid w:val="00161259"/>
    <w:rsid w:val="00164F1D"/>
    <w:rsid w:val="00164FFA"/>
    <w:rsid w:val="00170F41"/>
    <w:rsid w:val="00171F2B"/>
    <w:rsid w:val="0017768A"/>
    <w:rsid w:val="001807A4"/>
    <w:rsid w:val="00181174"/>
    <w:rsid w:val="00181795"/>
    <w:rsid w:val="00183949"/>
    <w:rsid w:val="001856A8"/>
    <w:rsid w:val="001975FA"/>
    <w:rsid w:val="001979D9"/>
    <w:rsid w:val="001A0E9C"/>
    <w:rsid w:val="001A312A"/>
    <w:rsid w:val="001A3A79"/>
    <w:rsid w:val="001A6361"/>
    <w:rsid w:val="001A7655"/>
    <w:rsid w:val="001B158F"/>
    <w:rsid w:val="001B66CB"/>
    <w:rsid w:val="001B7D51"/>
    <w:rsid w:val="001C0C29"/>
    <w:rsid w:val="001C4655"/>
    <w:rsid w:val="001C6F20"/>
    <w:rsid w:val="001D052E"/>
    <w:rsid w:val="001D0A43"/>
    <w:rsid w:val="001D6BCF"/>
    <w:rsid w:val="001E01CA"/>
    <w:rsid w:val="001E397D"/>
    <w:rsid w:val="001E410D"/>
    <w:rsid w:val="001E68E0"/>
    <w:rsid w:val="001F1CB2"/>
    <w:rsid w:val="001F1FC6"/>
    <w:rsid w:val="001F1FF1"/>
    <w:rsid w:val="001F3582"/>
    <w:rsid w:val="001F5903"/>
    <w:rsid w:val="001F67E3"/>
    <w:rsid w:val="001F731B"/>
    <w:rsid w:val="001F795B"/>
    <w:rsid w:val="002025E9"/>
    <w:rsid w:val="002027F0"/>
    <w:rsid w:val="00203604"/>
    <w:rsid w:val="00203A09"/>
    <w:rsid w:val="002049B9"/>
    <w:rsid w:val="00204D99"/>
    <w:rsid w:val="002060D9"/>
    <w:rsid w:val="00206137"/>
    <w:rsid w:val="002078DE"/>
    <w:rsid w:val="00207939"/>
    <w:rsid w:val="00215AF2"/>
    <w:rsid w:val="0021655B"/>
    <w:rsid w:val="00224DB8"/>
    <w:rsid w:val="0022664E"/>
    <w:rsid w:val="00226822"/>
    <w:rsid w:val="00227E61"/>
    <w:rsid w:val="00230331"/>
    <w:rsid w:val="002334CD"/>
    <w:rsid w:val="00240A9F"/>
    <w:rsid w:val="00241A9B"/>
    <w:rsid w:val="00242F44"/>
    <w:rsid w:val="00243092"/>
    <w:rsid w:val="00245087"/>
    <w:rsid w:val="002456F6"/>
    <w:rsid w:val="00246575"/>
    <w:rsid w:val="0025072B"/>
    <w:rsid w:val="0025082C"/>
    <w:rsid w:val="00252AB1"/>
    <w:rsid w:val="00252BFB"/>
    <w:rsid w:val="00253923"/>
    <w:rsid w:val="00254E19"/>
    <w:rsid w:val="002557CC"/>
    <w:rsid w:val="00256D48"/>
    <w:rsid w:val="00256F99"/>
    <w:rsid w:val="002572DC"/>
    <w:rsid w:val="00260594"/>
    <w:rsid w:val="002610EC"/>
    <w:rsid w:val="00264313"/>
    <w:rsid w:val="00265992"/>
    <w:rsid w:val="00273BAD"/>
    <w:rsid w:val="00276C04"/>
    <w:rsid w:val="00280975"/>
    <w:rsid w:val="00281B21"/>
    <w:rsid w:val="002832E8"/>
    <w:rsid w:val="00285017"/>
    <w:rsid w:val="00286468"/>
    <w:rsid w:val="00290BBA"/>
    <w:rsid w:val="002979E3"/>
    <w:rsid w:val="002A03DD"/>
    <w:rsid w:val="002A11B4"/>
    <w:rsid w:val="002A2D2E"/>
    <w:rsid w:val="002A6D6A"/>
    <w:rsid w:val="002B0207"/>
    <w:rsid w:val="002B0351"/>
    <w:rsid w:val="002B3776"/>
    <w:rsid w:val="002B4C9C"/>
    <w:rsid w:val="002B54FB"/>
    <w:rsid w:val="002B7763"/>
    <w:rsid w:val="002C1AF9"/>
    <w:rsid w:val="002C3ECE"/>
    <w:rsid w:val="002C5846"/>
    <w:rsid w:val="002D1435"/>
    <w:rsid w:val="002D2146"/>
    <w:rsid w:val="002D447E"/>
    <w:rsid w:val="002D6286"/>
    <w:rsid w:val="002D62DD"/>
    <w:rsid w:val="002D7A48"/>
    <w:rsid w:val="002D7CCE"/>
    <w:rsid w:val="002E5941"/>
    <w:rsid w:val="002F2339"/>
    <w:rsid w:val="002F4819"/>
    <w:rsid w:val="002F7221"/>
    <w:rsid w:val="003046CE"/>
    <w:rsid w:val="00306D00"/>
    <w:rsid w:val="00307030"/>
    <w:rsid w:val="0031328E"/>
    <w:rsid w:val="003231F8"/>
    <w:rsid w:val="0032799C"/>
    <w:rsid w:val="00327A84"/>
    <w:rsid w:val="00333030"/>
    <w:rsid w:val="0033308B"/>
    <w:rsid w:val="00334D34"/>
    <w:rsid w:val="00337CCE"/>
    <w:rsid w:val="00337EDD"/>
    <w:rsid w:val="00343749"/>
    <w:rsid w:val="00344102"/>
    <w:rsid w:val="00351B89"/>
    <w:rsid w:val="00351E93"/>
    <w:rsid w:val="00353A57"/>
    <w:rsid w:val="00353EAF"/>
    <w:rsid w:val="00357D50"/>
    <w:rsid w:val="003602FC"/>
    <w:rsid w:val="003609F7"/>
    <w:rsid w:val="00366291"/>
    <w:rsid w:val="003720B5"/>
    <w:rsid w:val="00376E27"/>
    <w:rsid w:val="00377C00"/>
    <w:rsid w:val="00377F86"/>
    <w:rsid w:val="003816CE"/>
    <w:rsid w:val="00381FE8"/>
    <w:rsid w:val="00385229"/>
    <w:rsid w:val="0038758C"/>
    <w:rsid w:val="00387EAB"/>
    <w:rsid w:val="003925DC"/>
    <w:rsid w:val="003942C1"/>
    <w:rsid w:val="00395CFE"/>
    <w:rsid w:val="00395F38"/>
    <w:rsid w:val="0039668F"/>
    <w:rsid w:val="00396E41"/>
    <w:rsid w:val="003A1093"/>
    <w:rsid w:val="003A2F1B"/>
    <w:rsid w:val="003A3B46"/>
    <w:rsid w:val="003A3FC6"/>
    <w:rsid w:val="003A49D1"/>
    <w:rsid w:val="003A67F6"/>
    <w:rsid w:val="003A6B1D"/>
    <w:rsid w:val="003B0550"/>
    <w:rsid w:val="003B06B7"/>
    <w:rsid w:val="003B18C4"/>
    <w:rsid w:val="003B28FF"/>
    <w:rsid w:val="003B366F"/>
    <w:rsid w:val="003B694F"/>
    <w:rsid w:val="003B7D0E"/>
    <w:rsid w:val="003C2436"/>
    <w:rsid w:val="003C47B1"/>
    <w:rsid w:val="003C48AB"/>
    <w:rsid w:val="003C589A"/>
    <w:rsid w:val="003C5A19"/>
    <w:rsid w:val="003C77F1"/>
    <w:rsid w:val="003D2256"/>
    <w:rsid w:val="003E34D5"/>
    <w:rsid w:val="003E5ACA"/>
    <w:rsid w:val="003E5F74"/>
    <w:rsid w:val="003E7B6C"/>
    <w:rsid w:val="003F0EF2"/>
    <w:rsid w:val="003F171C"/>
    <w:rsid w:val="003F1EE9"/>
    <w:rsid w:val="004004AF"/>
    <w:rsid w:val="00402A03"/>
    <w:rsid w:val="00403231"/>
    <w:rsid w:val="00412582"/>
    <w:rsid w:val="00412FC5"/>
    <w:rsid w:val="00413423"/>
    <w:rsid w:val="00415EFC"/>
    <w:rsid w:val="00420182"/>
    <w:rsid w:val="00422276"/>
    <w:rsid w:val="00422B9A"/>
    <w:rsid w:val="004242F1"/>
    <w:rsid w:val="004243FE"/>
    <w:rsid w:val="00432406"/>
    <w:rsid w:val="0043254C"/>
    <w:rsid w:val="00432569"/>
    <w:rsid w:val="00433A96"/>
    <w:rsid w:val="00437716"/>
    <w:rsid w:val="00441312"/>
    <w:rsid w:val="00445A00"/>
    <w:rsid w:val="00451B0F"/>
    <w:rsid w:val="00456CBE"/>
    <w:rsid w:val="004570A3"/>
    <w:rsid w:val="0046125F"/>
    <w:rsid w:val="00462520"/>
    <w:rsid w:val="00466B8E"/>
    <w:rsid w:val="0046783E"/>
    <w:rsid w:val="00467C77"/>
    <w:rsid w:val="00470E9D"/>
    <w:rsid w:val="00471CE2"/>
    <w:rsid w:val="00475591"/>
    <w:rsid w:val="00475AE7"/>
    <w:rsid w:val="00476CA4"/>
    <w:rsid w:val="004806FB"/>
    <w:rsid w:val="004872D0"/>
    <w:rsid w:val="00487524"/>
    <w:rsid w:val="004876D1"/>
    <w:rsid w:val="004903BF"/>
    <w:rsid w:val="0049112B"/>
    <w:rsid w:val="004928F5"/>
    <w:rsid w:val="004943CA"/>
    <w:rsid w:val="0049488B"/>
    <w:rsid w:val="00495252"/>
    <w:rsid w:val="00496106"/>
    <w:rsid w:val="00496949"/>
    <w:rsid w:val="004A660E"/>
    <w:rsid w:val="004B088F"/>
    <w:rsid w:val="004B091D"/>
    <w:rsid w:val="004B6492"/>
    <w:rsid w:val="004C12D0"/>
    <w:rsid w:val="004C2EE3"/>
    <w:rsid w:val="004C3FFB"/>
    <w:rsid w:val="004C70FB"/>
    <w:rsid w:val="004D22C3"/>
    <w:rsid w:val="004D362E"/>
    <w:rsid w:val="004D5869"/>
    <w:rsid w:val="004D6C60"/>
    <w:rsid w:val="004D7F00"/>
    <w:rsid w:val="004E4A22"/>
    <w:rsid w:val="004E72B7"/>
    <w:rsid w:val="004F35CA"/>
    <w:rsid w:val="004F4239"/>
    <w:rsid w:val="004F60EC"/>
    <w:rsid w:val="004F737A"/>
    <w:rsid w:val="005053A7"/>
    <w:rsid w:val="00506C61"/>
    <w:rsid w:val="005106C5"/>
    <w:rsid w:val="00511968"/>
    <w:rsid w:val="005123BE"/>
    <w:rsid w:val="00516819"/>
    <w:rsid w:val="00516C98"/>
    <w:rsid w:val="0052214B"/>
    <w:rsid w:val="00523F0D"/>
    <w:rsid w:val="00524B7D"/>
    <w:rsid w:val="00525F91"/>
    <w:rsid w:val="00532BEA"/>
    <w:rsid w:val="005357B8"/>
    <w:rsid w:val="00536CF8"/>
    <w:rsid w:val="0054043D"/>
    <w:rsid w:val="00545A19"/>
    <w:rsid w:val="0054650E"/>
    <w:rsid w:val="00547B1A"/>
    <w:rsid w:val="00550354"/>
    <w:rsid w:val="00552A15"/>
    <w:rsid w:val="0055614C"/>
    <w:rsid w:val="005614FA"/>
    <w:rsid w:val="00563C1F"/>
    <w:rsid w:val="00564FFA"/>
    <w:rsid w:val="00577322"/>
    <w:rsid w:val="00577BFF"/>
    <w:rsid w:val="00581C61"/>
    <w:rsid w:val="00582BAF"/>
    <w:rsid w:val="00584B7F"/>
    <w:rsid w:val="00585A53"/>
    <w:rsid w:val="00585EC7"/>
    <w:rsid w:val="00595381"/>
    <w:rsid w:val="00595ECF"/>
    <w:rsid w:val="0059746C"/>
    <w:rsid w:val="005A0BF4"/>
    <w:rsid w:val="005A3062"/>
    <w:rsid w:val="005A31B2"/>
    <w:rsid w:val="005A3ADF"/>
    <w:rsid w:val="005A445D"/>
    <w:rsid w:val="005A4610"/>
    <w:rsid w:val="005A7365"/>
    <w:rsid w:val="005B3EC2"/>
    <w:rsid w:val="005B420F"/>
    <w:rsid w:val="005B5B7B"/>
    <w:rsid w:val="005C24D8"/>
    <w:rsid w:val="005C680A"/>
    <w:rsid w:val="005C7EF4"/>
    <w:rsid w:val="005D0403"/>
    <w:rsid w:val="005D092D"/>
    <w:rsid w:val="005D0A49"/>
    <w:rsid w:val="005D1FDC"/>
    <w:rsid w:val="005D3464"/>
    <w:rsid w:val="005D7816"/>
    <w:rsid w:val="005E347C"/>
    <w:rsid w:val="005E5BA2"/>
    <w:rsid w:val="005E5F6A"/>
    <w:rsid w:val="005E74A9"/>
    <w:rsid w:val="005F0449"/>
    <w:rsid w:val="005F4263"/>
    <w:rsid w:val="005F5D60"/>
    <w:rsid w:val="00603CBE"/>
    <w:rsid w:val="00607BA5"/>
    <w:rsid w:val="006126AF"/>
    <w:rsid w:val="00615C48"/>
    <w:rsid w:val="00620DBB"/>
    <w:rsid w:val="00620F82"/>
    <w:rsid w:val="00621457"/>
    <w:rsid w:val="00625270"/>
    <w:rsid w:val="00626EB6"/>
    <w:rsid w:val="006275B0"/>
    <w:rsid w:val="00631B71"/>
    <w:rsid w:val="006353A3"/>
    <w:rsid w:val="006367CB"/>
    <w:rsid w:val="00637E27"/>
    <w:rsid w:val="00642E7B"/>
    <w:rsid w:val="00643878"/>
    <w:rsid w:val="006439DA"/>
    <w:rsid w:val="00644B2C"/>
    <w:rsid w:val="006548AC"/>
    <w:rsid w:val="00655D03"/>
    <w:rsid w:val="00660386"/>
    <w:rsid w:val="00660750"/>
    <w:rsid w:val="00664AB4"/>
    <w:rsid w:val="006650A4"/>
    <w:rsid w:val="006665E6"/>
    <w:rsid w:val="00675E8A"/>
    <w:rsid w:val="0068023C"/>
    <w:rsid w:val="006813E7"/>
    <w:rsid w:val="00682D96"/>
    <w:rsid w:val="00683F84"/>
    <w:rsid w:val="00684738"/>
    <w:rsid w:val="0068763E"/>
    <w:rsid w:val="006901C6"/>
    <w:rsid w:val="00694196"/>
    <w:rsid w:val="00694C92"/>
    <w:rsid w:val="006953EE"/>
    <w:rsid w:val="0069577D"/>
    <w:rsid w:val="006972E8"/>
    <w:rsid w:val="006A35D1"/>
    <w:rsid w:val="006A467F"/>
    <w:rsid w:val="006A6A81"/>
    <w:rsid w:val="006B2F55"/>
    <w:rsid w:val="006B5D0A"/>
    <w:rsid w:val="006B68F8"/>
    <w:rsid w:val="006B6F46"/>
    <w:rsid w:val="006C16E6"/>
    <w:rsid w:val="006C1880"/>
    <w:rsid w:val="006C28BB"/>
    <w:rsid w:val="006C47FA"/>
    <w:rsid w:val="006C7A94"/>
    <w:rsid w:val="006D0FAA"/>
    <w:rsid w:val="006D40DD"/>
    <w:rsid w:val="006D660A"/>
    <w:rsid w:val="006D6AFD"/>
    <w:rsid w:val="006D760F"/>
    <w:rsid w:val="006D7B2B"/>
    <w:rsid w:val="006E1C9A"/>
    <w:rsid w:val="006E26AF"/>
    <w:rsid w:val="006E3ED7"/>
    <w:rsid w:val="006E57B3"/>
    <w:rsid w:val="006F1183"/>
    <w:rsid w:val="006F3559"/>
    <w:rsid w:val="006F4636"/>
    <w:rsid w:val="006F7393"/>
    <w:rsid w:val="00701094"/>
    <w:rsid w:val="007019B6"/>
    <w:rsid w:val="007019FF"/>
    <w:rsid w:val="0070224F"/>
    <w:rsid w:val="00703BB5"/>
    <w:rsid w:val="0070486C"/>
    <w:rsid w:val="007056A4"/>
    <w:rsid w:val="007115F7"/>
    <w:rsid w:val="007178B4"/>
    <w:rsid w:val="00717B07"/>
    <w:rsid w:val="00725674"/>
    <w:rsid w:val="0072578B"/>
    <w:rsid w:val="00726F80"/>
    <w:rsid w:val="00731C3E"/>
    <w:rsid w:val="00731D5F"/>
    <w:rsid w:val="00735B84"/>
    <w:rsid w:val="00740AD9"/>
    <w:rsid w:val="00742221"/>
    <w:rsid w:val="00744F93"/>
    <w:rsid w:val="00746759"/>
    <w:rsid w:val="00746770"/>
    <w:rsid w:val="00747C64"/>
    <w:rsid w:val="007525C3"/>
    <w:rsid w:val="00762FC4"/>
    <w:rsid w:val="0076309F"/>
    <w:rsid w:val="007668C8"/>
    <w:rsid w:val="00770F47"/>
    <w:rsid w:val="00773172"/>
    <w:rsid w:val="00780E7D"/>
    <w:rsid w:val="00785689"/>
    <w:rsid w:val="00792664"/>
    <w:rsid w:val="00793903"/>
    <w:rsid w:val="0079754B"/>
    <w:rsid w:val="007A0B06"/>
    <w:rsid w:val="007A1E6D"/>
    <w:rsid w:val="007A29A0"/>
    <w:rsid w:val="007A555E"/>
    <w:rsid w:val="007B1170"/>
    <w:rsid w:val="007B1F0E"/>
    <w:rsid w:val="007B72F9"/>
    <w:rsid w:val="007B7C16"/>
    <w:rsid w:val="007C179B"/>
    <w:rsid w:val="007C2228"/>
    <w:rsid w:val="007C4371"/>
    <w:rsid w:val="007C5078"/>
    <w:rsid w:val="007C53B3"/>
    <w:rsid w:val="007C674D"/>
    <w:rsid w:val="007D3761"/>
    <w:rsid w:val="007D4842"/>
    <w:rsid w:val="007D4DB7"/>
    <w:rsid w:val="007D6054"/>
    <w:rsid w:val="007E32AB"/>
    <w:rsid w:val="007E4A79"/>
    <w:rsid w:val="007F0701"/>
    <w:rsid w:val="007F0DBB"/>
    <w:rsid w:val="007F1D7C"/>
    <w:rsid w:val="007F29ED"/>
    <w:rsid w:val="007F2E5D"/>
    <w:rsid w:val="007F400A"/>
    <w:rsid w:val="007F40C5"/>
    <w:rsid w:val="007F5818"/>
    <w:rsid w:val="007F5C59"/>
    <w:rsid w:val="00800267"/>
    <w:rsid w:val="00801AAA"/>
    <w:rsid w:val="00801DFE"/>
    <w:rsid w:val="00801FDC"/>
    <w:rsid w:val="00805401"/>
    <w:rsid w:val="008068FD"/>
    <w:rsid w:val="008178AF"/>
    <w:rsid w:val="00822CE0"/>
    <w:rsid w:val="00825E7D"/>
    <w:rsid w:val="008271E2"/>
    <w:rsid w:val="008275B8"/>
    <w:rsid w:val="0083155B"/>
    <w:rsid w:val="008338CE"/>
    <w:rsid w:val="0083451B"/>
    <w:rsid w:val="00837C62"/>
    <w:rsid w:val="00841404"/>
    <w:rsid w:val="00841AB1"/>
    <w:rsid w:val="00844109"/>
    <w:rsid w:val="0084412A"/>
    <w:rsid w:val="00845944"/>
    <w:rsid w:val="00851E64"/>
    <w:rsid w:val="008550B5"/>
    <w:rsid w:val="00855DB1"/>
    <w:rsid w:val="0085777F"/>
    <w:rsid w:val="0086068D"/>
    <w:rsid w:val="00861958"/>
    <w:rsid w:val="0086597B"/>
    <w:rsid w:val="008670A1"/>
    <w:rsid w:val="00872701"/>
    <w:rsid w:val="008759A0"/>
    <w:rsid w:val="008774D9"/>
    <w:rsid w:val="00880549"/>
    <w:rsid w:val="00880961"/>
    <w:rsid w:val="008823A6"/>
    <w:rsid w:val="00885346"/>
    <w:rsid w:val="008860DF"/>
    <w:rsid w:val="008865BD"/>
    <w:rsid w:val="00890537"/>
    <w:rsid w:val="008928B0"/>
    <w:rsid w:val="00892BEE"/>
    <w:rsid w:val="00893955"/>
    <w:rsid w:val="008965D6"/>
    <w:rsid w:val="008969B3"/>
    <w:rsid w:val="0089722C"/>
    <w:rsid w:val="008A5F0D"/>
    <w:rsid w:val="008A6865"/>
    <w:rsid w:val="008A72A2"/>
    <w:rsid w:val="008B3790"/>
    <w:rsid w:val="008B3951"/>
    <w:rsid w:val="008B3DC7"/>
    <w:rsid w:val="008B4D33"/>
    <w:rsid w:val="008B51AD"/>
    <w:rsid w:val="008C0043"/>
    <w:rsid w:val="008C09B2"/>
    <w:rsid w:val="008C12CA"/>
    <w:rsid w:val="008C1A0F"/>
    <w:rsid w:val="008C1DAA"/>
    <w:rsid w:val="008C22FD"/>
    <w:rsid w:val="008C2513"/>
    <w:rsid w:val="008C5059"/>
    <w:rsid w:val="008C5AED"/>
    <w:rsid w:val="008C78F0"/>
    <w:rsid w:val="008D327D"/>
    <w:rsid w:val="008D5B54"/>
    <w:rsid w:val="008D5EA0"/>
    <w:rsid w:val="008D6240"/>
    <w:rsid w:val="008E5D2B"/>
    <w:rsid w:val="008F52F1"/>
    <w:rsid w:val="008F58CF"/>
    <w:rsid w:val="00902F76"/>
    <w:rsid w:val="0090545D"/>
    <w:rsid w:val="00907362"/>
    <w:rsid w:val="00907911"/>
    <w:rsid w:val="00910F12"/>
    <w:rsid w:val="00913041"/>
    <w:rsid w:val="009145C5"/>
    <w:rsid w:val="0091539A"/>
    <w:rsid w:val="00915DB4"/>
    <w:rsid w:val="0091650F"/>
    <w:rsid w:val="00922696"/>
    <w:rsid w:val="00923F59"/>
    <w:rsid w:val="00925ACF"/>
    <w:rsid w:val="00926397"/>
    <w:rsid w:val="00926503"/>
    <w:rsid w:val="0092692D"/>
    <w:rsid w:val="00926C1D"/>
    <w:rsid w:val="009308A2"/>
    <w:rsid w:val="00930ECF"/>
    <w:rsid w:val="0093162D"/>
    <w:rsid w:val="00931CEB"/>
    <w:rsid w:val="00931D6F"/>
    <w:rsid w:val="0093267F"/>
    <w:rsid w:val="009432A3"/>
    <w:rsid w:val="00943407"/>
    <w:rsid w:val="00943B23"/>
    <w:rsid w:val="00946DF9"/>
    <w:rsid w:val="0095053C"/>
    <w:rsid w:val="0095057C"/>
    <w:rsid w:val="009556CA"/>
    <w:rsid w:val="0096037E"/>
    <w:rsid w:val="00960B05"/>
    <w:rsid w:val="0096483A"/>
    <w:rsid w:val="00967271"/>
    <w:rsid w:val="00970A34"/>
    <w:rsid w:val="009713DD"/>
    <w:rsid w:val="0097544A"/>
    <w:rsid w:val="00976129"/>
    <w:rsid w:val="00976938"/>
    <w:rsid w:val="009801F8"/>
    <w:rsid w:val="009838BC"/>
    <w:rsid w:val="00983A14"/>
    <w:rsid w:val="00983EE2"/>
    <w:rsid w:val="00985C24"/>
    <w:rsid w:val="00986B91"/>
    <w:rsid w:val="00987966"/>
    <w:rsid w:val="00987A27"/>
    <w:rsid w:val="009901F7"/>
    <w:rsid w:val="009929EC"/>
    <w:rsid w:val="00994CBF"/>
    <w:rsid w:val="0099637A"/>
    <w:rsid w:val="0099720B"/>
    <w:rsid w:val="009A382B"/>
    <w:rsid w:val="009A65B8"/>
    <w:rsid w:val="009A685A"/>
    <w:rsid w:val="009B2979"/>
    <w:rsid w:val="009B3988"/>
    <w:rsid w:val="009B63B0"/>
    <w:rsid w:val="009C2EC9"/>
    <w:rsid w:val="009C448A"/>
    <w:rsid w:val="009C73EF"/>
    <w:rsid w:val="009D175D"/>
    <w:rsid w:val="009D36AB"/>
    <w:rsid w:val="009D708B"/>
    <w:rsid w:val="009E0A80"/>
    <w:rsid w:val="009F1761"/>
    <w:rsid w:val="009F71A2"/>
    <w:rsid w:val="00A011D2"/>
    <w:rsid w:val="00A029B6"/>
    <w:rsid w:val="00A03FAC"/>
    <w:rsid w:val="00A06E7E"/>
    <w:rsid w:val="00A13DDC"/>
    <w:rsid w:val="00A14255"/>
    <w:rsid w:val="00A1615A"/>
    <w:rsid w:val="00A164EA"/>
    <w:rsid w:val="00A17B4C"/>
    <w:rsid w:val="00A212D1"/>
    <w:rsid w:val="00A22D46"/>
    <w:rsid w:val="00A239D2"/>
    <w:rsid w:val="00A30968"/>
    <w:rsid w:val="00A32C6E"/>
    <w:rsid w:val="00A351CE"/>
    <w:rsid w:val="00A40309"/>
    <w:rsid w:val="00A42060"/>
    <w:rsid w:val="00A422EA"/>
    <w:rsid w:val="00A45F4F"/>
    <w:rsid w:val="00A5137A"/>
    <w:rsid w:val="00A51758"/>
    <w:rsid w:val="00A554EE"/>
    <w:rsid w:val="00A600A9"/>
    <w:rsid w:val="00A61E25"/>
    <w:rsid w:val="00A6263A"/>
    <w:rsid w:val="00A6329B"/>
    <w:rsid w:val="00A6538C"/>
    <w:rsid w:val="00A663DB"/>
    <w:rsid w:val="00A7404D"/>
    <w:rsid w:val="00A7407D"/>
    <w:rsid w:val="00A77268"/>
    <w:rsid w:val="00A84BCC"/>
    <w:rsid w:val="00A8620D"/>
    <w:rsid w:val="00A86681"/>
    <w:rsid w:val="00A866AC"/>
    <w:rsid w:val="00A86C45"/>
    <w:rsid w:val="00A901ED"/>
    <w:rsid w:val="00A90ABC"/>
    <w:rsid w:val="00A922E8"/>
    <w:rsid w:val="00A92712"/>
    <w:rsid w:val="00A92F17"/>
    <w:rsid w:val="00A950E2"/>
    <w:rsid w:val="00A95C94"/>
    <w:rsid w:val="00AA020D"/>
    <w:rsid w:val="00AA412A"/>
    <w:rsid w:val="00AA52F2"/>
    <w:rsid w:val="00AA55B7"/>
    <w:rsid w:val="00AA5B7F"/>
    <w:rsid w:val="00AA5B9E"/>
    <w:rsid w:val="00AB2109"/>
    <w:rsid w:val="00AB2407"/>
    <w:rsid w:val="00AB3596"/>
    <w:rsid w:val="00AB53DF"/>
    <w:rsid w:val="00AB61ED"/>
    <w:rsid w:val="00AB7889"/>
    <w:rsid w:val="00AB7E37"/>
    <w:rsid w:val="00AC4DB3"/>
    <w:rsid w:val="00AC669A"/>
    <w:rsid w:val="00AD1DA5"/>
    <w:rsid w:val="00AD3257"/>
    <w:rsid w:val="00AD50D4"/>
    <w:rsid w:val="00AD62E9"/>
    <w:rsid w:val="00AE1813"/>
    <w:rsid w:val="00AE3C92"/>
    <w:rsid w:val="00AE47E9"/>
    <w:rsid w:val="00AE522A"/>
    <w:rsid w:val="00AF2B5C"/>
    <w:rsid w:val="00B01FC8"/>
    <w:rsid w:val="00B021EE"/>
    <w:rsid w:val="00B02A93"/>
    <w:rsid w:val="00B07E5C"/>
    <w:rsid w:val="00B11D8C"/>
    <w:rsid w:val="00B158C7"/>
    <w:rsid w:val="00B17836"/>
    <w:rsid w:val="00B17B13"/>
    <w:rsid w:val="00B238E7"/>
    <w:rsid w:val="00B31B86"/>
    <w:rsid w:val="00B326E3"/>
    <w:rsid w:val="00B334D7"/>
    <w:rsid w:val="00B3351F"/>
    <w:rsid w:val="00B33C83"/>
    <w:rsid w:val="00B368CC"/>
    <w:rsid w:val="00B36901"/>
    <w:rsid w:val="00B402F4"/>
    <w:rsid w:val="00B4215C"/>
    <w:rsid w:val="00B43169"/>
    <w:rsid w:val="00B44339"/>
    <w:rsid w:val="00B47261"/>
    <w:rsid w:val="00B5389B"/>
    <w:rsid w:val="00B61C60"/>
    <w:rsid w:val="00B7124D"/>
    <w:rsid w:val="00B721C8"/>
    <w:rsid w:val="00B73C0C"/>
    <w:rsid w:val="00B74EB4"/>
    <w:rsid w:val="00B811F7"/>
    <w:rsid w:val="00B82285"/>
    <w:rsid w:val="00B83976"/>
    <w:rsid w:val="00B848FE"/>
    <w:rsid w:val="00B84BD2"/>
    <w:rsid w:val="00B84CD9"/>
    <w:rsid w:val="00B852E5"/>
    <w:rsid w:val="00B905AA"/>
    <w:rsid w:val="00B90BD1"/>
    <w:rsid w:val="00B959E6"/>
    <w:rsid w:val="00B97BD5"/>
    <w:rsid w:val="00BA1134"/>
    <w:rsid w:val="00BA1383"/>
    <w:rsid w:val="00BA196F"/>
    <w:rsid w:val="00BA4A23"/>
    <w:rsid w:val="00BA5DC6"/>
    <w:rsid w:val="00BA6196"/>
    <w:rsid w:val="00BA7043"/>
    <w:rsid w:val="00BB0D65"/>
    <w:rsid w:val="00BB2051"/>
    <w:rsid w:val="00BB2DCC"/>
    <w:rsid w:val="00BB4022"/>
    <w:rsid w:val="00BB6496"/>
    <w:rsid w:val="00BB6DCE"/>
    <w:rsid w:val="00BC1F26"/>
    <w:rsid w:val="00BC6BB5"/>
    <w:rsid w:val="00BC6D8C"/>
    <w:rsid w:val="00BC6FB9"/>
    <w:rsid w:val="00BC76BB"/>
    <w:rsid w:val="00BD0A9B"/>
    <w:rsid w:val="00BD1F31"/>
    <w:rsid w:val="00BD332E"/>
    <w:rsid w:val="00BD38DB"/>
    <w:rsid w:val="00BD41D9"/>
    <w:rsid w:val="00BD4B59"/>
    <w:rsid w:val="00BD50BA"/>
    <w:rsid w:val="00BD5994"/>
    <w:rsid w:val="00BE1AA3"/>
    <w:rsid w:val="00BF43CF"/>
    <w:rsid w:val="00BF4EC4"/>
    <w:rsid w:val="00BF7678"/>
    <w:rsid w:val="00C004D7"/>
    <w:rsid w:val="00C00B2A"/>
    <w:rsid w:val="00C01B19"/>
    <w:rsid w:val="00C0633C"/>
    <w:rsid w:val="00C07140"/>
    <w:rsid w:val="00C077E1"/>
    <w:rsid w:val="00C07BDE"/>
    <w:rsid w:val="00C10E83"/>
    <w:rsid w:val="00C1189E"/>
    <w:rsid w:val="00C14E8F"/>
    <w:rsid w:val="00C16AF2"/>
    <w:rsid w:val="00C21646"/>
    <w:rsid w:val="00C2261D"/>
    <w:rsid w:val="00C22BA8"/>
    <w:rsid w:val="00C2475E"/>
    <w:rsid w:val="00C24DD2"/>
    <w:rsid w:val="00C25D5E"/>
    <w:rsid w:val="00C27664"/>
    <w:rsid w:val="00C27859"/>
    <w:rsid w:val="00C27EA3"/>
    <w:rsid w:val="00C31891"/>
    <w:rsid w:val="00C33898"/>
    <w:rsid w:val="00C34006"/>
    <w:rsid w:val="00C35272"/>
    <w:rsid w:val="00C360F5"/>
    <w:rsid w:val="00C367FB"/>
    <w:rsid w:val="00C37B71"/>
    <w:rsid w:val="00C41A27"/>
    <w:rsid w:val="00C426B1"/>
    <w:rsid w:val="00C43525"/>
    <w:rsid w:val="00C4665E"/>
    <w:rsid w:val="00C47FF8"/>
    <w:rsid w:val="00C509AC"/>
    <w:rsid w:val="00C50A2E"/>
    <w:rsid w:val="00C5129F"/>
    <w:rsid w:val="00C61BB7"/>
    <w:rsid w:val="00C621EC"/>
    <w:rsid w:val="00C70F5B"/>
    <w:rsid w:val="00C71544"/>
    <w:rsid w:val="00C7200D"/>
    <w:rsid w:val="00C7218A"/>
    <w:rsid w:val="00C7222F"/>
    <w:rsid w:val="00C7392A"/>
    <w:rsid w:val="00C80924"/>
    <w:rsid w:val="00C82B6B"/>
    <w:rsid w:val="00C850D8"/>
    <w:rsid w:val="00C86386"/>
    <w:rsid w:val="00C86E84"/>
    <w:rsid w:val="00C90D6A"/>
    <w:rsid w:val="00C96CB6"/>
    <w:rsid w:val="00CA23D7"/>
    <w:rsid w:val="00CA5E0B"/>
    <w:rsid w:val="00CA63AF"/>
    <w:rsid w:val="00CB14D4"/>
    <w:rsid w:val="00CB4801"/>
    <w:rsid w:val="00CB52EB"/>
    <w:rsid w:val="00CC3745"/>
    <w:rsid w:val="00CC4904"/>
    <w:rsid w:val="00CC60EB"/>
    <w:rsid w:val="00CC6A10"/>
    <w:rsid w:val="00CC72B6"/>
    <w:rsid w:val="00CD1437"/>
    <w:rsid w:val="00CD1447"/>
    <w:rsid w:val="00CD2FA0"/>
    <w:rsid w:val="00CD30B5"/>
    <w:rsid w:val="00CD5655"/>
    <w:rsid w:val="00CE1A4B"/>
    <w:rsid w:val="00CE359D"/>
    <w:rsid w:val="00CE3C68"/>
    <w:rsid w:val="00CE6E0B"/>
    <w:rsid w:val="00CF1A56"/>
    <w:rsid w:val="00CF4923"/>
    <w:rsid w:val="00CF6523"/>
    <w:rsid w:val="00D0137A"/>
    <w:rsid w:val="00D0218D"/>
    <w:rsid w:val="00D03809"/>
    <w:rsid w:val="00D04868"/>
    <w:rsid w:val="00D05C17"/>
    <w:rsid w:val="00D06F09"/>
    <w:rsid w:val="00D06FA2"/>
    <w:rsid w:val="00D12B3C"/>
    <w:rsid w:val="00D13707"/>
    <w:rsid w:val="00D216CD"/>
    <w:rsid w:val="00D22B78"/>
    <w:rsid w:val="00D238CC"/>
    <w:rsid w:val="00D26EF4"/>
    <w:rsid w:val="00D351CC"/>
    <w:rsid w:val="00D3650B"/>
    <w:rsid w:val="00D41B3B"/>
    <w:rsid w:val="00D45A14"/>
    <w:rsid w:val="00D5095E"/>
    <w:rsid w:val="00D51481"/>
    <w:rsid w:val="00D53ADF"/>
    <w:rsid w:val="00D64012"/>
    <w:rsid w:val="00D64A59"/>
    <w:rsid w:val="00D6557E"/>
    <w:rsid w:val="00D6581B"/>
    <w:rsid w:val="00D74AEC"/>
    <w:rsid w:val="00D76953"/>
    <w:rsid w:val="00D806AA"/>
    <w:rsid w:val="00D8081B"/>
    <w:rsid w:val="00D81F91"/>
    <w:rsid w:val="00D8472B"/>
    <w:rsid w:val="00D84C22"/>
    <w:rsid w:val="00D851AB"/>
    <w:rsid w:val="00D85EF5"/>
    <w:rsid w:val="00D87B6E"/>
    <w:rsid w:val="00D90DAC"/>
    <w:rsid w:val="00DA07AA"/>
    <w:rsid w:val="00DA2529"/>
    <w:rsid w:val="00DA455F"/>
    <w:rsid w:val="00DA63CD"/>
    <w:rsid w:val="00DA77F0"/>
    <w:rsid w:val="00DB130A"/>
    <w:rsid w:val="00DB36BF"/>
    <w:rsid w:val="00DB54CA"/>
    <w:rsid w:val="00DB5AC1"/>
    <w:rsid w:val="00DB5B34"/>
    <w:rsid w:val="00DB6527"/>
    <w:rsid w:val="00DC10A1"/>
    <w:rsid w:val="00DC1A63"/>
    <w:rsid w:val="00DC44DE"/>
    <w:rsid w:val="00DC4D66"/>
    <w:rsid w:val="00DC53B1"/>
    <w:rsid w:val="00DC56D1"/>
    <w:rsid w:val="00DC655F"/>
    <w:rsid w:val="00DC7BAE"/>
    <w:rsid w:val="00DC7C75"/>
    <w:rsid w:val="00DD0336"/>
    <w:rsid w:val="00DD0F22"/>
    <w:rsid w:val="00DD6C7F"/>
    <w:rsid w:val="00DD7CEF"/>
    <w:rsid w:val="00DD7EBD"/>
    <w:rsid w:val="00DE070F"/>
    <w:rsid w:val="00DE0D04"/>
    <w:rsid w:val="00DE4B07"/>
    <w:rsid w:val="00DF02FA"/>
    <w:rsid w:val="00DF1626"/>
    <w:rsid w:val="00DF1B24"/>
    <w:rsid w:val="00DF43F4"/>
    <w:rsid w:val="00DF448D"/>
    <w:rsid w:val="00DF4E87"/>
    <w:rsid w:val="00DF62B6"/>
    <w:rsid w:val="00E02416"/>
    <w:rsid w:val="00E04D5A"/>
    <w:rsid w:val="00E07225"/>
    <w:rsid w:val="00E155B7"/>
    <w:rsid w:val="00E15AD6"/>
    <w:rsid w:val="00E15F88"/>
    <w:rsid w:val="00E16803"/>
    <w:rsid w:val="00E169CC"/>
    <w:rsid w:val="00E17865"/>
    <w:rsid w:val="00E21870"/>
    <w:rsid w:val="00E24342"/>
    <w:rsid w:val="00E262F3"/>
    <w:rsid w:val="00E27214"/>
    <w:rsid w:val="00E313A3"/>
    <w:rsid w:val="00E3399D"/>
    <w:rsid w:val="00E361F5"/>
    <w:rsid w:val="00E4245C"/>
    <w:rsid w:val="00E50130"/>
    <w:rsid w:val="00E504A8"/>
    <w:rsid w:val="00E50F11"/>
    <w:rsid w:val="00E5409F"/>
    <w:rsid w:val="00E61137"/>
    <w:rsid w:val="00E63E9C"/>
    <w:rsid w:val="00E65904"/>
    <w:rsid w:val="00E70C9B"/>
    <w:rsid w:val="00E71983"/>
    <w:rsid w:val="00E72298"/>
    <w:rsid w:val="00E73463"/>
    <w:rsid w:val="00E743F2"/>
    <w:rsid w:val="00E74F67"/>
    <w:rsid w:val="00E77864"/>
    <w:rsid w:val="00E85276"/>
    <w:rsid w:val="00E85BD5"/>
    <w:rsid w:val="00E87847"/>
    <w:rsid w:val="00E96AC2"/>
    <w:rsid w:val="00E96B4B"/>
    <w:rsid w:val="00E9794F"/>
    <w:rsid w:val="00EA003B"/>
    <w:rsid w:val="00EA1D70"/>
    <w:rsid w:val="00EA568F"/>
    <w:rsid w:val="00EA57D7"/>
    <w:rsid w:val="00EA5DC5"/>
    <w:rsid w:val="00EB08CE"/>
    <w:rsid w:val="00EB17F9"/>
    <w:rsid w:val="00EB2C44"/>
    <w:rsid w:val="00EC0185"/>
    <w:rsid w:val="00EC0BF7"/>
    <w:rsid w:val="00EC195C"/>
    <w:rsid w:val="00EC2DFD"/>
    <w:rsid w:val="00EC68BF"/>
    <w:rsid w:val="00ED05B6"/>
    <w:rsid w:val="00ED11B3"/>
    <w:rsid w:val="00ED33DB"/>
    <w:rsid w:val="00ED3D49"/>
    <w:rsid w:val="00ED61CE"/>
    <w:rsid w:val="00ED6F96"/>
    <w:rsid w:val="00EE0028"/>
    <w:rsid w:val="00EE2A38"/>
    <w:rsid w:val="00EE6ADD"/>
    <w:rsid w:val="00EF064F"/>
    <w:rsid w:val="00EF41BD"/>
    <w:rsid w:val="00EF5C69"/>
    <w:rsid w:val="00EF5E4D"/>
    <w:rsid w:val="00F021FA"/>
    <w:rsid w:val="00F03EE6"/>
    <w:rsid w:val="00F051B1"/>
    <w:rsid w:val="00F10131"/>
    <w:rsid w:val="00F10428"/>
    <w:rsid w:val="00F116C4"/>
    <w:rsid w:val="00F11F96"/>
    <w:rsid w:val="00F13114"/>
    <w:rsid w:val="00F13E8E"/>
    <w:rsid w:val="00F14D69"/>
    <w:rsid w:val="00F159B2"/>
    <w:rsid w:val="00F1632C"/>
    <w:rsid w:val="00F23750"/>
    <w:rsid w:val="00F243B7"/>
    <w:rsid w:val="00F304C0"/>
    <w:rsid w:val="00F311FC"/>
    <w:rsid w:val="00F322CA"/>
    <w:rsid w:val="00F37BD3"/>
    <w:rsid w:val="00F40476"/>
    <w:rsid w:val="00F432AC"/>
    <w:rsid w:val="00F4366C"/>
    <w:rsid w:val="00F43E3B"/>
    <w:rsid w:val="00F446CC"/>
    <w:rsid w:val="00F46420"/>
    <w:rsid w:val="00F5088D"/>
    <w:rsid w:val="00F5223B"/>
    <w:rsid w:val="00F5736F"/>
    <w:rsid w:val="00F57ACA"/>
    <w:rsid w:val="00F61F48"/>
    <w:rsid w:val="00F62E97"/>
    <w:rsid w:val="00F64209"/>
    <w:rsid w:val="00F656F4"/>
    <w:rsid w:val="00F65711"/>
    <w:rsid w:val="00F66D37"/>
    <w:rsid w:val="00F67726"/>
    <w:rsid w:val="00F67BF1"/>
    <w:rsid w:val="00F72B31"/>
    <w:rsid w:val="00F73399"/>
    <w:rsid w:val="00F7410E"/>
    <w:rsid w:val="00F76515"/>
    <w:rsid w:val="00F84F68"/>
    <w:rsid w:val="00F90BC3"/>
    <w:rsid w:val="00F93BF5"/>
    <w:rsid w:val="00F96438"/>
    <w:rsid w:val="00F96F63"/>
    <w:rsid w:val="00F9742C"/>
    <w:rsid w:val="00FA3284"/>
    <w:rsid w:val="00FB0C37"/>
    <w:rsid w:val="00FB0DCC"/>
    <w:rsid w:val="00FB1102"/>
    <w:rsid w:val="00FB2F91"/>
    <w:rsid w:val="00FB3EDD"/>
    <w:rsid w:val="00FB6AC1"/>
    <w:rsid w:val="00FC392C"/>
    <w:rsid w:val="00FC565D"/>
    <w:rsid w:val="00FC734F"/>
    <w:rsid w:val="00FC7C2A"/>
    <w:rsid w:val="00FE1675"/>
    <w:rsid w:val="00FE16FD"/>
    <w:rsid w:val="00FE56A1"/>
    <w:rsid w:val="00FE56C4"/>
    <w:rsid w:val="00FE583B"/>
    <w:rsid w:val="00FE6E90"/>
    <w:rsid w:val="00FF4199"/>
    <w:rsid w:val="00FF6278"/>
    <w:rsid w:val="00FF682A"/>
    <w:rsid w:val="00FF7A37"/>
    <w:rsid w:val="75796D0F"/>
    <w:rsid w:val="7AC21DF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964AAE2"/>
  <w15:chartTrackingRefBased/>
  <w15:docId w15:val="{781F4A31-8D49-4320-B192-22E1A735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lang w:eastAsia="en-US"/>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rsid w:val="000E3D42"/>
    <w:pPr>
      <w:spacing w:after="120"/>
    </w:pPr>
    <w:rPr>
      <w:lang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character" w:styleId="PlaceholderText">
    <w:name w:val="Placeholder Text"/>
    <w:uiPriority w:val="99"/>
    <w:semiHidden/>
    <w:rsid w:val="00377C00"/>
    <w:rPr>
      <w:color w:val="808080"/>
    </w:rPr>
  </w:style>
  <w:style w:type="paragraph" w:customStyle="1" w:styleId="Default">
    <w:name w:val="Default"/>
    <w:rsid w:val="000D50EB"/>
    <w:pPr>
      <w:autoSpaceDE w:val="0"/>
      <w:autoSpaceDN w:val="0"/>
      <w:adjustRightInd w:val="0"/>
    </w:pPr>
    <w:rPr>
      <w:color w:val="000000"/>
      <w:sz w:val="24"/>
      <w:szCs w:val="24"/>
      <w:lang w:eastAsia="en-US"/>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uiPriority w:val="99"/>
    <w:rsid w:val="009901F7"/>
  </w:style>
  <w:style w:type="paragraph" w:styleId="Revision">
    <w:name w:val="Revision"/>
    <w:hidden/>
    <w:uiPriority w:val="99"/>
    <w:semiHidden/>
    <w:rsid w:val="007019FF"/>
    <w:rPr>
      <w:snapToGrid w:val="0"/>
      <w:kern w:val="28"/>
      <w:sz w:val="22"/>
      <w:lang w:eastAsia="en-US"/>
    </w:rPr>
  </w:style>
  <w:style w:type="character" w:styleId="Emphasis">
    <w:name w:val="Emphasis"/>
    <w:uiPriority w:val="20"/>
    <w:qFormat/>
    <w:rsid w:val="002049B9"/>
    <w:rPr>
      <w:i/>
      <w:iCs/>
    </w:rPr>
  </w:style>
  <w:style w:type="character" w:customStyle="1" w:styleId="cosearchterm">
    <w:name w:val="co_searchterm"/>
    <w:basedOn w:val="DefaultParagraphFont"/>
    <w:rsid w:val="002049B9"/>
  </w:style>
  <w:style w:type="character" w:customStyle="1" w:styleId="copinpointicon">
    <w:name w:val="co_pinpointicon"/>
    <w:basedOn w:val="DefaultParagraphFont"/>
    <w:rsid w:val="005B5B7B"/>
  </w:style>
  <w:style w:type="character" w:customStyle="1" w:styleId="UnresolvedMention1">
    <w:name w:val="Unresolved Mention1"/>
    <w:uiPriority w:val="99"/>
    <w:rsid w:val="00432569"/>
    <w:rPr>
      <w:color w:val="605E5C"/>
      <w:shd w:val="clear" w:color="auto" w:fill="E1DFDD"/>
    </w:rPr>
  </w:style>
  <w:style w:type="character" w:styleId="FollowedHyperlink">
    <w:name w:val="FollowedHyperlink"/>
    <w:uiPriority w:val="99"/>
    <w:semiHidden/>
    <w:unhideWhenUsed/>
    <w:rsid w:val="00432569"/>
    <w:rPr>
      <w:color w:val="954F72"/>
      <w:u w:val="single"/>
    </w:rPr>
  </w:style>
  <w:style w:type="paragraph" w:customStyle="1" w:styleId="xmsonormal">
    <w:name w:val="x_msonormal"/>
    <w:basedOn w:val="Normal"/>
    <w:rsid w:val="00EC68BF"/>
    <w:pPr>
      <w:widowControl/>
    </w:pPr>
    <w:rPr>
      <w:rFonts w:ascii="Calibri" w:hAnsi="Calibri" w:eastAsiaTheme="minorHAnsi" w:cs="Calibri"/>
      <w:snapToGrid/>
      <w:kern w:val="0"/>
      <w:szCs w:val="22"/>
    </w:rPr>
  </w:style>
  <w:style w:type="character" w:customStyle="1" w:styleId="UnresolvedMention">
    <w:name w:val="Unresolved Mention"/>
    <w:basedOn w:val="DefaultParagraphFont"/>
    <w:uiPriority w:val="99"/>
    <w:rsid w:val="006813E7"/>
    <w:rPr>
      <w:color w:val="605E5C"/>
      <w:shd w:val="clear" w:color="auto" w:fill="E1DFDD"/>
    </w:rPr>
  </w:style>
  <w:style w:type="character" w:customStyle="1" w:styleId="ALTSFOOTNOTEChar">
    <w:name w:val="ALTS FOOTNOTE Char"/>
    <w:aliases w:val="ALTS FOOTNOTE Char1 Char,Footnote Text Char Char Char,Footnote Text Char2 Char1 Char1 Char Char Char,Footnote Text Char3 Char1 Char Char Char,f Char"/>
    <w:rsid w:val="007E4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2742244794/AtLink%20Services%20Transfer%20Application.pdf" TargetMode="External" /><Relationship Id="rId2" Type="http://schemas.openxmlformats.org/officeDocument/2006/relationships/hyperlink" Target="mailto:hcinfo@usac.org"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