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742E" w:rsidRPr="00BE70CC" w:rsidP="00E4742E" w14:paraId="2467495C" w14:textId="0C5B9937">
      <w:pPr>
        <w:widowControl/>
        <w:jc w:val="center"/>
        <w:rPr>
          <w:b/>
        </w:rPr>
      </w:pPr>
      <w:bookmarkStart w:id="0" w:name="_Hlk67664625"/>
      <w:r>
        <w:rPr>
          <w:b/>
          <w:kern w:val="0"/>
          <w:szCs w:val="22"/>
        </w:rPr>
        <w:t>B</w:t>
      </w:r>
      <w:r w:rsidRPr="00BE70CC">
        <w:rPr>
          <w:b/>
          <w:kern w:val="0"/>
          <w:szCs w:val="22"/>
        </w:rPr>
        <w:t>efore</w:t>
      </w:r>
      <w:r w:rsidRPr="00BE70CC">
        <w:rPr>
          <w:b/>
        </w:rPr>
        <w:t xml:space="preserve"> the</w:t>
      </w:r>
    </w:p>
    <w:p w:rsidR="00E4742E" w:rsidRPr="00BE70CC" w:rsidP="00E4742E" w14:paraId="2976250A"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4742E" w:rsidRPr="00BE70CC" w:rsidP="00E4742E" w14:paraId="3477C993" w14:textId="77777777">
      <w:pPr>
        <w:pStyle w:val="StyleBoldCentered"/>
        <w:widowControl/>
        <w:rPr>
          <w:rFonts w:ascii="Times New Roman" w:hAnsi="Times New Roman"/>
        </w:rPr>
      </w:pPr>
      <w:r w:rsidRPr="00BE70CC">
        <w:rPr>
          <w:rFonts w:ascii="Times New Roman" w:hAnsi="Times New Roman"/>
          <w:caps w:val="0"/>
        </w:rPr>
        <w:t>Washington</w:t>
      </w:r>
      <w:r>
        <w:rPr>
          <w:rFonts w:ascii="Times New Roman" w:hAnsi="Times New Roman"/>
        </w:rPr>
        <w:t>, D.C.</w:t>
      </w:r>
      <w:r w:rsidRPr="00BE70CC">
        <w:rPr>
          <w:rFonts w:ascii="Times New Roman" w:hAnsi="Times New Roman"/>
        </w:rPr>
        <w:t xml:space="preserve"> 20554</w:t>
      </w:r>
    </w:p>
    <w:p w:rsidR="00E4742E" w:rsidRPr="00BE70CC" w:rsidP="00E4742E" w14:paraId="727CD72E" w14:textId="77777777">
      <w:pPr>
        <w:widowControl/>
      </w:pPr>
    </w:p>
    <w:tbl>
      <w:tblPr>
        <w:tblW w:w="0" w:type="auto"/>
        <w:tblLayout w:type="fixed"/>
        <w:tblLook w:val="0000"/>
      </w:tblPr>
      <w:tblGrid>
        <w:gridCol w:w="4698"/>
        <w:gridCol w:w="630"/>
        <w:gridCol w:w="4248"/>
      </w:tblGrid>
      <w:tr w14:paraId="5F71981F" w14:textId="77777777" w:rsidTr="00447B59">
        <w:tblPrEx>
          <w:tblW w:w="0" w:type="auto"/>
          <w:tblLayout w:type="fixed"/>
          <w:tblLook w:val="0000"/>
        </w:tblPrEx>
        <w:tc>
          <w:tcPr>
            <w:tcW w:w="4698" w:type="dxa"/>
          </w:tcPr>
          <w:p w:rsidR="00E4742E" w:rsidRPr="00BE70CC" w:rsidP="00447B59" w14:paraId="3A57E431" w14:textId="77777777">
            <w:pPr>
              <w:widowControl/>
              <w:suppressAutoHyphens/>
              <w:rPr>
                <w:spacing w:val="-2"/>
              </w:rPr>
            </w:pPr>
            <w:r w:rsidRPr="00BE70CC">
              <w:rPr>
                <w:spacing w:val="-2"/>
              </w:rPr>
              <w:t>In the Matter of</w:t>
            </w:r>
          </w:p>
          <w:p w:rsidR="00E4742E" w:rsidRPr="00BE70CC" w:rsidP="00447B59" w14:paraId="58D9F59B" w14:textId="77777777">
            <w:pPr>
              <w:widowControl/>
              <w:suppressAutoHyphens/>
              <w:rPr>
                <w:spacing w:val="-2"/>
              </w:rPr>
            </w:pPr>
          </w:p>
          <w:p w:rsidR="00E4742E" w:rsidRPr="00BE70CC" w:rsidP="00447B59" w14:paraId="3CB011ED" w14:textId="1174870B">
            <w:pPr>
              <w:widowControl/>
              <w:suppressAutoHyphens/>
              <w:rPr>
                <w:spacing w:val="-2"/>
              </w:rPr>
            </w:pPr>
            <w:r w:rsidRPr="002D3E96">
              <w:rPr>
                <w:spacing w:val="-2"/>
                <w:szCs w:val="22"/>
              </w:rPr>
              <w:t>Health and Medical Sales, Inc. dba HealthandMed.com</w:t>
            </w:r>
          </w:p>
        </w:tc>
        <w:tc>
          <w:tcPr>
            <w:tcW w:w="630" w:type="dxa"/>
          </w:tcPr>
          <w:p w:rsidR="00E4742E" w:rsidRPr="00BE70CC" w:rsidP="00447B59" w14:paraId="49AC8A0A" w14:textId="77777777">
            <w:pPr>
              <w:widowControl/>
              <w:suppressAutoHyphens/>
              <w:rPr>
                <w:spacing w:val="-2"/>
              </w:rPr>
            </w:pPr>
            <w:r w:rsidRPr="00BE70CC">
              <w:rPr>
                <w:spacing w:val="-2"/>
              </w:rPr>
              <w:t>)</w:t>
            </w:r>
          </w:p>
          <w:p w:rsidR="00E4742E" w:rsidRPr="00BE70CC" w:rsidP="00447B59" w14:paraId="7B386C68" w14:textId="77777777">
            <w:pPr>
              <w:widowControl/>
              <w:suppressAutoHyphens/>
              <w:rPr>
                <w:spacing w:val="-2"/>
              </w:rPr>
            </w:pPr>
            <w:r w:rsidRPr="00BE70CC">
              <w:rPr>
                <w:spacing w:val="-2"/>
              </w:rPr>
              <w:t>)</w:t>
            </w:r>
          </w:p>
          <w:p w:rsidR="00E4742E" w:rsidRPr="00BE70CC" w:rsidP="00447B59" w14:paraId="3EA3DCA0" w14:textId="77777777">
            <w:pPr>
              <w:widowControl/>
              <w:suppressAutoHyphens/>
              <w:rPr>
                <w:spacing w:val="-2"/>
              </w:rPr>
            </w:pPr>
            <w:r w:rsidRPr="00BE70CC">
              <w:rPr>
                <w:spacing w:val="-2"/>
              </w:rPr>
              <w:t>)</w:t>
            </w:r>
          </w:p>
          <w:p w:rsidR="00E4742E" w:rsidRPr="00BE70CC" w:rsidP="00447B59" w14:paraId="2F53AFEE" w14:textId="77777777">
            <w:pPr>
              <w:widowControl/>
              <w:suppressAutoHyphens/>
              <w:rPr>
                <w:spacing w:val="-2"/>
              </w:rPr>
            </w:pPr>
            <w:r w:rsidRPr="00BE70CC">
              <w:rPr>
                <w:spacing w:val="-2"/>
              </w:rPr>
              <w:t>)</w:t>
            </w:r>
          </w:p>
          <w:p w:rsidR="00E4742E" w:rsidRPr="00BE70CC" w:rsidP="00447B59" w14:paraId="38911414" w14:textId="77777777">
            <w:pPr>
              <w:widowControl/>
              <w:suppressAutoHyphens/>
              <w:rPr>
                <w:spacing w:val="-2"/>
              </w:rPr>
            </w:pPr>
          </w:p>
        </w:tc>
        <w:tc>
          <w:tcPr>
            <w:tcW w:w="4248" w:type="dxa"/>
          </w:tcPr>
          <w:p w:rsidR="00E4742E" w:rsidRPr="00BE70CC" w:rsidP="00447B59" w14:paraId="30BC1C35" w14:textId="77777777">
            <w:pPr>
              <w:widowControl/>
              <w:suppressAutoHyphens/>
              <w:rPr>
                <w:spacing w:val="-2"/>
              </w:rPr>
            </w:pPr>
          </w:p>
          <w:p w:rsidR="00E4742E" w:rsidRPr="00BE70CC" w:rsidP="00447B59" w14:paraId="3B92E808" w14:textId="77777777">
            <w:pPr>
              <w:widowControl/>
              <w:suppressAutoHyphens/>
              <w:rPr>
                <w:spacing w:val="-2"/>
              </w:rPr>
            </w:pPr>
          </w:p>
          <w:p w:rsidR="00E4742E" w:rsidRPr="00BE70CC" w:rsidP="00E4742E" w14:paraId="5A4422B1" w14:textId="26D16B6B">
            <w:pPr>
              <w:widowControl/>
              <w:suppressAutoHyphens/>
              <w:ind w:left="432"/>
              <w:rPr>
                <w:spacing w:val="-2"/>
              </w:rPr>
            </w:pPr>
            <w:r w:rsidRPr="00BE70CC">
              <w:rPr>
                <w:spacing w:val="-2"/>
              </w:rPr>
              <w:t xml:space="preserve">File No.:  </w:t>
            </w:r>
            <w:r w:rsidRPr="002D3E96">
              <w:rPr>
                <w:szCs w:val="22"/>
              </w:rPr>
              <w:t>EB-SED-19-00029853</w:t>
            </w:r>
            <w:r w:rsidRPr="00BE70CC">
              <w:rPr>
                <w:spacing w:val="-2"/>
              </w:rPr>
              <w:t xml:space="preserve">  </w:t>
            </w:r>
          </w:p>
          <w:p w:rsidR="00E4742E" w:rsidRPr="00BE70CC" w:rsidP="00447B59" w14:paraId="02F3D651" w14:textId="77777777">
            <w:pPr>
              <w:widowControl/>
              <w:suppressAutoHyphens/>
              <w:ind w:left="432"/>
              <w:rPr>
                <w:spacing w:val="-2"/>
              </w:rPr>
            </w:pPr>
          </w:p>
        </w:tc>
      </w:tr>
    </w:tbl>
    <w:p w:rsidR="00352E0F" w:rsidRPr="002D3E96" w:rsidP="005A5821" w14:paraId="7ACBB1D2" w14:textId="77777777">
      <w:pPr>
        <w:pStyle w:val="StyleBoldCentered"/>
        <w:widowControl/>
        <w:rPr>
          <w:rFonts w:ascii="Times New Roman" w:hAnsi="Times New Roman"/>
        </w:rPr>
      </w:pPr>
      <w:r w:rsidRPr="002D3E96">
        <w:rPr>
          <w:rFonts w:ascii="Times New Roman" w:hAnsi="Times New Roman"/>
        </w:rPr>
        <w:t>CITATION AND ORDER</w:t>
      </w:r>
    </w:p>
    <w:p w:rsidR="00352E0F" w:rsidRPr="002D3E96" w:rsidP="00352E0F" w14:paraId="7371B30E" w14:textId="6A6A1F2E">
      <w:pPr>
        <w:spacing w:after="240"/>
        <w:ind w:left="-90"/>
        <w:jc w:val="center"/>
        <w:rPr>
          <w:b/>
          <w:szCs w:val="22"/>
        </w:rPr>
      </w:pPr>
      <w:r w:rsidRPr="002D3E96">
        <w:rPr>
          <w:b/>
          <w:szCs w:val="22"/>
        </w:rPr>
        <w:t>I</w:t>
      </w:r>
      <w:r>
        <w:rPr>
          <w:b/>
          <w:szCs w:val="22"/>
        </w:rPr>
        <w:t>LLEGAL</w:t>
      </w:r>
      <w:r w:rsidRPr="002D3E96">
        <w:rPr>
          <w:b/>
          <w:szCs w:val="22"/>
        </w:rPr>
        <w:t xml:space="preserve"> M</w:t>
      </w:r>
      <w:r>
        <w:rPr>
          <w:b/>
          <w:szCs w:val="22"/>
        </w:rPr>
        <w:t>ARKETING</w:t>
      </w:r>
      <w:r w:rsidRPr="002D3E96">
        <w:rPr>
          <w:b/>
          <w:szCs w:val="22"/>
        </w:rPr>
        <w:t xml:space="preserve"> </w:t>
      </w:r>
      <w:r>
        <w:rPr>
          <w:b/>
          <w:szCs w:val="22"/>
        </w:rPr>
        <w:t>OF</w:t>
      </w:r>
      <w:r w:rsidRPr="002D3E96">
        <w:rPr>
          <w:b/>
          <w:szCs w:val="22"/>
        </w:rPr>
        <w:t xml:space="preserve"> U</w:t>
      </w:r>
      <w:r>
        <w:rPr>
          <w:b/>
          <w:szCs w:val="22"/>
        </w:rPr>
        <w:t>NAUTHORIZED</w:t>
      </w:r>
      <w:r w:rsidRPr="002D3E96">
        <w:rPr>
          <w:b/>
          <w:szCs w:val="22"/>
        </w:rPr>
        <w:t xml:space="preserve"> R</w:t>
      </w:r>
      <w:r>
        <w:rPr>
          <w:b/>
          <w:szCs w:val="22"/>
        </w:rPr>
        <w:t>ADIO</w:t>
      </w:r>
      <w:r w:rsidRPr="002D3E96">
        <w:rPr>
          <w:b/>
          <w:szCs w:val="22"/>
        </w:rPr>
        <w:t xml:space="preserve"> F</w:t>
      </w:r>
      <w:r>
        <w:rPr>
          <w:b/>
          <w:szCs w:val="22"/>
        </w:rPr>
        <w:t>REQUENCY</w:t>
      </w:r>
      <w:r w:rsidRPr="002D3E96">
        <w:rPr>
          <w:b/>
          <w:szCs w:val="22"/>
        </w:rPr>
        <w:t xml:space="preserve"> D</w:t>
      </w:r>
      <w:r>
        <w:rPr>
          <w:b/>
          <w:szCs w:val="22"/>
        </w:rPr>
        <w:t>EVICES</w:t>
      </w:r>
    </w:p>
    <w:p w:rsidR="00E273E3" w:rsidRPr="002D3E96" w:rsidP="00226191" w14:paraId="3A0E8041" w14:textId="17546B90">
      <w:pPr>
        <w:widowControl/>
        <w:tabs>
          <w:tab w:val="right" w:pos="9360"/>
        </w:tabs>
        <w:suppressAutoHyphens/>
        <w:rPr>
          <w:spacing w:val="-2"/>
          <w:szCs w:val="22"/>
        </w:rPr>
      </w:pPr>
      <w:r w:rsidRPr="002D3E96">
        <w:rPr>
          <w:b/>
          <w:spacing w:val="-2"/>
          <w:szCs w:val="22"/>
        </w:rPr>
        <w:t xml:space="preserve">Adopted:  </w:t>
      </w:r>
      <w:r w:rsidR="005A5821">
        <w:rPr>
          <w:b/>
          <w:spacing w:val="-2"/>
          <w:szCs w:val="22"/>
        </w:rPr>
        <w:t>September 2, 2022</w:t>
      </w:r>
      <w:r w:rsidRPr="002D3E96" w:rsidR="006D2212">
        <w:rPr>
          <w:b/>
          <w:spacing w:val="-2"/>
          <w:szCs w:val="22"/>
        </w:rPr>
        <w:tab/>
        <w:t xml:space="preserve">Released:  </w:t>
      </w:r>
      <w:r w:rsidR="005A5821">
        <w:rPr>
          <w:b/>
          <w:spacing w:val="-2"/>
          <w:szCs w:val="22"/>
        </w:rPr>
        <w:t>September 2, 2022</w:t>
      </w:r>
    </w:p>
    <w:p w:rsidR="00E273E3" w:rsidRPr="002D3E96" w:rsidP="00EE05DB" w14:paraId="595B1C19" w14:textId="77777777">
      <w:pPr>
        <w:widowControl/>
        <w:jc w:val="center"/>
        <w:rPr>
          <w:szCs w:val="22"/>
        </w:rPr>
      </w:pPr>
    </w:p>
    <w:p w:rsidR="00B359CD" w:rsidRPr="002D3E96" w:rsidP="00B359CD" w14:paraId="1BF970E4" w14:textId="77777777">
      <w:pPr>
        <w:widowControl/>
        <w:rPr>
          <w:spacing w:val="-2"/>
          <w:szCs w:val="22"/>
        </w:rPr>
      </w:pPr>
      <w:r w:rsidRPr="002D3E96">
        <w:rPr>
          <w:szCs w:val="22"/>
        </w:rPr>
        <w:t xml:space="preserve">By the </w:t>
      </w:r>
      <w:r w:rsidRPr="002D3E96" w:rsidR="00EE36BE">
        <w:rPr>
          <w:spacing w:val="-2"/>
          <w:szCs w:val="22"/>
        </w:rPr>
        <w:t xml:space="preserve">Chief, </w:t>
      </w:r>
      <w:r w:rsidRPr="002D3E96">
        <w:rPr>
          <w:spacing w:val="-2"/>
          <w:szCs w:val="22"/>
        </w:rPr>
        <w:t>Spectrum Enforcement Division</w:t>
      </w:r>
      <w:bookmarkStart w:id="1" w:name="_Hlk102395991"/>
      <w:r w:rsidRPr="002D3E96">
        <w:rPr>
          <w:spacing w:val="-2"/>
          <w:szCs w:val="22"/>
        </w:rPr>
        <w:t>, Enforcement Bureau</w:t>
      </w:r>
      <w:bookmarkEnd w:id="1"/>
      <w:r w:rsidRPr="002D3E96">
        <w:rPr>
          <w:spacing w:val="-2"/>
          <w:szCs w:val="22"/>
        </w:rPr>
        <w:t>:</w:t>
      </w:r>
    </w:p>
    <w:p w:rsidR="00E273E3" w:rsidRPr="002D3E96" w:rsidP="00CF3817" w14:paraId="3744402D" w14:textId="77777777">
      <w:pPr>
        <w:widowControl/>
        <w:jc w:val="right"/>
        <w:rPr>
          <w:spacing w:val="-2"/>
          <w:szCs w:val="22"/>
        </w:rPr>
      </w:pPr>
    </w:p>
    <w:p w:rsidR="00E273E3" w:rsidRPr="002D3E96" w:rsidP="005340B0" w14:paraId="505EBD70" w14:textId="77777777">
      <w:pPr>
        <w:pStyle w:val="Heading1"/>
        <w:rPr>
          <w:rFonts w:ascii="Times New Roman" w:hAnsi="Times New Roman"/>
          <w:szCs w:val="22"/>
        </w:rPr>
      </w:pPr>
      <w:bookmarkStart w:id="2" w:name="_Toc379288998"/>
      <w:bookmarkStart w:id="3" w:name="_Toc379365499"/>
      <w:r w:rsidRPr="002D3E96">
        <w:rPr>
          <w:rFonts w:ascii="Times New Roman" w:hAnsi="Times New Roman"/>
          <w:szCs w:val="22"/>
        </w:rPr>
        <w:t>NOTICE OF CITATION</w:t>
      </w:r>
      <w:bookmarkEnd w:id="2"/>
      <w:bookmarkEnd w:id="3"/>
    </w:p>
    <w:p w:rsidR="002D3E96" w:rsidP="0002221D" w14:paraId="7464086A" w14:textId="1C49BACD">
      <w:pPr>
        <w:pStyle w:val="ParaNum"/>
      </w:pPr>
      <w:r w:rsidRPr="002D3E96">
        <w:t>T</w:t>
      </w:r>
      <w:r w:rsidRPr="002D3E96" w:rsidR="00500FF2">
        <w:t xml:space="preserve">his </w:t>
      </w:r>
      <w:r w:rsidRPr="002D3E96" w:rsidR="00500FF2">
        <w:rPr>
          <w:b/>
        </w:rPr>
        <w:t>CITATION AND ORDER</w:t>
      </w:r>
      <w:r w:rsidRPr="002D3E96" w:rsidR="00716E89">
        <w:rPr>
          <w:b/>
        </w:rPr>
        <w:t xml:space="preserve"> </w:t>
      </w:r>
      <w:r w:rsidRPr="002D3E96" w:rsidR="00716E89">
        <w:t>(Citation)</w:t>
      </w:r>
      <w:r w:rsidRPr="002D3E96">
        <w:t>, notifies</w:t>
      </w:r>
      <w:r w:rsidRPr="002D3E96" w:rsidR="00500FF2">
        <w:t xml:space="preserve"> </w:t>
      </w:r>
      <w:r w:rsidRPr="002D3E96" w:rsidR="004F5A14">
        <w:rPr>
          <w:spacing w:val="-2"/>
        </w:rPr>
        <w:t>Health and Medical Sales, Inc. dba</w:t>
      </w:r>
      <w:r w:rsidRPr="002D3E96" w:rsidR="004F5A14">
        <w:t xml:space="preserve"> </w:t>
      </w:r>
      <w:r w:rsidRPr="002D3E96" w:rsidR="00572E8D">
        <w:t xml:space="preserve">HealthandMed.com </w:t>
      </w:r>
      <w:r w:rsidRPr="002D3E96" w:rsidR="00E273E3">
        <w:t>(</w:t>
      </w:r>
      <w:r w:rsidR="00AE2CF3">
        <w:t>“</w:t>
      </w:r>
      <w:r w:rsidRPr="002D3E96" w:rsidR="00572E8D">
        <w:t>Health and Med</w:t>
      </w:r>
      <w:r w:rsidR="00AE2CF3">
        <w:t>”</w:t>
      </w:r>
      <w:r w:rsidRPr="002D3E96" w:rsidR="00572E8D">
        <w:t xml:space="preserve"> or </w:t>
      </w:r>
      <w:r w:rsidR="00AE2CF3">
        <w:t>“</w:t>
      </w:r>
      <w:r w:rsidRPr="002D3E96" w:rsidR="00572E8D">
        <w:t>Company</w:t>
      </w:r>
      <w:r w:rsidR="00AE2CF3">
        <w:t>”</w:t>
      </w:r>
      <w:r w:rsidRPr="002D3E96" w:rsidR="00572E8D">
        <w:t>)</w:t>
      </w:r>
      <w:r w:rsidRPr="002D3E96" w:rsidR="00E273E3">
        <w:t xml:space="preserve"> </w:t>
      </w:r>
      <w:r w:rsidRPr="002D3E96" w:rsidR="00500FF2">
        <w:t>that it</w:t>
      </w:r>
      <w:r w:rsidRPr="002D3E96" w:rsidR="00572E8D">
        <w:t xml:space="preserve"> </w:t>
      </w:r>
      <w:r w:rsidRPr="002D3E96" w:rsidR="00352E0F">
        <w:t xml:space="preserve">unlawfully </w:t>
      </w:r>
      <w:r w:rsidRPr="002D3E96" w:rsidR="00572E8D">
        <w:t>marketed</w:t>
      </w:r>
      <w:r>
        <w:rPr>
          <w:rStyle w:val="FootnoteReference"/>
          <w:sz w:val="22"/>
          <w:szCs w:val="22"/>
        </w:rPr>
        <w:footnoteReference w:id="3"/>
      </w:r>
      <w:r w:rsidRPr="002D3E96" w:rsidR="00572E8D">
        <w:t xml:space="preserve"> </w:t>
      </w:r>
      <w:r w:rsidRPr="002D3E96" w:rsidR="00352E0F">
        <w:t xml:space="preserve">radio frequency </w:t>
      </w:r>
      <w:r w:rsidRPr="002D3E96" w:rsidR="00572E8D">
        <w:t xml:space="preserve">devices </w:t>
      </w:r>
      <w:r w:rsidRPr="002D3E96" w:rsidR="007105F5">
        <w:t xml:space="preserve">in the United States in violation of the Commission’s equipment authorization requirements.  </w:t>
      </w:r>
      <w:r w:rsidRPr="002D3E96" w:rsidR="002B7988">
        <w:t xml:space="preserve">Specifically, Health and Med marketed </w:t>
      </w:r>
      <w:r w:rsidR="009C778C">
        <w:t xml:space="preserve">the </w:t>
      </w:r>
      <w:r w:rsidR="00717EDA">
        <w:t>14</w:t>
      </w:r>
      <w:r w:rsidR="009C778C">
        <w:t xml:space="preserve"> models</w:t>
      </w:r>
      <w:r w:rsidR="00F63D42">
        <w:t xml:space="preserve"> </w:t>
      </w:r>
      <w:r w:rsidR="009C778C">
        <w:t xml:space="preserve">identified in the attached Appendix </w:t>
      </w:r>
      <w:r w:rsidR="005119E3">
        <w:t xml:space="preserve">without obtaining an authorization </w:t>
      </w:r>
      <w:r w:rsidRPr="002D3E96" w:rsidR="002B7988">
        <w:t>in violation of section</w:t>
      </w:r>
      <w:r w:rsidRPr="002D3E96" w:rsidR="009D5979">
        <w:t> </w:t>
      </w:r>
      <w:r w:rsidRPr="002D3E96" w:rsidR="002B7988">
        <w:t xml:space="preserve">302(b) of the Communications Act, as amended (Act), and section </w:t>
      </w:r>
      <w:r w:rsidRPr="002D3E96" w:rsidR="002B7988">
        <w:rPr>
          <w:bdr w:val="none" w:sz="0" w:space="0" w:color="auto" w:frame="1"/>
        </w:rPr>
        <w:t>2.803(b)</w:t>
      </w:r>
      <w:r w:rsidRPr="002D3E96" w:rsidR="00692065">
        <w:rPr>
          <w:bdr w:val="none" w:sz="0" w:space="0" w:color="auto" w:frame="1"/>
        </w:rPr>
        <w:t xml:space="preserve"> </w:t>
      </w:r>
      <w:r w:rsidRPr="002D3E96" w:rsidR="002B7988">
        <w:rPr>
          <w:bdr w:val="none" w:sz="0" w:space="0" w:color="auto" w:frame="1"/>
        </w:rPr>
        <w:t>of the Commission’s rules.</w:t>
      </w:r>
      <w:r>
        <w:rPr>
          <w:rStyle w:val="FootnoteReference"/>
          <w:sz w:val="22"/>
          <w:szCs w:val="22"/>
        </w:rPr>
        <w:footnoteReference w:id="4"/>
      </w:r>
      <w:r w:rsidRPr="002D3E96" w:rsidR="007105F5">
        <w:t xml:space="preserve">  </w:t>
      </w:r>
      <w:r w:rsidRPr="002D3E96" w:rsidR="00500FF2">
        <w:t xml:space="preserve">We therefore direct </w:t>
      </w:r>
      <w:r w:rsidRPr="002D3E96" w:rsidR="00572E8D">
        <w:t xml:space="preserve">Health </w:t>
      </w:r>
      <w:r w:rsidRPr="002D3E96" w:rsidR="007333C4">
        <w:t>and</w:t>
      </w:r>
      <w:r w:rsidRPr="002D3E96" w:rsidR="00572E8D">
        <w:t xml:space="preserve"> Med</w:t>
      </w:r>
      <w:r w:rsidRPr="002D3E96" w:rsidR="00500FF2">
        <w:t xml:space="preserve"> to comply </w:t>
      </w:r>
      <w:r w:rsidRPr="002D3E96" w:rsidR="007105F5">
        <w:t>with the Commission’s equipment authorization requirements</w:t>
      </w:r>
      <w:r w:rsidR="00FA21BB">
        <w:t xml:space="preserve"> for </w:t>
      </w:r>
      <w:r w:rsidR="008F5D5B">
        <w:t xml:space="preserve">these </w:t>
      </w:r>
      <w:r w:rsidR="00FA21BB">
        <w:t>devices</w:t>
      </w:r>
      <w:r w:rsidR="00F15950">
        <w:t xml:space="preserve">, and </w:t>
      </w:r>
      <w:r w:rsidR="009C778C">
        <w:t xml:space="preserve">to </w:t>
      </w:r>
      <w:r w:rsidR="00F15950">
        <w:t>cease any marketing of unauthorized radio frequency devices in the United States</w:t>
      </w:r>
      <w:r w:rsidRPr="002D3E96" w:rsidR="00C11BB9">
        <w:t xml:space="preserve">. </w:t>
      </w:r>
      <w:r w:rsidRPr="002D3E96" w:rsidR="007105F5">
        <w:t xml:space="preserve"> If Health and Med fails to comply with these laws, it may be liable for significant fines of up to $</w:t>
      </w:r>
      <w:r w:rsidRPr="002D3E96" w:rsidR="002B7988">
        <w:rPr>
          <w:kern w:val="0"/>
        </w:rPr>
        <w:t>2</w:t>
      </w:r>
      <w:r w:rsidRPr="002D3E96" w:rsidR="008A5CA0">
        <w:rPr>
          <w:kern w:val="0"/>
        </w:rPr>
        <w:t>2</w:t>
      </w:r>
      <w:r w:rsidRPr="002D3E96" w:rsidR="007105F5">
        <w:rPr>
          <w:kern w:val="0"/>
        </w:rPr>
        <w:t>,</w:t>
      </w:r>
      <w:r w:rsidRPr="002D3E96" w:rsidR="008A5CA0">
        <w:rPr>
          <w:kern w:val="0"/>
        </w:rPr>
        <w:t>021</w:t>
      </w:r>
      <w:r w:rsidRPr="002D3E96" w:rsidR="007105F5">
        <w:rPr>
          <w:kern w:val="0"/>
        </w:rPr>
        <w:t xml:space="preserve"> per day </w:t>
      </w:r>
      <w:r w:rsidRPr="002D3E96" w:rsidR="00352E0F">
        <w:t xml:space="preserve">for each model marketed, as well as </w:t>
      </w:r>
      <w:r w:rsidRPr="002D3E96" w:rsidR="007105F5">
        <w:rPr>
          <w:kern w:val="0"/>
        </w:rPr>
        <w:t>other sanctions.</w:t>
      </w:r>
      <w:bookmarkStart w:id="4" w:name="_Ref63163549"/>
      <w:r>
        <w:rPr>
          <w:rStyle w:val="FootnoteReference"/>
          <w:kern w:val="0"/>
        </w:rPr>
        <w:footnoteReference w:id="5"/>
      </w:r>
      <w:r w:rsidR="008F5D5B">
        <w:rPr>
          <w:kern w:val="0"/>
        </w:rPr>
        <w:t xml:space="preserve">  </w:t>
      </w:r>
    </w:p>
    <w:p w:rsidR="004A1B6B" w:rsidRPr="003661AA" w:rsidP="00566594" w14:paraId="7CBCC25E" w14:textId="496350B3">
      <w:pPr>
        <w:pStyle w:val="ParaNum"/>
        <w:widowControl/>
      </w:pPr>
      <w:r w:rsidRPr="008F5D5B">
        <w:rPr>
          <w:b/>
          <w:i/>
        </w:rPr>
        <w:t xml:space="preserve">Notice of Duty to Comply with </w:t>
      </w:r>
      <w:r w:rsidRPr="008F5D5B" w:rsidR="00F6754D">
        <w:rPr>
          <w:b/>
          <w:i/>
        </w:rPr>
        <w:t>the Law</w:t>
      </w:r>
      <w:r w:rsidRPr="002D3E96">
        <w:t xml:space="preserve">:  </w:t>
      </w:r>
      <w:r w:rsidRPr="002D3E96" w:rsidR="007105F5">
        <w:t xml:space="preserve">We issue this Citation pursuant to </w:t>
      </w:r>
      <w:r w:rsidRPr="002D3E96" w:rsidR="00BD0060">
        <w:t>s</w:t>
      </w:r>
      <w:r w:rsidRPr="002D3E96" w:rsidR="007105F5">
        <w:t>ection</w:t>
      </w:r>
      <w:r w:rsidRPr="002D3E96" w:rsidR="00BD0060">
        <w:t> </w:t>
      </w:r>
      <w:r w:rsidRPr="002D3E96" w:rsidR="007105F5">
        <w:t>503(b)(5) of the Act, which states that the Commission may not impose monetary forfeitures against non-regulatees who violate Commission rules or the Act unless and until: (a) the Commission issues a citation to the violator; (b) the Commission provides the violator a reasonable opportunity to respond; and (c) the violator subsequently engages in conduct described in the citation.</w:t>
      </w:r>
      <w:r>
        <w:rPr>
          <w:rStyle w:val="FootnoteReference"/>
          <w:kern w:val="2"/>
          <w:sz w:val="22"/>
          <w:szCs w:val="22"/>
        </w:rPr>
        <w:footnoteReference w:id="6"/>
      </w:r>
      <w:r w:rsidRPr="002D3E96" w:rsidR="004E5035">
        <w:t xml:space="preserve">  </w:t>
      </w:r>
      <w:r w:rsidRPr="002D3E96" w:rsidR="006E6234">
        <w:t xml:space="preserve">Accordingly, </w:t>
      </w:r>
      <w:r w:rsidRPr="002D3E96" w:rsidR="00A51CFB">
        <w:t>Health and Med i</w:t>
      </w:r>
      <w:r w:rsidRPr="008F5D5B" w:rsidR="00BF790E">
        <w:rPr>
          <w:kern w:val="2"/>
        </w:rPr>
        <w:t xml:space="preserve">s hereby on notice that it must comply with </w:t>
      </w:r>
      <w:r w:rsidRPr="008F5D5B" w:rsidR="006E50BF">
        <w:rPr>
          <w:kern w:val="2"/>
        </w:rPr>
        <w:t>s</w:t>
      </w:r>
      <w:r w:rsidRPr="008F5D5B" w:rsidR="007105F5">
        <w:rPr>
          <w:kern w:val="2"/>
        </w:rPr>
        <w:t>ection</w:t>
      </w:r>
      <w:r w:rsidRPr="008F5D5B" w:rsidR="006E50BF">
        <w:rPr>
          <w:kern w:val="2"/>
        </w:rPr>
        <w:t> </w:t>
      </w:r>
      <w:r w:rsidRPr="008F5D5B" w:rsidR="007105F5">
        <w:rPr>
          <w:kern w:val="2"/>
        </w:rPr>
        <w:t xml:space="preserve">302(b) of the Act and </w:t>
      </w:r>
      <w:r w:rsidRPr="008F5D5B" w:rsidR="006E50BF">
        <w:rPr>
          <w:kern w:val="2"/>
        </w:rPr>
        <w:t>s</w:t>
      </w:r>
      <w:r w:rsidRPr="008F5D5B" w:rsidR="007105F5">
        <w:rPr>
          <w:kern w:val="2"/>
        </w:rPr>
        <w:t>ection 2.803</w:t>
      </w:r>
      <w:r w:rsidRPr="008F5D5B" w:rsidR="00487EF2">
        <w:rPr>
          <w:kern w:val="2"/>
        </w:rPr>
        <w:t xml:space="preserve"> </w:t>
      </w:r>
      <w:r w:rsidRPr="008F5D5B" w:rsidR="007105F5">
        <w:rPr>
          <w:kern w:val="2"/>
        </w:rPr>
        <w:t>of the Commission’s rules</w:t>
      </w:r>
      <w:r w:rsidR="00280C18">
        <w:rPr>
          <w:kern w:val="2"/>
        </w:rPr>
        <w:t xml:space="preserve"> and applicable rules in parts 2, 15 and/or 18</w:t>
      </w:r>
      <w:r w:rsidRPr="008F5D5B" w:rsidR="007105F5">
        <w:rPr>
          <w:kern w:val="2"/>
        </w:rPr>
        <w:t>.</w:t>
      </w:r>
      <w:r>
        <w:rPr>
          <w:rStyle w:val="FootnoteReference"/>
          <w:kern w:val="2"/>
          <w:sz w:val="22"/>
          <w:szCs w:val="22"/>
        </w:rPr>
        <w:footnoteReference w:id="7"/>
      </w:r>
      <w:r w:rsidRPr="008F5D5B" w:rsidR="007105F5">
        <w:rPr>
          <w:kern w:val="2"/>
        </w:rPr>
        <w:t xml:space="preserve"> </w:t>
      </w:r>
      <w:r w:rsidRPr="008F5D5B" w:rsidR="004E5035">
        <w:rPr>
          <w:kern w:val="2"/>
        </w:rPr>
        <w:t xml:space="preserve"> </w:t>
      </w:r>
      <w:r w:rsidRPr="008F5D5B" w:rsidR="007105F5">
        <w:rPr>
          <w:kern w:val="2"/>
        </w:rPr>
        <w:t>I</w:t>
      </w:r>
      <w:r w:rsidRPr="002D3E96" w:rsidR="007105F5">
        <w:t xml:space="preserve">f Health and Med </w:t>
      </w:r>
      <w:r w:rsidRPr="008F5D5B" w:rsidR="007105F5">
        <w:rPr>
          <w:kern w:val="2"/>
        </w:rPr>
        <w:t xml:space="preserve">subsequently engages in any conduct of the type this Citation describes – and specifically any violation of </w:t>
      </w:r>
      <w:r w:rsidRPr="008F5D5B" w:rsidR="006E50BF">
        <w:rPr>
          <w:kern w:val="2"/>
        </w:rPr>
        <w:t>s</w:t>
      </w:r>
      <w:r w:rsidRPr="008F5D5B" w:rsidR="007105F5">
        <w:rPr>
          <w:kern w:val="2"/>
        </w:rPr>
        <w:t xml:space="preserve">ection 302(b) of the Act and </w:t>
      </w:r>
      <w:r w:rsidRPr="008F5D5B" w:rsidR="006E50BF">
        <w:rPr>
          <w:kern w:val="2"/>
        </w:rPr>
        <w:t>s</w:t>
      </w:r>
      <w:r w:rsidRPr="008F5D5B" w:rsidR="007105F5">
        <w:rPr>
          <w:kern w:val="2"/>
        </w:rPr>
        <w:t>ection</w:t>
      </w:r>
      <w:r w:rsidRPr="008F5D5B" w:rsidR="008F5D5B">
        <w:rPr>
          <w:kern w:val="2"/>
        </w:rPr>
        <w:t xml:space="preserve"> </w:t>
      </w:r>
      <w:r w:rsidRPr="008F5D5B" w:rsidR="007105F5">
        <w:rPr>
          <w:kern w:val="2"/>
        </w:rPr>
        <w:t xml:space="preserve">2.803 of the </w:t>
      </w:r>
      <w:r w:rsidRPr="008F5D5B" w:rsidR="002B7988">
        <w:rPr>
          <w:kern w:val="2"/>
        </w:rPr>
        <w:t>Commission’s rules</w:t>
      </w:r>
      <w:r w:rsidR="005119E3">
        <w:rPr>
          <w:kern w:val="2"/>
        </w:rPr>
        <w:t xml:space="preserve"> </w:t>
      </w:r>
      <w:r w:rsidR="00D667EF">
        <w:rPr>
          <w:kern w:val="2"/>
        </w:rPr>
        <w:t>and applicable rules in parts 2, 15 and/or 18</w:t>
      </w:r>
      <w:r w:rsidRPr="008F5D5B" w:rsidR="008F5D5B">
        <w:rPr>
          <w:kern w:val="2"/>
        </w:rPr>
        <w:t xml:space="preserve"> – </w:t>
      </w:r>
      <w:r w:rsidRPr="008F5D5B" w:rsidR="007105F5">
        <w:rPr>
          <w:kern w:val="2"/>
        </w:rPr>
        <w:t xml:space="preserve">it may be subject to civil penalties, including but not limited to, substantial monetary forfeitures.  In </w:t>
      </w:r>
      <w:r w:rsidRPr="008F5D5B" w:rsidR="007105F5">
        <w:rPr>
          <w:kern w:val="2"/>
        </w:rPr>
        <w:t>assessing such forfeitures, the Commission may consider both the conduct that led to this Citation and the conduct following it.</w:t>
      </w:r>
      <w:bookmarkEnd w:id="4"/>
      <w:r>
        <w:rPr>
          <w:rStyle w:val="FootnoteReference"/>
          <w:kern w:val="2"/>
          <w:sz w:val="22"/>
          <w:szCs w:val="22"/>
        </w:rPr>
        <w:footnoteReference w:id="8"/>
      </w:r>
      <w:r w:rsidRPr="008F5D5B" w:rsidR="00352E0F">
        <w:rPr>
          <w:kern w:val="2"/>
        </w:rPr>
        <w:t xml:space="preserve">  </w:t>
      </w:r>
      <w:r w:rsidRPr="00DA7913" w:rsidR="00352E0F">
        <w:rPr>
          <w:b/>
          <w:bCs/>
        </w:rPr>
        <w:t xml:space="preserve">Health and Med </w:t>
      </w:r>
      <w:r w:rsidRPr="00DA7913" w:rsidR="00352E0F">
        <w:rPr>
          <w:b/>
          <w:bCs/>
          <w:iCs/>
        </w:rPr>
        <w:t>should take immediate steps to ensure that all radio frequency equipment in its inventory that is marketed to U.S. consumers is authorized for sale in the United States and compliant with all applicable rules</w:t>
      </w:r>
      <w:r w:rsidRPr="00DA7913" w:rsidR="001730B8">
        <w:rPr>
          <w:b/>
          <w:bCs/>
          <w:iCs/>
        </w:rPr>
        <w:t>.</w:t>
      </w:r>
      <w:bookmarkStart w:id="6" w:name="_Toc379288999"/>
      <w:bookmarkStart w:id="7" w:name="_Toc379365500"/>
    </w:p>
    <w:p w:rsidR="003661AA" w:rsidRPr="00BE70CC" w:rsidP="003661AA" w14:paraId="771250ED" w14:textId="01616B1A">
      <w:pPr>
        <w:pStyle w:val="ParaNum"/>
      </w:pPr>
      <w:r w:rsidRPr="00BC73D2">
        <w:rPr>
          <w:b/>
          <w:bCs/>
          <w:i/>
          <w:kern w:val="0"/>
        </w:rPr>
        <w:t>Notice of Duty to Provide Information</w:t>
      </w:r>
      <w:r w:rsidRPr="00BE70CC">
        <w:rPr>
          <w:kern w:val="0"/>
        </w:rPr>
        <w:t xml:space="preserve">:  </w:t>
      </w:r>
      <w:r w:rsidRPr="00BE70CC">
        <w:rPr>
          <w:szCs w:val="22"/>
        </w:rPr>
        <w:t xml:space="preserve">Pursuant to </w:t>
      </w:r>
      <w:r>
        <w:rPr>
          <w:szCs w:val="22"/>
        </w:rPr>
        <w:t>s</w:t>
      </w:r>
      <w:r w:rsidRPr="00BE70CC">
        <w:rPr>
          <w:szCs w:val="22"/>
        </w:rPr>
        <w:t>ections 4(i), 4(j), and 403 of the Act</w:t>
      </w:r>
      <w:r>
        <w:rPr>
          <w:szCs w:val="22"/>
        </w:rPr>
        <w:t>,</w:t>
      </w:r>
      <w:r>
        <w:rPr>
          <w:rStyle w:val="FootnoteReference"/>
          <w:szCs w:val="22"/>
        </w:rPr>
        <w:footnoteReference w:id="9"/>
      </w:r>
      <w:r w:rsidRPr="00BE70CC">
        <w:rPr>
          <w:kern w:val="0"/>
        </w:rPr>
        <w:t xml:space="preserve"> </w:t>
      </w:r>
      <w:r w:rsidRPr="00BE70CC">
        <w:t xml:space="preserve">we direct </w:t>
      </w:r>
      <w:r w:rsidRPr="002D3E96" w:rsidR="00A732C8">
        <w:t>Health and Med</w:t>
      </w:r>
      <w:r w:rsidRPr="00BE70CC" w:rsidR="00A732C8">
        <w:t xml:space="preserve"> </w:t>
      </w:r>
      <w:r w:rsidRPr="00BE70CC">
        <w:t>to respond in writing, within 30 calendar days after the release date of this Citation, to the questions and requests for document</w:t>
      </w:r>
      <w:r w:rsidR="00A732C8">
        <w:t>s</w:t>
      </w:r>
      <w:r w:rsidRPr="00BE70CC">
        <w:t xml:space="preserve"> set out in paragraph</w:t>
      </w:r>
      <w:r w:rsidR="00C04878">
        <w:t xml:space="preserve"> </w:t>
      </w:r>
      <w:r w:rsidR="007F3205">
        <w:fldChar w:fldCharType="begin"/>
      </w:r>
      <w:r w:rsidR="007F3205">
        <w:instrText xml:space="preserve"> REF _Ref95998176 \r \h </w:instrText>
      </w:r>
      <w:r w:rsidR="007F3205">
        <w:fldChar w:fldCharType="separate"/>
      </w:r>
      <w:r w:rsidR="002A4E1C">
        <w:t>12</w:t>
      </w:r>
      <w:r w:rsidR="007F3205">
        <w:fldChar w:fldCharType="end"/>
      </w:r>
      <w:r w:rsidRPr="00BE70CC">
        <w:t>, below.</w:t>
      </w:r>
      <w:r w:rsidRPr="00BE70CC">
        <w:rPr>
          <w:kern w:val="0"/>
        </w:rPr>
        <w:t xml:space="preserve"> </w:t>
      </w:r>
    </w:p>
    <w:p w:rsidR="0055380D" w:rsidRPr="00B11B5D" w:rsidP="0002221D" w14:paraId="15F20BD8" w14:textId="2EF9B137">
      <w:pPr>
        <w:pStyle w:val="Heading1"/>
      </w:pPr>
      <w:r w:rsidRPr="00B11B5D">
        <w:t>BACKGROUND</w:t>
      </w:r>
      <w:bookmarkEnd w:id="6"/>
      <w:bookmarkEnd w:id="7"/>
      <w:r w:rsidRPr="00B11B5D" w:rsidR="00A8604A">
        <w:t xml:space="preserve"> </w:t>
      </w:r>
    </w:p>
    <w:p w:rsidR="00692F01" w:rsidRPr="00713F52" w:rsidP="0002221D" w14:paraId="5CAAD974" w14:textId="1ED5EB3D">
      <w:pPr>
        <w:pStyle w:val="ParaNum"/>
      </w:pPr>
      <w:r w:rsidRPr="00713F52">
        <w:rPr>
          <w:u w:val="single"/>
        </w:rPr>
        <w:t>Legal Background</w:t>
      </w:r>
      <w:r w:rsidRPr="00713F52">
        <w:t xml:space="preserve">.  </w:t>
      </w:r>
      <w:r w:rsidRPr="00713F52" w:rsidR="00BE0FB6">
        <w:t>To best accommodate the diversity of radio communication needs, the Commission partitions radio frequency spectrum, and creates different radio services, each with different operating parameters.  The Commission also implements an equipment authorization process designed to ensure that radio frequency devices that intentionally emit radio waves meet various operating requirements, including power levels, frequency, and channel bandwidth.</w:t>
      </w:r>
      <w:r>
        <w:rPr>
          <w:rStyle w:val="FootnoteReference"/>
          <w:szCs w:val="22"/>
        </w:rPr>
        <w:footnoteReference w:id="10"/>
      </w:r>
      <w:r w:rsidRPr="00713F52" w:rsidR="00221500">
        <w:t xml:space="preserve">  </w:t>
      </w:r>
      <w:r w:rsidRPr="00713F52" w:rsidR="009E5915">
        <w:t xml:space="preserve">Unintentional radiators, devices that by design use digital logic, or electrical signals operating at radio frequencies for use within the product, or send radio frequency signals by conduction to associated equipment via connecting wiring, but </w:t>
      </w:r>
      <w:r w:rsidRPr="00713F52" w:rsidR="00B11B5D">
        <w:t>are</w:t>
      </w:r>
      <w:r w:rsidRPr="00713F52" w:rsidR="009E5915">
        <w:t xml:space="preserve"> not intended to emit</w:t>
      </w:r>
      <w:r w:rsidR="00741E7C">
        <w:t xml:space="preserve"> radio frequency</w:t>
      </w:r>
      <w:r w:rsidRPr="00713F52" w:rsidR="009E5915">
        <w:t xml:space="preserve"> energy wirelessly by radiation or induction must be authorized prior to the initiation of marketing</w:t>
      </w:r>
      <w:r w:rsidRPr="00713F52">
        <w:t xml:space="preserve"> under part 15 of the Commission’s rules</w:t>
      </w:r>
      <w:r w:rsidRPr="00713F52" w:rsidR="00064E72">
        <w:t>.</w:t>
      </w:r>
      <w:r>
        <w:rPr>
          <w:rStyle w:val="FootnoteReference"/>
          <w:szCs w:val="22"/>
        </w:rPr>
        <w:footnoteReference w:id="11"/>
      </w:r>
      <w:r w:rsidRPr="00713F52" w:rsidR="00064E72">
        <w:t xml:space="preserve">  </w:t>
      </w:r>
      <w:r w:rsidRPr="00713F52">
        <w:t xml:space="preserve">Finally, electronic products used for providing </w:t>
      </w:r>
      <w:r w:rsidR="00741E7C">
        <w:t>radio frequency</w:t>
      </w:r>
      <w:r w:rsidRPr="00713F52">
        <w:t xml:space="preserve"> energy for </w:t>
      </w:r>
      <w:r w:rsidRPr="00713F52">
        <w:t xml:space="preserve">Industrial Scientific and Medical (ISM) </w:t>
      </w:r>
      <w:r w:rsidRPr="00713F52">
        <w:t>purposes are authorized under a different set of rules</w:t>
      </w:r>
      <w:r w:rsidRPr="00713F52">
        <w:t xml:space="preserve"> in part 18 of the Commission’s rules</w:t>
      </w:r>
      <w:r w:rsidRPr="00713F52">
        <w:t>.</w:t>
      </w:r>
      <w:r>
        <w:rPr>
          <w:rStyle w:val="FootnoteReference"/>
          <w:sz w:val="22"/>
          <w:szCs w:val="22"/>
        </w:rPr>
        <w:footnoteReference w:id="12"/>
      </w:r>
      <w:r w:rsidR="005C02E9">
        <w:t xml:space="preserve">  </w:t>
      </w:r>
    </w:p>
    <w:p w:rsidR="00692F01" w:rsidRPr="002D3E96" w:rsidP="0002221D" w14:paraId="21650DC3" w14:textId="1602DD0B">
      <w:pPr>
        <w:pStyle w:val="ParaNum"/>
      </w:pPr>
      <w:r w:rsidRPr="00713F52">
        <w:t xml:space="preserve">The Commission has two equipment authorization procedures: (1) </w:t>
      </w:r>
      <w:r w:rsidRPr="00713F52" w:rsidR="00CB5A2D">
        <w:t>Certification and (2)</w:t>
      </w:r>
      <w:r w:rsidR="007E786C">
        <w:t> </w:t>
      </w:r>
      <w:r w:rsidRPr="002D3E96">
        <w:t>Supplier’s Declaration of Conformity</w:t>
      </w:r>
      <w:r w:rsidR="002A4E1C">
        <w:t xml:space="preserve"> (SDoC)</w:t>
      </w:r>
      <w:r w:rsidR="00170060">
        <w:t>.</w:t>
      </w:r>
      <w:r>
        <w:rPr>
          <w:rStyle w:val="FootnoteReference"/>
          <w:sz w:val="22"/>
          <w:szCs w:val="22"/>
        </w:rPr>
        <w:footnoteReference w:id="13"/>
      </w:r>
      <w:r w:rsidR="00CB5A2D">
        <w:t xml:space="preserve">  </w:t>
      </w:r>
      <w:r w:rsidRPr="002D3E96">
        <w:t>Certification is an equipment authorization, using a third-party FCC-recognized Telecommunication Certification Body (TCB), based on an evaluation of supporting documentation and test data contained in an application submitted by the responsible party (e.g., the manufacturer or importer) to the TCB.</w:t>
      </w:r>
      <w:r>
        <w:rPr>
          <w:rStyle w:val="FootnoteReference"/>
          <w:szCs w:val="22"/>
        </w:rPr>
        <w:footnoteReference w:id="14"/>
      </w:r>
      <w:r w:rsidRPr="002D3E96">
        <w:t xml:space="preserve"> </w:t>
      </w:r>
      <w:r w:rsidR="00FB6570">
        <w:t xml:space="preserve"> </w:t>
      </w:r>
      <w:r w:rsidRPr="002D3E96">
        <w:t xml:space="preserve">Compliance testing for certification is performed by an FCC-recognized accredited testing laboratory.  </w:t>
      </w:r>
    </w:p>
    <w:p w:rsidR="00FB6570" w:rsidP="0040646D" w14:paraId="74242097" w14:textId="3F1A6680">
      <w:pPr>
        <w:pStyle w:val="ParaNum"/>
        <w:widowControl/>
      </w:pPr>
      <w:r w:rsidRPr="002D3E96">
        <w:t>For devices subject to SDoC</w:t>
      </w:r>
      <w:r>
        <w:t xml:space="preserve">, </w:t>
      </w:r>
      <w:r w:rsidRPr="00221500">
        <w:t>a compliance information statement that includes the following items must be supplied with the product at the time of marketing or importation: Identification of the product, e.g., trade name, model, etc., a statement that the product complies with the rules, as applicable;</w:t>
      </w:r>
      <w:r>
        <w:rPr>
          <w:rStyle w:val="FootnoteReference"/>
          <w:sz w:val="22"/>
          <w:szCs w:val="22"/>
        </w:rPr>
        <w:footnoteReference w:id="15"/>
      </w:r>
      <w:r w:rsidRPr="00221500">
        <w:t xml:space="preserve"> and the name and address, and telephone number, or internet contact information of the responsible party’s contact located in the United States.</w:t>
      </w:r>
      <w:r>
        <w:rPr>
          <w:rStyle w:val="FootnoteReference"/>
          <w:szCs w:val="22"/>
        </w:rPr>
        <w:footnoteReference w:id="16"/>
      </w:r>
      <w:r w:rsidRPr="00221500">
        <w:t xml:space="preserve"> </w:t>
      </w:r>
      <w:r>
        <w:t xml:space="preserve"> </w:t>
      </w:r>
      <w:r w:rsidRPr="002D3E96">
        <w:t xml:space="preserve">Each device is also subject to labeling </w:t>
      </w:r>
      <w:r w:rsidRPr="002D3E96">
        <w:t>requirements based on the equipment authorization procedure prescribed in the specific FCC rules that apply to the product.</w:t>
      </w:r>
      <w:r>
        <w:rPr>
          <w:rStyle w:val="FootnoteReference"/>
        </w:rPr>
        <w:footnoteReference w:id="17"/>
      </w:r>
    </w:p>
    <w:bookmarkStart w:id="9" w:name="_Ref109398875"/>
    <w:p w:rsidR="00057F32" w:rsidP="0002221D" w14:paraId="72DB142A" w14:textId="63B8FC95">
      <w:pPr>
        <w:pStyle w:val="ParaNum"/>
      </w:pPr>
      <w:hyperlink r:id="rId5" w:history="1">
        <w:r w:rsidRPr="00B655B7">
          <w:rPr>
            <w:shd w:val="clear" w:color="auto" w:fill="FFFFFF"/>
          </w:rPr>
          <w:t>Unintentional radiators</w:t>
        </w:r>
      </w:hyperlink>
      <w:r>
        <w:rPr>
          <w:shd w:val="clear" w:color="auto" w:fill="FFFFFF"/>
        </w:rPr>
        <w:t xml:space="preserve"> under part 15 </w:t>
      </w:r>
      <w:r w:rsidRPr="00B655B7">
        <w:rPr>
          <w:shd w:val="clear" w:color="auto" w:fill="FFFFFF"/>
        </w:rPr>
        <w:t xml:space="preserve">shall be authorized prior to the initiation of marketing, pursuant to the procedures for certification or </w:t>
      </w:r>
      <w:r w:rsidR="002A4E1C">
        <w:rPr>
          <w:shd w:val="clear" w:color="auto" w:fill="FFFFFF"/>
        </w:rPr>
        <w:t>SDoC</w:t>
      </w:r>
      <w:r>
        <w:rPr>
          <w:shd w:val="clear" w:color="auto" w:fill="FFFFFF"/>
        </w:rPr>
        <w:t>.</w:t>
      </w:r>
      <w:r>
        <w:rPr>
          <w:rStyle w:val="FootnoteReference"/>
          <w:sz w:val="22"/>
          <w:szCs w:val="22"/>
          <w:shd w:val="clear" w:color="auto" w:fill="FFFFFF"/>
        </w:rPr>
        <w:footnoteReference w:id="18"/>
      </w:r>
      <w:r w:rsidRPr="00B655B7">
        <w:rPr>
          <w:shd w:val="clear" w:color="auto" w:fill="FFFFFF"/>
        </w:rPr>
        <w:t xml:space="preserve">  </w:t>
      </w:r>
      <w:r w:rsidR="002A4E1C">
        <w:rPr>
          <w:shd w:val="clear" w:color="auto" w:fill="FFFFFF"/>
        </w:rPr>
        <w:t>Similarly, t</w:t>
      </w:r>
      <w:r w:rsidRPr="00B655B7">
        <w:rPr>
          <w:shd w:val="clear" w:color="auto" w:fill="FFFFFF"/>
        </w:rPr>
        <w:t>he Commission’s rules for</w:t>
      </w:r>
      <w:r>
        <w:rPr>
          <w:shd w:val="clear" w:color="auto" w:fill="FFFFFF"/>
        </w:rPr>
        <w:t xml:space="preserve"> consumer</w:t>
      </w:r>
      <w:r w:rsidRPr="00B655B7">
        <w:rPr>
          <w:shd w:val="clear" w:color="auto" w:fill="FFFFFF"/>
        </w:rPr>
        <w:t xml:space="preserve"> ISM equipment </w:t>
      </w:r>
      <w:r>
        <w:rPr>
          <w:shd w:val="clear" w:color="auto" w:fill="FFFFFF"/>
        </w:rPr>
        <w:t xml:space="preserve">under part 18 </w:t>
      </w:r>
      <w:r w:rsidRPr="00B655B7">
        <w:rPr>
          <w:shd w:val="clear" w:color="auto" w:fill="FFFFFF"/>
        </w:rPr>
        <w:t>state that the equipment “</w:t>
      </w:r>
      <w:r>
        <w:t xml:space="preserve">must </w:t>
      </w:r>
      <w:r w:rsidRPr="00B655B7">
        <w:t>be authorized under either the Supplier’s Declaration of Conformity or the certification procedure prior to use or</w:t>
      </w:r>
      <w:r w:rsidR="002D0E00">
        <w:t xml:space="preserve"> </w:t>
      </w:r>
      <w:r w:rsidRPr="002D0E00" w:rsidR="002D0E00">
        <w:t>marketing</w:t>
      </w:r>
      <w:r w:rsidRPr="00B655B7">
        <w:t>.</w:t>
      </w:r>
      <w:r w:rsidR="00144227">
        <w:t>”</w:t>
      </w:r>
      <w:r>
        <w:rPr>
          <w:rStyle w:val="FootnoteReference"/>
          <w:szCs w:val="22"/>
        </w:rPr>
        <w:footnoteReference w:id="19"/>
      </w:r>
      <w:r w:rsidRPr="00B655B7">
        <w:t xml:space="preserve">  </w:t>
      </w:r>
      <w:r w:rsidR="008F5D5B">
        <w:t>Furthermore, u</w:t>
      </w:r>
      <w:r w:rsidR="00A15844">
        <w:t xml:space="preserve">nder part 18, </w:t>
      </w:r>
      <w:r w:rsidR="00144227">
        <w:t>“</w:t>
      </w:r>
      <w:r w:rsidR="00217C2D">
        <w:t>[c]</w:t>
      </w:r>
      <w:r w:rsidRPr="00B655B7">
        <w:t>onsumer</w:t>
      </w:r>
      <w:r>
        <w:t xml:space="preserve"> </w:t>
      </w:r>
      <w:r w:rsidRPr="002D0E00" w:rsidR="002D0E00">
        <w:t>ultrasonic equipment</w:t>
      </w:r>
      <w:r w:rsidR="002D0E00">
        <w:t xml:space="preserve"> </w:t>
      </w:r>
      <w:r w:rsidRPr="00B655B7">
        <w:t xml:space="preserve">generating less than 500 watts and operating below 90 kHz, and non-consumer ISM equipment shall be subject to </w:t>
      </w:r>
      <w:r w:rsidRPr="00B655B7" w:rsidR="00550A13">
        <w:t>Supplier</w:t>
      </w:r>
      <w:r w:rsidR="00550A13">
        <w:t>’</w:t>
      </w:r>
      <w:r w:rsidRPr="00B655B7" w:rsidR="00550A13">
        <w:t xml:space="preserve">s </w:t>
      </w:r>
      <w:r w:rsidRPr="00B655B7">
        <w:t>Declaration of Conformity</w:t>
      </w:r>
      <w:r>
        <w:t>.</w:t>
      </w:r>
      <w:r w:rsidR="00144227">
        <w:t>”</w:t>
      </w:r>
      <w:r>
        <w:rPr>
          <w:rStyle w:val="FootnoteReference"/>
          <w:szCs w:val="22"/>
        </w:rPr>
        <w:footnoteReference w:id="20"/>
      </w:r>
      <w:bookmarkEnd w:id="9"/>
      <w:r w:rsidRPr="00B655B7">
        <w:t xml:space="preserve">  </w:t>
      </w:r>
    </w:p>
    <w:p w:rsidR="00692F01" w:rsidRPr="00FB6570" w:rsidP="0002221D" w14:paraId="382967A6" w14:textId="689C6E86">
      <w:pPr>
        <w:pStyle w:val="ParaNum"/>
      </w:pPr>
      <w:r w:rsidRPr="00F50EE4">
        <w:rPr>
          <w:u w:val="single"/>
        </w:rPr>
        <w:t>Factual Background</w:t>
      </w:r>
      <w:r>
        <w:t xml:space="preserve">.  </w:t>
      </w:r>
      <w:r w:rsidR="00FB6570">
        <w:t>H</w:t>
      </w:r>
      <w:r w:rsidRPr="00FB6570">
        <w:t xml:space="preserve">ealth and Med is a </w:t>
      </w:r>
      <w:r w:rsidRPr="00FB6570" w:rsidR="00950FE7">
        <w:t>Utah</w:t>
      </w:r>
      <w:r w:rsidR="00950FE7">
        <w:t>-</w:t>
      </w:r>
      <w:r w:rsidRPr="00FB6570">
        <w:t>based company that sells wellness products through its website HealthandMed.com, including ionic, detoxing footbaths.</w:t>
      </w:r>
      <w:r>
        <w:rPr>
          <w:rStyle w:val="FootnoteReference"/>
        </w:rPr>
        <w:footnoteReference w:id="21"/>
      </w:r>
      <w:r w:rsidR="00C86A8C">
        <w:t xml:space="preserve"> </w:t>
      </w:r>
      <w:r w:rsidRPr="00FB6570">
        <w:t xml:space="preserve"> The Commission received a complaint regarding Health and Med’s marketing of radio frequency equipment, specifically the IonizeME Maxx ionizing footbath, without </w:t>
      </w:r>
      <w:r w:rsidR="00985626">
        <w:t xml:space="preserve">a </w:t>
      </w:r>
      <w:r w:rsidRPr="00FB6570">
        <w:t xml:space="preserve">proper </w:t>
      </w:r>
      <w:r w:rsidR="00B0431A">
        <w:t>p</w:t>
      </w:r>
      <w:r w:rsidRPr="00DA7913" w:rsidR="00B0431A">
        <w:t>art</w:t>
      </w:r>
      <w:r w:rsidRPr="00B0431A" w:rsidR="00B0431A">
        <w:t xml:space="preserve"> </w:t>
      </w:r>
      <w:r w:rsidRPr="00DA7913" w:rsidR="004C2CE9">
        <w:t>18</w:t>
      </w:r>
      <w:r w:rsidR="004C2CE9">
        <w:t xml:space="preserve"> </w:t>
      </w:r>
      <w:r w:rsidRPr="00FB6570">
        <w:t xml:space="preserve">authorization.  The Spectrum Enforcement Division (the </w:t>
      </w:r>
      <w:r w:rsidR="005E1051">
        <w:t>D</w:t>
      </w:r>
      <w:r w:rsidRPr="00FB6570">
        <w:t>ivision) observed that the ionic footbath models marketed on the Health and Med website have digital displays, use digital power supplies, and have other indicia that they are unintentional radiators or ISM devices, either of which require an authorization prior to marketing.</w:t>
      </w:r>
      <w:r>
        <w:rPr>
          <w:rStyle w:val="FootnoteReference"/>
          <w:sz w:val="22"/>
          <w:szCs w:val="22"/>
        </w:rPr>
        <w:footnoteReference w:id="22"/>
      </w:r>
      <w:r w:rsidRPr="00FB6570">
        <w:t xml:space="preserve">  </w:t>
      </w:r>
      <w:bookmarkStart w:id="11" w:name="_Ref63166635"/>
      <w:r w:rsidRPr="00FB6570">
        <w:t xml:space="preserve">In response to the </w:t>
      </w:r>
      <w:r w:rsidR="00536C33">
        <w:t>D</w:t>
      </w:r>
      <w:r w:rsidRPr="00FB6570">
        <w:t>ivision’s Letter of Inquiry (LOI),</w:t>
      </w:r>
      <w:r>
        <w:rPr>
          <w:rStyle w:val="FootnoteReference"/>
          <w:sz w:val="22"/>
          <w:szCs w:val="22"/>
        </w:rPr>
        <w:footnoteReference w:id="23"/>
      </w:r>
      <w:r w:rsidRPr="00FB6570">
        <w:t xml:space="preserve"> Health and Med stated that it sold </w:t>
      </w:r>
      <w:r w:rsidR="00C86A8C">
        <w:t>14</w:t>
      </w:r>
      <w:r w:rsidRPr="00FB6570" w:rsidR="00C86A8C">
        <w:t xml:space="preserve"> </w:t>
      </w:r>
      <w:r w:rsidRPr="00FB6570">
        <w:t>models of ionizing footbaths</w:t>
      </w:r>
      <w:r w:rsidR="005F1A6B">
        <w:t>.  Health and Med provided</w:t>
      </w:r>
      <w:r w:rsidR="00D60F72">
        <w:t xml:space="preserve"> t</w:t>
      </w:r>
      <w:r w:rsidRPr="00FB6570">
        <w:t xml:space="preserve">he dates for which </w:t>
      </w:r>
      <w:r w:rsidR="0059473B">
        <w:t xml:space="preserve">sales commenced for </w:t>
      </w:r>
      <w:r w:rsidRPr="00FB6570">
        <w:t xml:space="preserve">each model of footbath sold.  The </w:t>
      </w:r>
      <w:r w:rsidR="00C86A8C">
        <w:t xml:space="preserve">Company </w:t>
      </w:r>
      <w:r w:rsidR="0059473B">
        <w:t xml:space="preserve">admits sales of the 14 models began </w:t>
      </w:r>
      <w:r w:rsidRPr="00FB6570">
        <w:t xml:space="preserve">“before 2018,” with </w:t>
      </w:r>
      <w:r w:rsidR="0059473B">
        <w:t xml:space="preserve">sale </w:t>
      </w:r>
      <w:r w:rsidRPr="00FB6570">
        <w:t xml:space="preserve">ending dates ranging from 2018 through </w:t>
      </w:r>
      <w:r w:rsidR="00BB2452">
        <w:t>August 27, 2020</w:t>
      </w:r>
      <w:r w:rsidR="00D60F72">
        <w:t xml:space="preserve">.  </w:t>
      </w:r>
      <w:r w:rsidR="00FE497B">
        <w:t xml:space="preserve">Health and Med admits that sales during this time took place </w:t>
      </w:r>
      <w:r w:rsidRPr="00FB6570">
        <w:t>without first obtaining the appropriate equipment authorization.</w:t>
      </w:r>
      <w:r>
        <w:rPr>
          <w:rStyle w:val="FootnoteReference"/>
          <w:sz w:val="22"/>
          <w:szCs w:val="22"/>
        </w:rPr>
        <w:footnoteReference w:id="24"/>
      </w:r>
      <w:r w:rsidRPr="00FB6570">
        <w:t xml:space="preserve">  </w:t>
      </w:r>
    </w:p>
    <w:p w:rsidR="00692F01" w:rsidRPr="002D3E96" w:rsidP="0002221D" w14:paraId="277A2FC9" w14:textId="3CBE6C7C">
      <w:pPr>
        <w:pStyle w:val="ParaNum"/>
      </w:pPr>
      <w:bookmarkStart w:id="15" w:name="_Ref96002553"/>
      <w:r w:rsidRPr="002D3E96">
        <w:t>Health and Med argued that the devices were not radio frequency equipment and that neither the manufacturers nor the suppliers believed the equipment was subject to FCC rules.</w:t>
      </w:r>
      <w:r>
        <w:rPr>
          <w:rStyle w:val="FootnoteReference"/>
          <w:sz w:val="22"/>
          <w:szCs w:val="22"/>
        </w:rPr>
        <w:footnoteReference w:id="25"/>
      </w:r>
      <w:r w:rsidRPr="002D3E96">
        <w:t xml:space="preserve">  In response to additional inquiries from the </w:t>
      </w:r>
      <w:r w:rsidR="00536C33">
        <w:t>D</w:t>
      </w:r>
      <w:r w:rsidRPr="002D3E96">
        <w:t xml:space="preserve">ivision, the Company had </w:t>
      </w:r>
      <w:r w:rsidR="003E576E">
        <w:t xml:space="preserve">the IonizeME Maxx, the IonizeME Maxx Dual, and the IonizeME Maxx Go </w:t>
      </w:r>
      <w:r w:rsidRPr="002D3E96">
        <w:t>tested under part 15, subpart B of the Commission’s rules as unintentional radiators.  The Company reported that these models passed the tests.</w:t>
      </w:r>
      <w:r>
        <w:rPr>
          <w:rStyle w:val="FootnoteReference"/>
          <w:sz w:val="22"/>
          <w:szCs w:val="22"/>
        </w:rPr>
        <w:footnoteReference w:id="26"/>
      </w:r>
      <w:r w:rsidRPr="002D3E96">
        <w:t xml:space="preserve">  The tests were performed to measure the radio frequency energy produced by the devices. </w:t>
      </w:r>
      <w:r w:rsidR="006D4228">
        <w:t xml:space="preserve"> </w:t>
      </w:r>
      <w:r w:rsidRPr="002D3E96">
        <w:t>Test reports show that the devices emit</w:t>
      </w:r>
      <w:r w:rsidR="00985626">
        <w:t>ted</w:t>
      </w:r>
      <w:r w:rsidRPr="002D3E96">
        <w:t xml:space="preserve"> radio frequency energy (conducted and radiated).</w:t>
      </w:r>
      <w:r>
        <w:rPr>
          <w:rStyle w:val="FootnoteReference"/>
          <w:sz w:val="22"/>
          <w:szCs w:val="22"/>
        </w:rPr>
        <w:footnoteReference w:id="27"/>
      </w:r>
      <w:r w:rsidRPr="002D3E96">
        <w:t xml:space="preserve">  The Company </w:t>
      </w:r>
      <w:r w:rsidR="00FE497B">
        <w:t xml:space="preserve">informed the </w:t>
      </w:r>
      <w:r w:rsidR="00536C33">
        <w:t>D</w:t>
      </w:r>
      <w:r w:rsidR="00FE497B">
        <w:t xml:space="preserve">ivision </w:t>
      </w:r>
      <w:r w:rsidR="003E576E">
        <w:t xml:space="preserve">that </w:t>
      </w:r>
      <w:r w:rsidRPr="002D3E96">
        <w:t xml:space="preserve">it discontinued </w:t>
      </w:r>
      <w:r w:rsidR="000E2C22">
        <w:t xml:space="preserve">the sale of other models to </w:t>
      </w:r>
      <w:r w:rsidR="00B11B5D">
        <w:t>avoid te</w:t>
      </w:r>
      <w:r w:rsidR="003E576E">
        <w:t>s</w:t>
      </w:r>
      <w:r w:rsidR="00B11B5D">
        <w:t>ting expenses</w:t>
      </w:r>
      <w:r w:rsidRPr="002D3E96">
        <w:t>.</w:t>
      </w:r>
      <w:r>
        <w:rPr>
          <w:rStyle w:val="FootnoteReference"/>
          <w:sz w:val="22"/>
          <w:szCs w:val="22"/>
        </w:rPr>
        <w:footnoteReference w:id="28"/>
      </w:r>
      <w:r w:rsidRPr="002D3E96">
        <w:t xml:space="preserve">  </w:t>
      </w:r>
      <w:bookmarkEnd w:id="11"/>
      <w:r w:rsidR="002262AA">
        <w:rPr>
          <w:szCs w:val="22"/>
        </w:rPr>
        <w:t xml:space="preserve">Subsequently, the </w:t>
      </w:r>
      <w:r w:rsidR="00536C33">
        <w:rPr>
          <w:szCs w:val="22"/>
        </w:rPr>
        <w:t>D</w:t>
      </w:r>
      <w:r w:rsidR="002262AA">
        <w:rPr>
          <w:szCs w:val="22"/>
        </w:rPr>
        <w:t xml:space="preserve">ivision observed </w:t>
      </w:r>
      <w:r w:rsidR="009E37B0">
        <w:rPr>
          <w:szCs w:val="22"/>
        </w:rPr>
        <w:t>that the Company continues to sell the IonizeME Touch and the</w:t>
      </w:r>
      <w:r w:rsidR="006F3ECB">
        <w:rPr>
          <w:szCs w:val="22"/>
        </w:rPr>
        <w:t xml:space="preserve"> </w:t>
      </w:r>
      <w:r w:rsidR="002126B1">
        <w:rPr>
          <w:szCs w:val="22"/>
        </w:rPr>
        <w:t>IonizeMe Maxx 5</w:t>
      </w:r>
      <w:r w:rsidR="002262AA">
        <w:rPr>
          <w:szCs w:val="22"/>
        </w:rPr>
        <w:t>,</w:t>
      </w:r>
      <w:r w:rsidR="009E37B0">
        <w:rPr>
          <w:szCs w:val="22"/>
        </w:rPr>
        <w:t xml:space="preserve"> but has not yet provided information about the authorizations for those models</w:t>
      </w:r>
      <w:r w:rsidR="002126B1">
        <w:rPr>
          <w:szCs w:val="22"/>
        </w:rPr>
        <w:t>.</w:t>
      </w:r>
      <w:r>
        <w:rPr>
          <w:rStyle w:val="FootnoteReference"/>
          <w:szCs w:val="22"/>
        </w:rPr>
        <w:footnoteReference w:id="29"/>
      </w:r>
      <w:r w:rsidR="002126B1">
        <w:rPr>
          <w:szCs w:val="22"/>
        </w:rPr>
        <w:t xml:space="preserve">  </w:t>
      </w:r>
      <w:r w:rsidR="002262AA">
        <w:rPr>
          <w:szCs w:val="22"/>
        </w:rPr>
        <w:t xml:space="preserve"> </w:t>
      </w:r>
      <w:bookmarkEnd w:id="15"/>
    </w:p>
    <w:p w:rsidR="00692F01" w:rsidRPr="002D3E96" w:rsidP="0002221D" w14:paraId="1587FBC0" w14:textId="397FC8EC">
      <w:pPr>
        <w:pStyle w:val="Heading1"/>
      </w:pPr>
      <w:r w:rsidRPr="002D3E96">
        <w:rPr>
          <w:caps w:val="0"/>
        </w:rPr>
        <w:t>APPLICABLE LAW AND VIOLATIONS</w:t>
      </w:r>
    </w:p>
    <w:p w:rsidR="00B655B7" w:rsidRPr="009E37B0" w:rsidP="00713F52" w14:paraId="487F6D01" w14:textId="6B05E924">
      <w:pPr>
        <w:pStyle w:val="ParaNum"/>
        <w:widowControl/>
        <w:rPr>
          <w:szCs w:val="22"/>
        </w:rPr>
      </w:pPr>
      <w:r w:rsidRPr="002D3E96">
        <w:t>The Act and the Commission’s rules require that most radio frequency devices be properly authorized, identified, and labeled before they can be marketed in the United States.  Section 302(b) of the Act states that “[n]o</w:t>
      </w:r>
      <w:r w:rsidRPr="002D3E96">
        <w:rPr>
          <w:b/>
        </w:rPr>
        <w:t xml:space="preserve"> </w:t>
      </w:r>
      <w:r w:rsidRPr="002D3E96">
        <w:t>person shall manufacture, import, sell, offer for sale, or ship devices or home electronic equipment and systems, or use devices, which fail to comply with regulations promulgated pursuant to this section.”</w:t>
      </w:r>
      <w:r>
        <w:rPr>
          <w:rStyle w:val="FootnoteReference"/>
          <w:sz w:val="22"/>
          <w:szCs w:val="22"/>
        </w:rPr>
        <w:footnoteReference w:id="30"/>
      </w:r>
      <w:r w:rsidRPr="002D3E96">
        <w:t xml:space="preserve">  Section 2.803(b) of the Commission’s rules prohibits marketing devices unless they have been authorized in accordance with the Commission’s </w:t>
      </w:r>
      <w:r w:rsidRPr="00677240">
        <w:t xml:space="preserve">technical standards and </w:t>
      </w:r>
      <w:r w:rsidRPr="00DA21F2">
        <w:t xml:space="preserve">properly </w:t>
      </w:r>
      <w:r w:rsidRPr="00DA21F2">
        <w:rPr>
          <w:szCs w:val="22"/>
        </w:rPr>
        <w:t>identified and labeled.</w:t>
      </w:r>
      <w:r>
        <w:rPr>
          <w:rStyle w:val="FootnoteReference"/>
          <w:sz w:val="22"/>
          <w:szCs w:val="22"/>
        </w:rPr>
        <w:footnoteReference w:id="31"/>
      </w:r>
      <w:r w:rsidRPr="00DA21F2">
        <w:rPr>
          <w:szCs w:val="22"/>
        </w:rPr>
        <w:t xml:space="preserve">  </w:t>
      </w:r>
    </w:p>
    <w:p w:rsidR="00DD53FB" w:rsidP="0002221D" w14:paraId="2C59E488" w14:textId="6CC92AA0">
      <w:pPr>
        <w:pStyle w:val="ParaNum"/>
      </w:pPr>
      <w:r w:rsidRPr="009E37B0">
        <w:rPr>
          <w:szCs w:val="22"/>
        </w:rPr>
        <w:t>After examining the documentation Health and Med provided in response to the LOI</w:t>
      </w:r>
      <w:r w:rsidRPr="009E37B0" w:rsidR="00F15950">
        <w:rPr>
          <w:szCs w:val="22"/>
        </w:rPr>
        <w:t xml:space="preserve">, and its review of the </w:t>
      </w:r>
      <w:r w:rsidRPr="009E37B0" w:rsidR="00D23F18">
        <w:rPr>
          <w:szCs w:val="22"/>
        </w:rPr>
        <w:t>C</w:t>
      </w:r>
      <w:r w:rsidRPr="009E37B0" w:rsidR="00F15950">
        <w:rPr>
          <w:szCs w:val="22"/>
        </w:rPr>
        <w:t>ompany’s website</w:t>
      </w:r>
      <w:r w:rsidRPr="009E37B0">
        <w:rPr>
          <w:szCs w:val="22"/>
        </w:rPr>
        <w:t xml:space="preserve">, the </w:t>
      </w:r>
      <w:r w:rsidR="00536C33">
        <w:rPr>
          <w:szCs w:val="22"/>
        </w:rPr>
        <w:t>D</w:t>
      </w:r>
      <w:r w:rsidRPr="009E37B0">
        <w:rPr>
          <w:szCs w:val="22"/>
        </w:rPr>
        <w:t xml:space="preserve">ivision determined that </w:t>
      </w:r>
      <w:r w:rsidR="00717EDA">
        <w:rPr>
          <w:szCs w:val="22"/>
        </w:rPr>
        <w:t>14</w:t>
      </w:r>
      <w:r w:rsidRPr="009E37B0">
        <w:rPr>
          <w:szCs w:val="22"/>
        </w:rPr>
        <w:t xml:space="preserve"> </w:t>
      </w:r>
      <w:r w:rsidRPr="009E37B0" w:rsidR="002C0AA4">
        <w:rPr>
          <w:szCs w:val="22"/>
        </w:rPr>
        <w:t xml:space="preserve">of the </w:t>
      </w:r>
      <w:r w:rsidRPr="009E37B0">
        <w:rPr>
          <w:szCs w:val="22"/>
        </w:rPr>
        <w:t xml:space="preserve">models listed in the attached </w:t>
      </w:r>
      <w:r w:rsidRPr="009E37B0" w:rsidR="00950FE7">
        <w:rPr>
          <w:szCs w:val="22"/>
        </w:rPr>
        <w:t>A</w:t>
      </w:r>
      <w:r w:rsidRPr="009E37B0">
        <w:rPr>
          <w:szCs w:val="22"/>
        </w:rPr>
        <w:t>ppendix were not properly authorized prior to marketing on the Health and Med website</w:t>
      </w:r>
      <w:r w:rsidRPr="009E37B0" w:rsidR="00677240">
        <w:rPr>
          <w:szCs w:val="22"/>
        </w:rPr>
        <w:t>.</w:t>
      </w:r>
      <w:r w:rsidRPr="009E37B0" w:rsidR="008F6EE5">
        <w:rPr>
          <w:szCs w:val="22"/>
        </w:rPr>
        <w:t xml:space="preserve">  The test reports provided</w:t>
      </w:r>
      <w:r w:rsidRPr="009E37B0" w:rsidR="008F6EE5">
        <w:t xml:space="preserve"> </w:t>
      </w:r>
      <w:r w:rsidR="008F6EE5">
        <w:t>by the Company</w:t>
      </w:r>
      <w:r w:rsidRPr="002D3E96" w:rsidR="008F6EE5">
        <w:t xml:space="preserve"> indicated that the devices were radio frequency devices that required authorization prior to marketing in the United States, which the Company did </w:t>
      </w:r>
      <w:r w:rsidR="008F6EE5">
        <w:t>not have at the time</w:t>
      </w:r>
      <w:r w:rsidRPr="002D3E96" w:rsidR="008F6EE5">
        <w:t>.</w:t>
      </w:r>
      <w:r>
        <w:rPr>
          <w:rStyle w:val="FootnoteReference"/>
          <w:sz w:val="22"/>
          <w:szCs w:val="22"/>
        </w:rPr>
        <w:footnoteReference w:id="32"/>
      </w:r>
      <w:r w:rsidRPr="002D3E96" w:rsidR="008F6EE5">
        <w:t xml:space="preserve">  </w:t>
      </w:r>
      <w:r w:rsidRPr="00B655B7">
        <w:t xml:space="preserve">Whether classified as part 15 unintentional radiators or part 18 ISM equipment, an authorization was required prior to marketing, and the Company admits it marketed </w:t>
      </w:r>
      <w:r w:rsidR="002C0AA4">
        <w:t xml:space="preserve">at least fourteen </w:t>
      </w:r>
      <w:r w:rsidRPr="00B655B7">
        <w:t>models prior to any authorization.</w:t>
      </w:r>
      <w:r>
        <w:rPr>
          <w:rStyle w:val="FootnoteReference"/>
          <w:szCs w:val="22"/>
        </w:rPr>
        <w:footnoteReference w:id="33"/>
      </w:r>
      <w:r w:rsidRPr="00B655B7">
        <w:t xml:space="preserve"> </w:t>
      </w:r>
      <w:r w:rsidRPr="00B655B7">
        <w:rPr>
          <w:shd w:val="clear" w:color="auto" w:fill="FFFFFF"/>
        </w:rPr>
        <w:t xml:space="preserve"> </w:t>
      </w:r>
      <w:r w:rsidRPr="00B655B7">
        <w:t>Accordingly, based upon the information before us, we find that Health and Med violated section 302(b) of the Act and section 2.803(b)(1</w:t>
      </w:r>
      <w:r w:rsidR="001A04BB">
        <w:t xml:space="preserve">) </w:t>
      </w:r>
      <w:r w:rsidRPr="00B655B7">
        <w:t xml:space="preserve">of the </w:t>
      </w:r>
      <w:r w:rsidRPr="00B655B7">
        <w:rPr>
          <w:kern w:val="2"/>
        </w:rPr>
        <w:t>Commission’s rules</w:t>
      </w:r>
      <w:r w:rsidRPr="00B655B7">
        <w:t>.</w:t>
      </w:r>
      <w:r>
        <w:rPr>
          <w:rStyle w:val="FootnoteReference"/>
          <w:sz w:val="22"/>
          <w:szCs w:val="22"/>
        </w:rPr>
        <w:footnoteReference w:id="34"/>
      </w:r>
      <w:r w:rsidR="00717EDA">
        <w:t xml:space="preserve">  </w:t>
      </w:r>
    </w:p>
    <w:p w:rsidR="00DD53FB" w:rsidP="002262AA" w14:paraId="4DD012DA" w14:textId="21383293">
      <w:pPr>
        <w:pStyle w:val="Heading1"/>
      </w:pPr>
      <w:r w:rsidRPr="00F50EE4">
        <w:t>REQUEST FOR INFORMATION</w:t>
      </w:r>
    </w:p>
    <w:p w:rsidR="00DD53FB" w:rsidP="00DA7913" w14:paraId="1D053DD2" w14:textId="06B96B9C">
      <w:pPr>
        <w:pStyle w:val="ParaNum"/>
        <w:widowControl/>
      </w:pPr>
      <w:bookmarkStart w:id="17" w:name="_Ref95998176"/>
      <w:r>
        <w:t xml:space="preserve">Additionally, we seek information on the other two models, the IonizeME Maxx 5 and the IonizeME Touch, to confirm they are properly authorized.  </w:t>
      </w:r>
      <w:r>
        <w:t xml:space="preserve">We direct Health and Med to respond to the following inquiries and provide the requested documents within 30 days from the release date of this </w:t>
      </w:r>
      <w:r w:rsidR="0002221D">
        <w:t>C</w:t>
      </w:r>
      <w:r>
        <w:t>itation:</w:t>
      </w:r>
      <w:bookmarkEnd w:id="17"/>
      <w:r>
        <w:t xml:space="preserve">  </w:t>
      </w:r>
    </w:p>
    <w:p w:rsidR="0002221D" w:rsidRPr="0002221D" w:rsidP="0002221D" w14:paraId="4F367880" w14:textId="3F954656">
      <w:pPr>
        <w:pStyle w:val="ParaNum"/>
        <w:numPr>
          <w:ilvl w:val="0"/>
          <w:numId w:val="42"/>
        </w:numPr>
        <w:tabs>
          <w:tab w:val="left" w:pos="1440"/>
        </w:tabs>
        <w:rPr>
          <w:szCs w:val="22"/>
        </w:rPr>
      </w:pPr>
      <w:r>
        <w:t>Provide cop</w:t>
      </w:r>
      <w:r w:rsidR="00A71C68">
        <w:t>ies</w:t>
      </w:r>
      <w:r>
        <w:t xml:space="preserve"> of any equipment authorization</w:t>
      </w:r>
      <w:r w:rsidR="008F08F7">
        <w:t xml:space="preserve"> or test reports</w:t>
      </w:r>
      <w:r>
        <w:t xml:space="preserve"> </w:t>
      </w:r>
      <w:r w:rsidR="00A71C68">
        <w:t>for</w:t>
      </w:r>
      <w:r>
        <w:t xml:space="preserve"> the IonizeME Maxx 5 and the IonizeME Touch.</w:t>
      </w:r>
    </w:p>
    <w:p w:rsidR="0002221D" w:rsidP="0002221D" w14:paraId="67EE69BC" w14:textId="0504FF9F">
      <w:pPr>
        <w:pStyle w:val="ParaNum"/>
        <w:numPr>
          <w:ilvl w:val="0"/>
          <w:numId w:val="42"/>
        </w:numPr>
        <w:tabs>
          <w:tab w:val="left" w:pos="1440"/>
        </w:tabs>
        <w:rPr>
          <w:szCs w:val="22"/>
        </w:rPr>
      </w:pPr>
      <w:r>
        <w:t xml:space="preserve">Provide </w:t>
      </w:r>
      <w:r w:rsidR="00A71C68">
        <w:t xml:space="preserve">copies of the </w:t>
      </w:r>
      <w:r>
        <w:t xml:space="preserve">user manual and labeling for the </w:t>
      </w:r>
      <w:r w:rsidR="00713F52">
        <w:t>IonizeME Maxx 5 and the IonizeME Touch</w:t>
      </w:r>
      <w:r>
        <w:t>.</w:t>
      </w:r>
    </w:p>
    <w:p w:rsidR="00692F01" w:rsidRPr="002D3E96" w:rsidP="0002221D" w14:paraId="6996A0F9" w14:textId="09DD8BD6">
      <w:pPr>
        <w:pStyle w:val="Heading1"/>
      </w:pPr>
      <w:r w:rsidRPr="002D3E96">
        <w:rPr>
          <w:caps w:val="0"/>
        </w:rPr>
        <w:t>OPPORTUNITY TO RESPOND TO THIS CITATION</w:t>
      </w:r>
    </w:p>
    <w:p w:rsidR="00692F01" w:rsidRPr="002D3E96" w:rsidP="007C4E70" w14:paraId="52AA4ECA" w14:textId="77777777">
      <w:pPr>
        <w:pStyle w:val="ParaNum"/>
        <w:widowControl/>
        <w:numPr>
          <w:ilvl w:val="0"/>
          <w:numId w:val="16"/>
        </w:numPr>
        <w:tabs>
          <w:tab w:val="clear" w:pos="1080"/>
          <w:tab w:val="num" w:pos="1440"/>
        </w:tabs>
        <w:rPr>
          <w:szCs w:val="22"/>
        </w:rPr>
      </w:pPr>
      <w:r w:rsidRPr="002D3E96">
        <w:rPr>
          <w:szCs w:val="22"/>
        </w:rPr>
        <w:t xml:space="preserve">Health and Med may respond to this Citation within 30 calendar days from the release date of this Citation by any of the following methods:  (1) a written statement, (2) a teleconference interview, or (3) a personal interview at the Commission Field Office nearest to Company’s place of business.  The Commission Field Office nearest Health and Med is located in Los Angeles, California.    </w:t>
      </w:r>
    </w:p>
    <w:p w:rsidR="00692F01" w:rsidRPr="002D3E96" w:rsidP="009E37B0" w14:paraId="6A9D8F85" w14:textId="7C753F3F">
      <w:pPr>
        <w:pStyle w:val="ParaNum"/>
        <w:widowControl/>
        <w:numPr>
          <w:ilvl w:val="0"/>
          <w:numId w:val="16"/>
        </w:numPr>
        <w:tabs>
          <w:tab w:val="clear" w:pos="1080"/>
          <w:tab w:val="num" w:pos="1440"/>
        </w:tabs>
        <w:rPr>
          <w:szCs w:val="22"/>
        </w:rPr>
      </w:pPr>
      <w:r w:rsidRPr="002D3E96">
        <w:rPr>
          <w:szCs w:val="22"/>
        </w:rPr>
        <w:t xml:space="preserve">If Company requests a teleconference or personal interview, contact Jane Kelly at </w:t>
      </w:r>
      <w:hyperlink r:id="rId6" w:history="1">
        <w:r w:rsidRPr="002D3E96">
          <w:rPr>
            <w:rStyle w:val="Hyperlink"/>
            <w:szCs w:val="22"/>
          </w:rPr>
          <w:t>jane.kelly@fcc.gov</w:t>
        </w:r>
      </w:hyperlink>
      <w:r w:rsidRPr="002D3E96">
        <w:rPr>
          <w:szCs w:val="22"/>
        </w:rPr>
        <w:t xml:space="preserve"> </w:t>
      </w:r>
      <w:r w:rsidRPr="002D3E96">
        <w:rPr>
          <w:kern w:val="2"/>
          <w:szCs w:val="22"/>
        </w:rPr>
        <w:t xml:space="preserve">and </w:t>
      </w:r>
      <w:hyperlink r:id="rId7" w:history="1">
        <w:r w:rsidRPr="002D3E96">
          <w:rPr>
            <w:rStyle w:val="Hyperlink"/>
            <w:kern w:val="2"/>
            <w:szCs w:val="22"/>
          </w:rPr>
          <w:t>EB-SED-Response@fcc.gov</w:t>
        </w:r>
      </w:hyperlink>
      <w:r w:rsidRPr="002D3E96">
        <w:rPr>
          <w:kern w:val="2"/>
          <w:szCs w:val="22"/>
        </w:rPr>
        <w:t xml:space="preserve">. </w:t>
      </w:r>
      <w:r w:rsidRPr="002D3E96">
        <w:rPr>
          <w:szCs w:val="22"/>
        </w:rPr>
        <w:t xml:space="preserve"> We note that such teleconference or interview must take place within 30 calendar days of the release date of this Citation.  If Health and Med prefers to submit a written response with supporting documentation, it must send the response within 30 calendar days of the release date of this Citation to the contact provided in paragraph below. </w:t>
      </w:r>
    </w:p>
    <w:p w:rsidR="00692F01" w:rsidRPr="002D3E96" w:rsidP="00B655B7" w14:paraId="3997CFFC" w14:textId="39420E71">
      <w:pPr>
        <w:pStyle w:val="ParaNum"/>
        <w:numPr>
          <w:ilvl w:val="0"/>
          <w:numId w:val="16"/>
        </w:numPr>
        <w:tabs>
          <w:tab w:val="clear" w:pos="1080"/>
          <w:tab w:val="num" w:pos="1440"/>
        </w:tabs>
        <w:rPr>
          <w:szCs w:val="22"/>
        </w:rPr>
      </w:pPr>
      <w:r w:rsidRPr="002D3E96">
        <w:rPr>
          <w:szCs w:val="22"/>
        </w:rPr>
        <w:t xml:space="preserve">All written communications should be sent via e-mail to </w:t>
      </w:r>
      <w:hyperlink r:id="rId6" w:history="1">
        <w:r w:rsidRPr="002D3E96">
          <w:rPr>
            <w:rStyle w:val="Hyperlink"/>
            <w:szCs w:val="22"/>
          </w:rPr>
          <w:t>jane.kelly@fcc.gov</w:t>
        </w:r>
      </w:hyperlink>
      <w:r w:rsidRPr="002D3E96">
        <w:rPr>
          <w:szCs w:val="22"/>
        </w:rPr>
        <w:t xml:space="preserve"> and to </w:t>
      </w:r>
      <w:hyperlink r:id="rId8" w:history="1">
        <w:r w:rsidRPr="002D3E96">
          <w:rPr>
            <w:rStyle w:val="Hyperlink"/>
            <w:kern w:val="2"/>
            <w:szCs w:val="22"/>
          </w:rPr>
          <w:t>EB-SED Response@fcc.gov</w:t>
        </w:r>
      </w:hyperlink>
      <w:r w:rsidRPr="002D3E96">
        <w:rPr>
          <w:szCs w:val="22"/>
        </w:rPr>
        <w:t xml:space="preserve">, and the subject line of the e-mail should specify the Company name and its investigation File Number, </w:t>
      </w:r>
      <w:r w:rsidRPr="002D3E96">
        <w:rPr>
          <w:b/>
          <w:bCs/>
          <w:szCs w:val="22"/>
        </w:rPr>
        <w:t>EB-SED-19-00029853</w:t>
      </w:r>
      <w:r w:rsidRPr="002D3E96">
        <w:rPr>
          <w:szCs w:val="22"/>
        </w:rPr>
        <w:t xml:space="preserve">.  </w:t>
      </w:r>
      <w:r w:rsidRPr="002D3E96">
        <w:rPr>
          <w:rFonts w:eastAsia="ヒラギノ角ゴ Pro W3"/>
          <w:szCs w:val="22"/>
        </w:rPr>
        <w:t xml:space="preserve">Due to network file size restrictions, the Company should partition the response into </w:t>
      </w:r>
      <w:r w:rsidRPr="002D3E96">
        <w:rPr>
          <w:szCs w:val="22"/>
        </w:rPr>
        <w:t>separate</w:t>
      </w:r>
      <w:r w:rsidRPr="002D3E96">
        <w:rPr>
          <w:rFonts w:eastAsia="ヒラギノ角ゴ Pro W3"/>
          <w:szCs w:val="22"/>
        </w:rPr>
        <w:t xml:space="preserve"> e-mails of less than 10 MB, including attachments.  The Company should seek guidance in sufficient advance of the response deadline if it requires an alternative method of delivery.</w:t>
      </w:r>
    </w:p>
    <w:p w:rsidR="00692F01" w:rsidRPr="002D3E96" w:rsidP="00B655B7" w14:paraId="1012DB41" w14:textId="77777777">
      <w:pPr>
        <w:pStyle w:val="ParaNum"/>
        <w:numPr>
          <w:ilvl w:val="0"/>
          <w:numId w:val="16"/>
        </w:numPr>
        <w:tabs>
          <w:tab w:val="clear" w:pos="1080"/>
          <w:tab w:val="num" w:pos="1440"/>
        </w:tabs>
        <w:rPr>
          <w:szCs w:val="22"/>
        </w:rPr>
      </w:pPr>
      <w:r w:rsidRPr="002D3E96">
        <w:rPr>
          <w:szCs w:val="22"/>
        </w:rPr>
        <w:t>Upon request, the Commission will make reasonable accommodations for persons with disabilities.  If applicable, Health and Med should provide a description of the accommodation required, and include as much detail as possible, and also provide a telephone number and other contact information.  Health and Med should allow at least five business days advance notice; last minute requests will be accepted but may be impossible to fill.  Health and Med should send an e-mail to fcc504@fcc.gov or call the FCC’s Consumer &amp; Governmental Affairs Bureau:</w:t>
      </w:r>
    </w:p>
    <w:p w:rsidR="00692F01" w:rsidRPr="002D3E96" w:rsidP="002D3E96" w14:paraId="3E7204E3" w14:textId="77777777">
      <w:pPr>
        <w:spacing w:after="120"/>
        <w:rPr>
          <w:kern w:val="2"/>
          <w:szCs w:val="22"/>
        </w:rPr>
      </w:pPr>
      <w:r w:rsidRPr="002D3E96">
        <w:rPr>
          <w:kern w:val="2"/>
          <w:szCs w:val="22"/>
        </w:rPr>
        <w:t xml:space="preserve">      </w:t>
      </w:r>
      <w:r w:rsidRPr="002D3E96">
        <w:rPr>
          <w:kern w:val="2"/>
          <w:szCs w:val="22"/>
        </w:rPr>
        <w:tab/>
      </w:r>
      <w:r w:rsidRPr="002D3E96">
        <w:rPr>
          <w:kern w:val="2"/>
          <w:szCs w:val="22"/>
        </w:rPr>
        <w:tab/>
        <w:t xml:space="preserve">For sign language interpreters, CART, and other reasonable accommodations: </w:t>
      </w:r>
    </w:p>
    <w:p w:rsidR="00692F01" w:rsidRPr="002D3E96" w:rsidP="002D3E96" w14:paraId="37323BC0" w14:textId="77777777">
      <w:pPr>
        <w:spacing w:after="120"/>
        <w:rPr>
          <w:kern w:val="2"/>
          <w:szCs w:val="22"/>
        </w:rPr>
      </w:pPr>
      <w:r w:rsidRPr="002D3E96">
        <w:rPr>
          <w:kern w:val="2"/>
          <w:szCs w:val="22"/>
        </w:rPr>
        <w:tab/>
      </w:r>
      <w:r w:rsidRPr="002D3E96">
        <w:rPr>
          <w:kern w:val="2"/>
          <w:szCs w:val="22"/>
        </w:rPr>
        <w:tab/>
        <w:t>202-418-0530 (voice), 202-418-0432 (tty);</w:t>
      </w:r>
    </w:p>
    <w:p w:rsidR="00692F01" w:rsidRPr="002D3E96" w:rsidP="002D3E96" w14:paraId="1D2B12F0" w14:textId="77777777">
      <w:pPr>
        <w:spacing w:after="120"/>
        <w:rPr>
          <w:b/>
          <w:kern w:val="2"/>
          <w:szCs w:val="22"/>
        </w:rPr>
      </w:pPr>
      <w:r w:rsidRPr="002D3E96">
        <w:rPr>
          <w:kern w:val="2"/>
          <w:szCs w:val="22"/>
        </w:rPr>
        <w:t xml:space="preserve">      </w:t>
      </w:r>
      <w:r w:rsidRPr="002D3E96">
        <w:rPr>
          <w:kern w:val="2"/>
          <w:szCs w:val="22"/>
        </w:rPr>
        <w:tab/>
      </w:r>
      <w:r w:rsidRPr="002D3E96">
        <w:rPr>
          <w:kern w:val="2"/>
          <w:szCs w:val="22"/>
        </w:rPr>
        <w:tab/>
        <w:t xml:space="preserve">For accessible format materials (braille, large print, electronic files, and audio format): </w:t>
      </w:r>
      <w:r w:rsidRPr="002D3E96">
        <w:rPr>
          <w:kern w:val="2"/>
          <w:szCs w:val="22"/>
        </w:rPr>
        <w:tab/>
      </w:r>
      <w:r w:rsidRPr="002D3E96">
        <w:rPr>
          <w:kern w:val="2"/>
          <w:szCs w:val="22"/>
        </w:rPr>
        <w:tab/>
      </w:r>
      <w:r w:rsidRPr="002D3E96">
        <w:rPr>
          <w:kern w:val="2"/>
          <w:szCs w:val="22"/>
        </w:rPr>
        <w:tab/>
        <w:t>202-418-0531 (voice), 202-418-7365 (tty).</w:t>
      </w:r>
      <w:r w:rsidRPr="002D3E96">
        <w:rPr>
          <w:b/>
          <w:kern w:val="2"/>
          <w:szCs w:val="22"/>
        </w:rPr>
        <w:t xml:space="preserve">  </w:t>
      </w:r>
    </w:p>
    <w:p w:rsidR="00692F01" w:rsidRPr="00A5286A" w:rsidP="006F5714" w14:paraId="18824107" w14:textId="04907E5F">
      <w:pPr>
        <w:pStyle w:val="ParaNum"/>
        <w:rPr>
          <w:bCs/>
          <w:kern w:val="2"/>
        </w:rPr>
      </w:pPr>
      <w:r w:rsidRPr="002D3E96">
        <w:rPr>
          <w:kern w:val="2"/>
        </w:rPr>
        <w:t xml:space="preserve">We advise </w:t>
      </w:r>
      <w:r w:rsidRPr="002D3E96">
        <w:t xml:space="preserve">Company </w:t>
      </w:r>
      <w:r w:rsidRPr="002D3E96">
        <w:rPr>
          <w:kern w:val="2"/>
        </w:rPr>
        <w:t>th</w:t>
      </w:r>
      <w:r w:rsidRPr="002D3E96">
        <w:t>at it is a violation of section 1.17 of the Commission’s rules for any person to make any false or misleading written or oral statement of fact to the Commission.</w:t>
      </w:r>
      <w:r>
        <w:rPr>
          <w:rStyle w:val="FootnoteReference"/>
          <w:sz w:val="22"/>
          <w:szCs w:val="22"/>
        </w:rPr>
        <w:footnoteReference w:id="35"/>
      </w:r>
      <w:r w:rsidRPr="002D3E96">
        <w:t xml:space="preserve">  Specifically, no person shall:</w:t>
      </w:r>
    </w:p>
    <w:p w:rsidR="006F5714" w:rsidP="006F5714" w14:paraId="25483531" w14:textId="77777777">
      <w:pPr>
        <w:pStyle w:val="ParaNum"/>
        <w:numPr>
          <w:ilvl w:val="0"/>
          <w:numId w:val="0"/>
        </w:numPr>
        <w:ind w:left="1440"/>
        <w:rPr>
          <w:snapToGrid/>
        </w:rPr>
      </w:pPr>
      <w: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6F5714" w:rsidP="006F5714" w14:paraId="5E2D6E5E" w14:textId="77777777">
      <w:pPr>
        <w:pStyle w:val="ParaNum"/>
        <w:numPr>
          <w:ilvl w:val="0"/>
          <w:numId w:val="0"/>
        </w:numPr>
        <w:ind w:left="1440"/>
      </w:pPr>
      <w: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B655B7" w:rsidP="006F5714" w14:paraId="1E4CE6BF" w14:textId="3556265A">
      <w:pPr>
        <w:pStyle w:val="ParaNum"/>
      </w:pPr>
      <w:r w:rsidRPr="002D3E96">
        <w:t>Further, the knowing and willful making of any false statement, or the concealment of any material fact, in reply to this Citation is punishable by fine or imprisonment.</w:t>
      </w:r>
      <w:r>
        <w:rPr>
          <w:rStyle w:val="FootnoteReference"/>
          <w:kern w:val="2"/>
          <w:sz w:val="22"/>
          <w:szCs w:val="22"/>
        </w:rPr>
        <w:footnoteReference w:id="36"/>
      </w:r>
    </w:p>
    <w:p w:rsidR="00B655B7" w:rsidP="006F5714" w14:paraId="64CBBD62" w14:textId="450A27E8">
      <w:pPr>
        <w:pStyle w:val="ParaNum"/>
      </w:pPr>
      <w:r w:rsidRPr="00B655B7">
        <w:t>Violations of section 1.17 of the Commission’s rules or the criminal statute referenced above may result in further legal action, including monetary forfeitures pursuant to section 503 of the Act.</w:t>
      </w:r>
    </w:p>
    <w:p w:rsidR="00692F01" w:rsidRPr="00B655B7" w:rsidP="009E37B0" w14:paraId="4C08ADF3" w14:textId="31A9C79F">
      <w:pPr>
        <w:pStyle w:val="ParaNum"/>
        <w:widowControl/>
      </w:pPr>
      <w:r w:rsidRPr="00B655B7">
        <w:t>Finally, we warn Company that, under the Privacy Act of 1974,</w:t>
      </w:r>
      <w:r>
        <w:rPr>
          <w:rStyle w:val="FootnoteReference"/>
          <w:kern w:val="2"/>
          <w:sz w:val="22"/>
          <w:szCs w:val="22"/>
        </w:rPr>
        <w:footnoteReference w:id="37"/>
      </w:r>
      <w:r w:rsidRPr="00B655B7">
        <w:t xml:space="preserve"> Commission staff will use all relevant material information before it, including information disclosed in interviews or written </w:t>
      </w:r>
      <w:r w:rsidRPr="00B655B7">
        <w:t>statements, to determine what, if any, enforcement action is required to ensure Health and Med’s compliance with the Act and the Commission’s rules.</w:t>
      </w:r>
      <w:r>
        <w:rPr>
          <w:rStyle w:val="FootnoteReference"/>
          <w:sz w:val="22"/>
          <w:szCs w:val="22"/>
        </w:rPr>
        <w:footnoteReference w:id="38"/>
      </w:r>
    </w:p>
    <w:p w:rsidR="00692F01" w:rsidRPr="002D3E96" w:rsidP="006F5714" w14:paraId="04062656" w14:textId="1D4AAB08">
      <w:pPr>
        <w:pStyle w:val="Heading1"/>
      </w:pPr>
      <w:r w:rsidRPr="002D3E96">
        <w:rPr>
          <w:caps w:val="0"/>
        </w:rPr>
        <w:t>FUTURE VIOLATIONS</w:t>
      </w:r>
    </w:p>
    <w:p w:rsidR="00692F01" w:rsidRPr="002D3E96" w:rsidP="006F5714" w14:paraId="7AF969A9" w14:textId="6204F4CD">
      <w:pPr>
        <w:pStyle w:val="ParaNum"/>
      </w:pPr>
      <w:r w:rsidRPr="002D3E96">
        <w:t>If, after receipt of this Citation, Health and Med again violates section 302 of the Act and</w:t>
      </w:r>
      <w:r w:rsidR="00177098">
        <w:t>/or</w:t>
      </w:r>
      <w:r w:rsidRPr="002D3E96">
        <w:t xml:space="preserve"> section 2.803</w:t>
      </w:r>
      <w:r w:rsidR="000D0597">
        <w:t>,</w:t>
      </w:r>
      <w:r w:rsidR="008F08F7">
        <w:rPr>
          <w:bdr w:val="none" w:sz="0" w:space="0" w:color="auto" w:frame="1"/>
        </w:rPr>
        <w:t xml:space="preserve"> and parts</w:t>
      </w:r>
      <w:r w:rsidR="000D0597">
        <w:rPr>
          <w:bdr w:val="none" w:sz="0" w:space="0" w:color="auto" w:frame="1"/>
        </w:rPr>
        <w:t xml:space="preserve"> 2,</w:t>
      </w:r>
      <w:r w:rsidR="008F08F7">
        <w:rPr>
          <w:bdr w:val="none" w:sz="0" w:space="0" w:color="auto" w:frame="1"/>
        </w:rPr>
        <w:t xml:space="preserve"> 15</w:t>
      </w:r>
      <w:r w:rsidR="000D0597">
        <w:rPr>
          <w:bdr w:val="none" w:sz="0" w:space="0" w:color="auto" w:frame="1"/>
        </w:rPr>
        <w:t>,</w:t>
      </w:r>
      <w:r w:rsidR="008F08F7">
        <w:rPr>
          <w:bdr w:val="none" w:sz="0" w:space="0" w:color="auto" w:frame="1"/>
        </w:rPr>
        <w:t xml:space="preserve"> and/or 18 of </w:t>
      </w:r>
      <w:r w:rsidRPr="002D3E96">
        <w:t>the Commission’s rules by engaging in conduct of the type described herein, the Commission may impose sanctions for each such violation.  For example, the Commission may impose monetary forfeitures not to exceed $22,021 for each such violation or each day of a continuing violation, and up to $165,159 for any single act or failure to act.</w:t>
      </w:r>
      <w:r>
        <w:rPr>
          <w:rStyle w:val="FootnoteReference"/>
          <w:sz w:val="22"/>
          <w:szCs w:val="22"/>
        </w:rPr>
        <w:footnoteReference w:id="39"/>
      </w:r>
      <w:r w:rsidRPr="002D3E96">
        <w:t xml:space="preserve">  The Commission may further adjust the forfeiture reflecting enumerated statutory factors, which include the nature, circumstances, extent, and gravity of the violation, and with respect to the violator, the degree of culpability, any history of prior offenses, ability to pay, and other such matters as justice may require.</w:t>
      </w:r>
      <w:r>
        <w:rPr>
          <w:rStyle w:val="FootnoteReference"/>
          <w:sz w:val="22"/>
          <w:szCs w:val="22"/>
        </w:rPr>
        <w:footnoteReference w:id="40"/>
      </w:r>
      <w:r w:rsidRPr="002D3E96">
        <w:t xml:space="preserve">  Further, as discussed above, the Commission may assess forfeitures on both the conduct that led to this Citation and the conduct following it.</w:t>
      </w:r>
      <w:r>
        <w:rPr>
          <w:rStyle w:val="FootnoteReference"/>
          <w:sz w:val="22"/>
          <w:szCs w:val="22"/>
        </w:rPr>
        <w:footnoteReference w:id="41"/>
      </w:r>
      <w:r w:rsidRPr="002D3E96">
        <w:t xml:space="preserve">  </w:t>
      </w:r>
    </w:p>
    <w:p w:rsidR="00692F01" w:rsidRPr="002D3E96" w:rsidP="006F5714" w14:paraId="4D576FFB" w14:textId="77777777">
      <w:pPr>
        <w:pStyle w:val="Heading1"/>
      </w:pPr>
      <w:r w:rsidRPr="002D3E96">
        <w:t>ORDERING CLAUSES</w:t>
      </w:r>
    </w:p>
    <w:p w:rsidR="00692F01" w:rsidP="006F5714" w14:paraId="2E6FC621" w14:textId="1B6CAF11">
      <w:pPr>
        <w:pStyle w:val="ParaNum"/>
        <w:rPr>
          <w:noProof/>
        </w:rPr>
      </w:pPr>
      <w:r w:rsidRPr="002D3E96">
        <w:t xml:space="preserve">Accordingly, </w:t>
      </w:r>
      <w:r w:rsidRPr="002D3E96">
        <w:rPr>
          <w:b/>
        </w:rPr>
        <w:t>IT IS ORDERED</w:t>
      </w:r>
      <w:r w:rsidRPr="002D3E96">
        <w:t xml:space="preserve"> that, pursuant to s</w:t>
      </w:r>
      <w:r w:rsidRPr="002D3E96">
        <w:rPr>
          <w:noProof/>
        </w:rPr>
        <w:t>ections 4(i) and 4(j) of the Act,</w:t>
      </w:r>
      <w:r>
        <w:rPr>
          <w:rStyle w:val="FootnoteReference"/>
          <w:noProof/>
          <w:sz w:val="22"/>
          <w:szCs w:val="22"/>
        </w:rPr>
        <w:footnoteReference w:id="42"/>
      </w:r>
      <w:r w:rsidRPr="002D3E96">
        <w:rPr>
          <w:noProof/>
        </w:rPr>
        <w:t xml:space="preserve"> </w:t>
      </w:r>
      <w:r w:rsidRPr="002D3E96">
        <w:t xml:space="preserve">Health and Med </w:t>
      </w:r>
      <w:r w:rsidRPr="002D3E96">
        <w:rPr>
          <w:noProof/>
        </w:rPr>
        <w:t xml:space="preserve">must cease and desist from marketing unauthorized </w:t>
      </w:r>
      <w:r w:rsidRPr="002D3E96">
        <w:t xml:space="preserve">radio frequency </w:t>
      </w:r>
      <w:r w:rsidRPr="002D3E96">
        <w:rPr>
          <w:noProof/>
        </w:rPr>
        <w:t>equipment,</w:t>
      </w:r>
      <w:r w:rsidRPr="002D3E96">
        <w:t xml:space="preserve"> in violation of section 302 of the Act and section 2.803</w:t>
      </w:r>
      <w:r w:rsidRPr="002D3E96" w:rsidR="006D30CB">
        <w:rPr>
          <w:bdr w:val="none" w:sz="0" w:space="0" w:color="auto" w:frame="1"/>
        </w:rPr>
        <w:t xml:space="preserve"> </w:t>
      </w:r>
      <w:r w:rsidR="006D30CB">
        <w:rPr>
          <w:bdr w:val="none" w:sz="0" w:space="0" w:color="auto" w:frame="1"/>
        </w:rPr>
        <w:t>of t</w:t>
      </w:r>
      <w:r w:rsidRPr="002D3E96">
        <w:t>he Commission’s rules.</w:t>
      </w:r>
      <w:r>
        <w:rPr>
          <w:rStyle w:val="FootnoteReference"/>
          <w:sz w:val="22"/>
          <w:szCs w:val="22"/>
        </w:rPr>
        <w:footnoteReference w:id="43"/>
      </w:r>
      <w:r w:rsidRPr="002D3E96">
        <w:rPr>
          <w:noProof/>
        </w:rPr>
        <w:t xml:space="preserve">  </w:t>
      </w:r>
    </w:p>
    <w:p w:rsidR="00B62B26" w:rsidRPr="00B655B7" w:rsidP="006F5714" w14:paraId="24A6233A" w14:textId="453F6C41">
      <w:pPr>
        <w:pStyle w:val="ParaNum"/>
        <w:rPr>
          <w:noProof/>
        </w:rPr>
      </w:pPr>
      <w:r>
        <w:rPr>
          <w:b/>
          <w:noProof/>
        </w:rPr>
        <w:t xml:space="preserve">IT IS </w:t>
      </w:r>
      <w:r w:rsidRPr="002D3E96">
        <w:rPr>
          <w:b/>
          <w:noProof/>
        </w:rPr>
        <w:t>FURTHER ORDERED</w:t>
      </w:r>
      <w:r w:rsidRPr="002D3E96">
        <w:rPr>
          <w:noProof/>
        </w:rPr>
        <w:t xml:space="preserve"> that, pursuant to sections 4(i), 4(j), and 403 of the Act,</w:t>
      </w:r>
      <w:r>
        <w:rPr>
          <w:rStyle w:val="FootnoteReference"/>
          <w:noProof/>
          <w:sz w:val="22"/>
          <w:szCs w:val="22"/>
        </w:rPr>
        <w:footnoteReference w:id="44"/>
      </w:r>
      <w:r w:rsidRPr="002D3E96">
        <w:rPr>
          <w:noProof/>
        </w:rPr>
        <w:t xml:space="preserve">  Health and Med must provide the written information requested in paragraph</w:t>
      </w:r>
      <w:r w:rsidR="00503DC5">
        <w:rPr>
          <w:noProof/>
        </w:rPr>
        <w:t xml:space="preserve"> </w:t>
      </w:r>
      <w:r w:rsidR="007F3205">
        <w:rPr>
          <w:noProof/>
        </w:rPr>
        <w:fldChar w:fldCharType="begin"/>
      </w:r>
      <w:r w:rsidR="007F3205">
        <w:rPr>
          <w:noProof/>
        </w:rPr>
        <w:instrText xml:space="preserve"> REF _Ref95998176 \r \h </w:instrText>
      </w:r>
      <w:r w:rsidR="007F3205">
        <w:rPr>
          <w:noProof/>
        </w:rPr>
        <w:fldChar w:fldCharType="separate"/>
      </w:r>
      <w:r w:rsidR="002A4E1C">
        <w:rPr>
          <w:noProof/>
        </w:rPr>
        <w:t>12</w:t>
      </w:r>
      <w:r w:rsidR="007F3205">
        <w:rPr>
          <w:noProof/>
        </w:rPr>
        <w:fldChar w:fldCharType="end"/>
      </w:r>
      <w:r w:rsidR="00950FC5">
        <w:rPr>
          <w:noProof/>
        </w:rPr>
        <w:t xml:space="preserve"> </w:t>
      </w:r>
      <w:r w:rsidRPr="002D3E96">
        <w:rPr>
          <w:noProof/>
        </w:rPr>
        <w:t>above.  Health and Med</w:t>
      </w:r>
      <w:r w:rsidR="00503DC5">
        <w:rPr>
          <w:noProof/>
        </w:rPr>
        <w:t xml:space="preserve"> </w:t>
      </w:r>
      <w:r w:rsidRPr="002D3E96">
        <w:rPr>
          <w:noProof/>
        </w:rPr>
        <w:t xml:space="preserve">must </w:t>
      </w:r>
      <w:r w:rsidRPr="002D3E96">
        <w:rPr>
          <w:noProof/>
          <w:color w:val="000000"/>
        </w:rPr>
        <w:t>support its responses with an affidavit or declaration under penalty of perjury, signed and dated by an authorized officer of Health and Med with personal knowledge of the representations provided in the response, verifying the truth and accuracy of the information therein and that all of the information requested has been produced</w:t>
      </w:r>
      <w:r w:rsidRPr="002D3E96">
        <w:rPr>
          <w:noProof/>
        </w:rPr>
        <w:t xml:space="preserve">.  </w:t>
      </w:r>
      <w:r w:rsidRPr="002D3E96">
        <w:t>All such declarations provided must comply with section 1.16 of the Commission’s rules and be substantially in the form set forth therein.</w:t>
      </w:r>
      <w:r>
        <w:rPr>
          <w:vertAlign w:val="superscript"/>
        </w:rPr>
        <w:footnoteReference w:id="45"/>
      </w:r>
      <w:r w:rsidRPr="002D3E96">
        <w:t xml:space="preserve">  </w:t>
      </w:r>
      <w:r w:rsidRPr="002D3E96">
        <w:rPr>
          <w:noProof/>
        </w:rPr>
        <w:t>The FCC must receive the response within 30 calendar days of the release date of this Citation and Order.</w:t>
      </w:r>
    </w:p>
    <w:p w:rsidR="00692F01" w:rsidRPr="002D3E96" w:rsidP="009E37B0" w14:paraId="33A2932D" w14:textId="06A32669">
      <w:pPr>
        <w:pStyle w:val="ParaNum"/>
        <w:keepNext/>
        <w:keepLines/>
        <w:widowControl/>
        <w:rPr>
          <w:kern w:val="2"/>
        </w:rPr>
      </w:pPr>
      <w:r w:rsidRPr="002D3E96">
        <w:rPr>
          <w:b/>
        </w:rPr>
        <w:t>IT IS FURTHER ORDERED</w:t>
      </w:r>
      <w:r w:rsidRPr="002D3E96">
        <w:t xml:space="preserve"> that a copy of this Citation and Order shall be sent by </w:t>
      </w:r>
      <w:r w:rsidR="00872189">
        <w:t xml:space="preserve">email and by </w:t>
      </w:r>
      <w:r w:rsidRPr="002D3E96">
        <w:t xml:space="preserve">first class mail and certified mail, return receipt requested, to Mr. Mark Axelson, CEO, </w:t>
      </w:r>
      <w:r w:rsidRPr="002D3E96">
        <w:rPr>
          <w:spacing w:val="-2"/>
        </w:rPr>
        <w:t>Health and Medical Sales, Inc. dba</w:t>
      </w:r>
      <w:r w:rsidRPr="002D3E96">
        <w:t xml:space="preserve"> HealthandMed.com, 788 North 2150 W, Cedar City, Utah 84721-8487.</w:t>
      </w:r>
    </w:p>
    <w:p w:rsidR="00692F01" w:rsidRPr="002D3E96" w:rsidP="009E37B0" w14:paraId="7EF4E868" w14:textId="77777777">
      <w:pPr>
        <w:keepNext/>
        <w:keepLines/>
        <w:widowControl/>
        <w:rPr>
          <w:szCs w:val="22"/>
        </w:rPr>
      </w:pPr>
    </w:p>
    <w:p w:rsidR="00692F01" w:rsidRPr="002D3E96" w:rsidP="009E37B0" w14:paraId="1484CD6D" w14:textId="77777777">
      <w:pPr>
        <w:keepNext/>
        <w:keepLines/>
        <w:widowControl/>
        <w:rPr>
          <w:szCs w:val="22"/>
        </w:rPr>
      </w:pPr>
    </w:p>
    <w:p w:rsidR="00692F01" w:rsidRPr="002D3E96" w:rsidP="009E37B0" w14:paraId="45C99AF3" w14:textId="77777777">
      <w:pPr>
        <w:keepNext/>
        <w:keepLines/>
        <w:widowControl/>
        <w:rPr>
          <w:szCs w:val="22"/>
        </w:rPr>
      </w:pPr>
      <w:r w:rsidRPr="002D3E96">
        <w:rPr>
          <w:szCs w:val="22"/>
        </w:rPr>
        <w:tab/>
      </w:r>
      <w:r w:rsidRPr="002D3E96">
        <w:rPr>
          <w:szCs w:val="22"/>
        </w:rPr>
        <w:tab/>
      </w:r>
      <w:r w:rsidRPr="002D3E96">
        <w:rPr>
          <w:szCs w:val="22"/>
        </w:rPr>
        <w:tab/>
      </w:r>
      <w:r w:rsidRPr="002D3E96">
        <w:rPr>
          <w:szCs w:val="22"/>
        </w:rPr>
        <w:tab/>
      </w:r>
      <w:r w:rsidRPr="002D3E96">
        <w:rPr>
          <w:szCs w:val="22"/>
        </w:rPr>
        <w:tab/>
      </w:r>
      <w:r w:rsidRPr="002D3E96">
        <w:rPr>
          <w:szCs w:val="22"/>
        </w:rPr>
        <w:tab/>
        <w:t>FEDERAL COMMUNICATIONS COMMISSION</w:t>
      </w:r>
    </w:p>
    <w:p w:rsidR="00692F01" w:rsidRPr="002D3E96" w:rsidP="009E37B0" w14:paraId="624A39A3" w14:textId="77777777">
      <w:pPr>
        <w:keepNext/>
        <w:keepLines/>
        <w:widowControl/>
        <w:rPr>
          <w:szCs w:val="22"/>
        </w:rPr>
      </w:pPr>
    </w:p>
    <w:p w:rsidR="00692F01" w:rsidRPr="002D3E96" w:rsidP="009E37B0" w14:paraId="5492087E" w14:textId="77777777">
      <w:pPr>
        <w:keepNext/>
        <w:keepLines/>
        <w:widowControl/>
        <w:rPr>
          <w:szCs w:val="22"/>
        </w:rPr>
      </w:pPr>
    </w:p>
    <w:p w:rsidR="00692F01" w:rsidRPr="002D3E96" w:rsidP="009E37B0" w14:paraId="015CA14B" w14:textId="77777777">
      <w:pPr>
        <w:keepNext/>
        <w:keepLines/>
        <w:widowControl/>
        <w:rPr>
          <w:szCs w:val="22"/>
        </w:rPr>
      </w:pPr>
    </w:p>
    <w:p w:rsidR="00692F01" w:rsidRPr="002D3E96" w:rsidP="009E37B0" w14:paraId="59A473B7" w14:textId="77777777">
      <w:pPr>
        <w:keepNext/>
        <w:keepLines/>
        <w:widowControl/>
        <w:rPr>
          <w:szCs w:val="22"/>
        </w:rPr>
      </w:pPr>
    </w:p>
    <w:p w:rsidR="00692F01" w:rsidRPr="002D3E96" w:rsidP="009E37B0" w14:paraId="14F81989" w14:textId="77777777">
      <w:pPr>
        <w:keepNext/>
        <w:keepLines/>
        <w:widowControl/>
        <w:rPr>
          <w:szCs w:val="22"/>
        </w:rPr>
      </w:pPr>
      <w:r w:rsidRPr="002D3E96">
        <w:rPr>
          <w:szCs w:val="22"/>
        </w:rPr>
        <w:tab/>
      </w:r>
      <w:r w:rsidRPr="002D3E96">
        <w:rPr>
          <w:szCs w:val="22"/>
        </w:rPr>
        <w:tab/>
      </w:r>
      <w:r w:rsidRPr="002D3E96">
        <w:rPr>
          <w:szCs w:val="22"/>
        </w:rPr>
        <w:tab/>
      </w:r>
      <w:r w:rsidRPr="002D3E96">
        <w:rPr>
          <w:szCs w:val="22"/>
        </w:rPr>
        <w:tab/>
      </w:r>
      <w:r w:rsidRPr="002D3E96">
        <w:rPr>
          <w:szCs w:val="22"/>
        </w:rPr>
        <w:tab/>
      </w:r>
      <w:r w:rsidRPr="002D3E96">
        <w:rPr>
          <w:szCs w:val="22"/>
        </w:rPr>
        <w:tab/>
        <w:t xml:space="preserve">Elizabeth Y. Mumaw </w:t>
      </w:r>
    </w:p>
    <w:p w:rsidR="00692F01" w:rsidRPr="002D3E96" w:rsidP="009E37B0" w14:paraId="0CF86AD9" w14:textId="77777777">
      <w:pPr>
        <w:keepNext/>
        <w:keepLines/>
        <w:widowControl/>
        <w:rPr>
          <w:szCs w:val="22"/>
        </w:rPr>
      </w:pPr>
      <w:r w:rsidRPr="002D3E96">
        <w:rPr>
          <w:szCs w:val="22"/>
        </w:rPr>
        <w:tab/>
      </w:r>
      <w:r w:rsidRPr="002D3E96">
        <w:rPr>
          <w:szCs w:val="22"/>
        </w:rPr>
        <w:tab/>
      </w:r>
      <w:r w:rsidRPr="002D3E96">
        <w:rPr>
          <w:szCs w:val="22"/>
        </w:rPr>
        <w:tab/>
      </w:r>
      <w:r w:rsidRPr="002D3E96">
        <w:rPr>
          <w:szCs w:val="22"/>
        </w:rPr>
        <w:tab/>
      </w:r>
      <w:r w:rsidRPr="002D3E96">
        <w:rPr>
          <w:szCs w:val="22"/>
        </w:rPr>
        <w:tab/>
      </w:r>
      <w:r w:rsidRPr="002D3E96">
        <w:rPr>
          <w:szCs w:val="22"/>
        </w:rPr>
        <w:tab/>
        <w:t>Chief</w:t>
      </w:r>
    </w:p>
    <w:p w:rsidR="00692F01" w:rsidRPr="002D3E96" w:rsidP="009E37B0" w14:paraId="3127C4A6" w14:textId="6D1EE449">
      <w:pPr>
        <w:keepNext/>
        <w:keepLines/>
        <w:widowControl/>
        <w:rPr>
          <w:szCs w:val="22"/>
        </w:rPr>
      </w:pPr>
      <w:r w:rsidRPr="002D3E96">
        <w:rPr>
          <w:szCs w:val="22"/>
        </w:rPr>
        <w:tab/>
      </w:r>
      <w:r w:rsidRPr="002D3E96">
        <w:rPr>
          <w:szCs w:val="22"/>
        </w:rPr>
        <w:tab/>
      </w:r>
      <w:r w:rsidRPr="002D3E96">
        <w:rPr>
          <w:szCs w:val="22"/>
        </w:rPr>
        <w:tab/>
      </w:r>
      <w:r w:rsidRPr="002D3E96">
        <w:rPr>
          <w:szCs w:val="22"/>
        </w:rPr>
        <w:tab/>
      </w:r>
      <w:r w:rsidRPr="002D3E96">
        <w:rPr>
          <w:szCs w:val="22"/>
        </w:rPr>
        <w:tab/>
      </w:r>
      <w:r w:rsidRPr="002D3E96">
        <w:rPr>
          <w:szCs w:val="22"/>
        </w:rPr>
        <w:tab/>
        <w:t xml:space="preserve">Spectrum Enforcement </w:t>
      </w:r>
      <w:r w:rsidR="00177098">
        <w:rPr>
          <w:szCs w:val="22"/>
        </w:rPr>
        <w:t>Division</w:t>
      </w:r>
    </w:p>
    <w:p w:rsidR="00692F01" w:rsidP="009E37B0" w14:paraId="5DAFE886" w14:textId="5AC76E40">
      <w:pPr>
        <w:keepNext/>
        <w:keepLines/>
        <w:widowControl/>
        <w:rPr>
          <w:szCs w:val="22"/>
        </w:rPr>
      </w:pPr>
      <w:r w:rsidRPr="002D3E96">
        <w:rPr>
          <w:szCs w:val="22"/>
        </w:rPr>
        <w:tab/>
      </w:r>
      <w:r w:rsidRPr="002D3E96">
        <w:rPr>
          <w:szCs w:val="22"/>
        </w:rPr>
        <w:tab/>
      </w:r>
      <w:r w:rsidRPr="002D3E96">
        <w:rPr>
          <w:szCs w:val="22"/>
        </w:rPr>
        <w:tab/>
      </w:r>
      <w:r w:rsidRPr="002D3E96">
        <w:rPr>
          <w:szCs w:val="22"/>
        </w:rPr>
        <w:tab/>
      </w:r>
      <w:r w:rsidRPr="002D3E96">
        <w:rPr>
          <w:szCs w:val="22"/>
        </w:rPr>
        <w:tab/>
      </w:r>
      <w:r w:rsidRPr="002D3E96">
        <w:rPr>
          <w:szCs w:val="22"/>
        </w:rPr>
        <w:tab/>
        <w:t>Enforcement Bureau</w:t>
      </w:r>
    </w:p>
    <w:p w:rsidR="0010592E" w14:paraId="11C087AF" w14:textId="77777777">
      <w:pPr>
        <w:widowControl/>
        <w:rPr>
          <w:b/>
          <w:bCs/>
          <w:szCs w:val="22"/>
        </w:rPr>
      </w:pPr>
      <w:bookmarkStart w:id="18" w:name="_Hlk64549318"/>
      <w:r>
        <w:rPr>
          <w:b/>
          <w:bCs/>
          <w:szCs w:val="22"/>
        </w:rPr>
        <w:br w:type="page"/>
      </w:r>
    </w:p>
    <w:p w:rsidR="009264B2" w:rsidRPr="002D3E96" w:rsidP="00A00550" w14:paraId="2C569CB2" w14:textId="155C51F3">
      <w:pPr>
        <w:jc w:val="center"/>
        <w:rPr>
          <w:b/>
          <w:bCs/>
          <w:szCs w:val="22"/>
        </w:rPr>
      </w:pPr>
      <w:r>
        <w:rPr>
          <w:b/>
          <w:bCs/>
          <w:szCs w:val="22"/>
        </w:rPr>
        <w:t>APPENDIX</w:t>
      </w:r>
    </w:p>
    <w:p w:rsidR="00A00550" w:rsidRPr="00477BA9" w:rsidP="00A00550" w14:paraId="66A41E46" w14:textId="77777777">
      <w:pPr>
        <w:jc w:val="center"/>
        <w:rPr>
          <w:szCs w:val="22"/>
        </w:rPr>
      </w:pPr>
    </w:p>
    <w:p w:rsidR="00395AD8" w:rsidRPr="00477BA9" w:rsidP="00A00550" w14:paraId="3719FF84" w14:textId="40162357">
      <w:pPr>
        <w:jc w:val="center"/>
        <w:rPr>
          <w:b/>
          <w:bCs/>
          <w:szCs w:val="22"/>
        </w:rPr>
      </w:pPr>
      <w:r w:rsidRPr="00477BA9">
        <w:rPr>
          <w:b/>
          <w:bCs/>
          <w:szCs w:val="22"/>
        </w:rPr>
        <w:t>Devices Marketed by HealthandMed.com-Dates of Marketing and Compliance</w:t>
      </w:r>
      <w:r>
        <w:rPr>
          <w:rStyle w:val="FootnoteReference"/>
          <w:sz w:val="22"/>
          <w:szCs w:val="22"/>
        </w:rPr>
        <w:footnoteReference w:id="46"/>
      </w:r>
    </w:p>
    <w:p w:rsidR="00395AD8" w:rsidRPr="00477BA9" w:rsidP="00477BA9" w14:paraId="7B6C4444" w14:textId="77777777">
      <w:pPr>
        <w:rPr>
          <w:szCs w:val="22"/>
        </w:rPr>
      </w:pPr>
    </w:p>
    <w:tbl>
      <w:tblPr>
        <w:tblStyle w:val="TableGrid"/>
        <w:tblW w:w="8640" w:type="dxa"/>
        <w:jc w:val="center"/>
        <w:tblLook w:val="04A0"/>
      </w:tblPr>
      <w:tblGrid>
        <w:gridCol w:w="434"/>
        <w:gridCol w:w="1641"/>
        <w:gridCol w:w="1641"/>
        <w:gridCol w:w="1139"/>
        <w:gridCol w:w="1890"/>
        <w:gridCol w:w="1895"/>
      </w:tblGrid>
      <w:tr w14:paraId="3ED4BA81" w14:textId="77777777" w:rsidTr="003C1AE1">
        <w:tblPrEx>
          <w:tblW w:w="8640" w:type="dxa"/>
          <w:jc w:val="center"/>
          <w:tblLook w:val="04A0"/>
        </w:tblPrEx>
        <w:trPr>
          <w:cantSplit/>
          <w:jc w:val="center"/>
        </w:trPr>
        <w:tc>
          <w:tcPr>
            <w:tcW w:w="434" w:type="dxa"/>
            <w:vAlign w:val="center"/>
          </w:tcPr>
          <w:p w:rsidR="007E786C" w:rsidP="003C1AE1" w14:paraId="7335D528" w14:textId="77777777">
            <w:pPr>
              <w:jc w:val="center"/>
              <w:rPr>
                <w:b/>
                <w:bCs/>
                <w:szCs w:val="22"/>
              </w:rPr>
            </w:pPr>
          </w:p>
        </w:tc>
        <w:tc>
          <w:tcPr>
            <w:tcW w:w="1641" w:type="dxa"/>
            <w:tcMar>
              <w:top w:w="58" w:type="dxa"/>
              <w:left w:w="115" w:type="dxa"/>
              <w:bottom w:w="58" w:type="dxa"/>
              <w:right w:w="115" w:type="dxa"/>
            </w:tcMar>
            <w:vAlign w:val="center"/>
          </w:tcPr>
          <w:p w:rsidR="007E786C" w:rsidRPr="00477BA9" w:rsidP="00477BA9" w14:paraId="0383D254" w14:textId="7CC6D712">
            <w:pPr>
              <w:rPr>
                <w:b/>
                <w:bCs/>
                <w:sz w:val="22"/>
                <w:szCs w:val="22"/>
              </w:rPr>
            </w:pPr>
            <w:r>
              <w:rPr>
                <w:b/>
                <w:bCs/>
                <w:sz w:val="22"/>
                <w:szCs w:val="22"/>
              </w:rPr>
              <w:t>SKU</w:t>
            </w:r>
          </w:p>
        </w:tc>
        <w:tc>
          <w:tcPr>
            <w:tcW w:w="1641" w:type="dxa"/>
            <w:tcMar>
              <w:top w:w="58" w:type="dxa"/>
              <w:left w:w="115" w:type="dxa"/>
              <w:bottom w:w="58" w:type="dxa"/>
              <w:right w:w="115" w:type="dxa"/>
            </w:tcMar>
            <w:vAlign w:val="center"/>
          </w:tcPr>
          <w:p w:rsidR="007E786C" w:rsidRPr="00477BA9" w:rsidP="00477BA9" w14:paraId="73288A19" w14:textId="2A5D2599">
            <w:pPr>
              <w:rPr>
                <w:b/>
                <w:bCs/>
                <w:sz w:val="22"/>
                <w:szCs w:val="22"/>
              </w:rPr>
            </w:pPr>
            <w:r>
              <w:rPr>
                <w:b/>
                <w:bCs/>
                <w:sz w:val="22"/>
                <w:szCs w:val="22"/>
              </w:rPr>
              <w:t>Model</w:t>
            </w:r>
          </w:p>
        </w:tc>
        <w:tc>
          <w:tcPr>
            <w:tcW w:w="1139" w:type="dxa"/>
            <w:tcMar>
              <w:top w:w="58" w:type="dxa"/>
              <w:left w:w="115" w:type="dxa"/>
              <w:bottom w:w="58" w:type="dxa"/>
              <w:right w:w="115" w:type="dxa"/>
            </w:tcMar>
            <w:vAlign w:val="center"/>
          </w:tcPr>
          <w:p w:rsidR="007E786C" w:rsidRPr="00477BA9" w:rsidP="00477BA9" w14:paraId="7546DA03" w14:textId="77777777">
            <w:pPr>
              <w:rPr>
                <w:b/>
                <w:bCs/>
                <w:sz w:val="22"/>
                <w:szCs w:val="22"/>
              </w:rPr>
            </w:pPr>
            <w:r w:rsidRPr="00477BA9">
              <w:rPr>
                <w:b/>
                <w:bCs/>
                <w:sz w:val="22"/>
                <w:szCs w:val="22"/>
              </w:rPr>
              <w:t>Date of First Sale</w:t>
            </w:r>
          </w:p>
        </w:tc>
        <w:tc>
          <w:tcPr>
            <w:tcW w:w="1890" w:type="dxa"/>
            <w:tcMar>
              <w:top w:w="58" w:type="dxa"/>
              <w:left w:w="115" w:type="dxa"/>
              <w:bottom w:w="58" w:type="dxa"/>
              <w:right w:w="115" w:type="dxa"/>
            </w:tcMar>
            <w:vAlign w:val="center"/>
          </w:tcPr>
          <w:p w:rsidR="007E786C" w:rsidRPr="00477BA9" w:rsidP="00477BA9" w14:paraId="3A26ABE3" w14:textId="77777777">
            <w:pPr>
              <w:rPr>
                <w:b/>
                <w:bCs/>
                <w:sz w:val="22"/>
                <w:szCs w:val="22"/>
              </w:rPr>
            </w:pPr>
            <w:r w:rsidRPr="00477BA9">
              <w:rPr>
                <w:b/>
                <w:bCs/>
                <w:sz w:val="22"/>
                <w:szCs w:val="22"/>
              </w:rPr>
              <w:t>Date Ceased Marketing per Sales Report attached to follow up LOI</w:t>
            </w:r>
          </w:p>
        </w:tc>
        <w:tc>
          <w:tcPr>
            <w:tcW w:w="1895" w:type="dxa"/>
            <w:tcMar>
              <w:top w:w="58" w:type="dxa"/>
              <w:left w:w="115" w:type="dxa"/>
              <w:bottom w:w="58" w:type="dxa"/>
              <w:right w:w="115" w:type="dxa"/>
            </w:tcMar>
            <w:vAlign w:val="center"/>
          </w:tcPr>
          <w:p w:rsidR="007E786C" w:rsidRPr="00477BA9" w:rsidP="00477BA9" w14:paraId="789CF49C" w14:textId="77777777">
            <w:pPr>
              <w:rPr>
                <w:b/>
                <w:bCs/>
                <w:sz w:val="22"/>
                <w:szCs w:val="22"/>
              </w:rPr>
            </w:pPr>
            <w:r w:rsidRPr="00477BA9">
              <w:rPr>
                <w:b/>
                <w:bCs/>
                <w:sz w:val="22"/>
                <w:szCs w:val="22"/>
              </w:rPr>
              <w:t>Date of Compliance with FCC labeling and user information disclosure rules</w:t>
            </w:r>
          </w:p>
        </w:tc>
      </w:tr>
      <w:tr w14:paraId="4F1E965E" w14:textId="77777777" w:rsidTr="003C1AE1">
        <w:tblPrEx>
          <w:tblW w:w="8640" w:type="dxa"/>
          <w:jc w:val="center"/>
          <w:tblLook w:val="04A0"/>
        </w:tblPrEx>
        <w:trPr>
          <w:cantSplit/>
          <w:jc w:val="center"/>
        </w:trPr>
        <w:tc>
          <w:tcPr>
            <w:tcW w:w="434" w:type="dxa"/>
            <w:vAlign w:val="center"/>
          </w:tcPr>
          <w:p w:rsidR="007E786C" w:rsidRPr="00962262" w:rsidP="003C1AE1" w14:paraId="5FFB100B" w14:textId="3C203B0E">
            <w:pPr>
              <w:jc w:val="center"/>
              <w:rPr>
                <w:rStyle w:val="variant-sku"/>
                <w:szCs w:val="22"/>
                <w:shd w:val="clear" w:color="auto" w:fill="FFFFFF"/>
              </w:rPr>
            </w:pPr>
            <w:r>
              <w:rPr>
                <w:rStyle w:val="variant-sku"/>
                <w:szCs w:val="22"/>
                <w:shd w:val="clear" w:color="auto" w:fill="FFFFFF"/>
              </w:rPr>
              <w:t>1</w:t>
            </w:r>
          </w:p>
        </w:tc>
        <w:tc>
          <w:tcPr>
            <w:tcW w:w="1641" w:type="dxa"/>
            <w:tcMar>
              <w:top w:w="58" w:type="dxa"/>
              <w:left w:w="115" w:type="dxa"/>
              <w:bottom w:w="58" w:type="dxa"/>
              <w:right w:w="115" w:type="dxa"/>
            </w:tcMar>
            <w:vAlign w:val="center"/>
          </w:tcPr>
          <w:p w:rsidR="007E786C" w:rsidRPr="00962262" w:rsidP="0018164D" w14:paraId="2C40A83F" w14:textId="733F570A">
            <w:pPr>
              <w:rPr>
                <w:sz w:val="22"/>
                <w:szCs w:val="22"/>
              </w:rPr>
            </w:pPr>
            <w:r w:rsidRPr="00962262">
              <w:rPr>
                <w:rStyle w:val="variant-sku"/>
                <w:sz w:val="22"/>
                <w:szCs w:val="22"/>
                <w:shd w:val="clear" w:color="auto" w:fill="FFFFFF"/>
              </w:rPr>
              <w:t>FBTOUCH-E-HW</w:t>
            </w:r>
          </w:p>
        </w:tc>
        <w:tc>
          <w:tcPr>
            <w:tcW w:w="1641" w:type="dxa"/>
            <w:tcMar>
              <w:top w:w="58" w:type="dxa"/>
              <w:left w:w="115" w:type="dxa"/>
              <w:bottom w:w="58" w:type="dxa"/>
              <w:right w:w="115" w:type="dxa"/>
            </w:tcMar>
            <w:vAlign w:val="center"/>
          </w:tcPr>
          <w:p w:rsidR="007E786C" w:rsidRPr="00477BA9" w:rsidP="0018164D" w14:paraId="4783568C" w14:textId="77777777">
            <w:pPr>
              <w:rPr>
                <w:sz w:val="22"/>
                <w:szCs w:val="22"/>
              </w:rPr>
            </w:pPr>
            <w:r w:rsidRPr="00477BA9">
              <w:rPr>
                <w:kern w:val="36"/>
                <w:sz w:val="22"/>
                <w:szCs w:val="22"/>
              </w:rPr>
              <w:t>IonizeMe Touch – Ionic Detox Foot Bath System with Hydrogen Drinking Water Option</w:t>
            </w:r>
          </w:p>
        </w:tc>
        <w:tc>
          <w:tcPr>
            <w:tcW w:w="1139" w:type="dxa"/>
            <w:tcMar>
              <w:top w:w="58" w:type="dxa"/>
              <w:left w:w="115" w:type="dxa"/>
              <w:bottom w:w="58" w:type="dxa"/>
              <w:right w:w="115" w:type="dxa"/>
            </w:tcMar>
            <w:vAlign w:val="center"/>
          </w:tcPr>
          <w:p w:rsidR="007E786C" w:rsidRPr="00477BA9" w:rsidP="0018164D" w14:paraId="149C14A6" w14:textId="77777777">
            <w:pPr>
              <w:rPr>
                <w:sz w:val="22"/>
                <w:szCs w:val="22"/>
              </w:rPr>
            </w:pPr>
            <w:r w:rsidRPr="00477BA9">
              <w:rPr>
                <w:sz w:val="22"/>
                <w:szCs w:val="22"/>
              </w:rPr>
              <w:t>Not provided</w:t>
            </w:r>
          </w:p>
        </w:tc>
        <w:tc>
          <w:tcPr>
            <w:tcW w:w="1890" w:type="dxa"/>
            <w:tcMar>
              <w:top w:w="58" w:type="dxa"/>
              <w:left w:w="115" w:type="dxa"/>
              <w:bottom w:w="58" w:type="dxa"/>
              <w:right w:w="115" w:type="dxa"/>
            </w:tcMar>
            <w:vAlign w:val="center"/>
          </w:tcPr>
          <w:p w:rsidR="007E786C" w:rsidRPr="00477BA9" w:rsidP="0018164D" w14:paraId="42D0EB56" w14:textId="77777777">
            <w:pPr>
              <w:rPr>
                <w:sz w:val="22"/>
                <w:szCs w:val="22"/>
              </w:rPr>
            </w:pPr>
            <w:r w:rsidRPr="00477BA9">
              <w:rPr>
                <w:sz w:val="22"/>
                <w:szCs w:val="22"/>
              </w:rPr>
              <w:t>Still marketing as of February 10, 2022.</w:t>
            </w:r>
          </w:p>
        </w:tc>
        <w:tc>
          <w:tcPr>
            <w:tcW w:w="1895" w:type="dxa"/>
            <w:tcMar>
              <w:top w:w="58" w:type="dxa"/>
              <w:left w:w="115" w:type="dxa"/>
              <w:bottom w:w="58" w:type="dxa"/>
              <w:right w:w="115" w:type="dxa"/>
            </w:tcMar>
            <w:vAlign w:val="center"/>
          </w:tcPr>
          <w:p w:rsidR="007E786C" w:rsidRPr="00477BA9" w:rsidP="0018164D" w14:paraId="63E12392" w14:textId="2BD4214C">
            <w:pPr>
              <w:rPr>
                <w:sz w:val="22"/>
                <w:szCs w:val="22"/>
              </w:rPr>
            </w:pPr>
            <w:r>
              <w:rPr>
                <w:sz w:val="22"/>
                <w:szCs w:val="22"/>
              </w:rPr>
              <w:t>E</w:t>
            </w:r>
            <w:r w:rsidRPr="00477BA9">
              <w:rPr>
                <w:sz w:val="22"/>
                <w:szCs w:val="22"/>
              </w:rPr>
              <w:t xml:space="preserve">vidence of </w:t>
            </w:r>
            <w:r>
              <w:rPr>
                <w:sz w:val="22"/>
                <w:szCs w:val="22"/>
              </w:rPr>
              <w:t>authorization</w:t>
            </w:r>
            <w:r>
              <w:rPr>
                <w:sz w:val="22"/>
                <w:szCs w:val="22"/>
              </w:rPr>
              <w:t xml:space="preserve"> requested in this Citation.</w:t>
            </w:r>
          </w:p>
        </w:tc>
      </w:tr>
      <w:tr w14:paraId="44D29C9D" w14:textId="77777777" w:rsidTr="003C1AE1">
        <w:tblPrEx>
          <w:tblW w:w="8640" w:type="dxa"/>
          <w:jc w:val="center"/>
          <w:tblLook w:val="04A0"/>
        </w:tblPrEx>
        <w:trPr>
          <w:cantSplit/>
          <w:jc w:val="center"/>
        </w:trPr>
        <w:tc>
          <w:tcPr>
            <w:tcW w:w="434" w:type="dxa"/>
            <w:vAlign w:val="center"/>
          </w:tcPr>
          <w:p w:rsidR="007E786C" w:rsidRPr="00477BA9" w:rsidP="003C1AE1" w14:paraId="40DDEC83" w14:textId="3B866AC4">
            <w:pPr>
              <w:jc w:val="center"/>
              <w:rPr>
                <w:szCs w:val="22"/>
              </w:rPr>
            </w:pPr>
            <w:r>
              <w:rPr>
                <w:szCs w:val="22"/>
              </w:rPr>
              <w:t>2</w:t>
            </w:r>
          </w:p>
        </w:tc>
        <w:tc>
          <w:tcPr>
            <w:tcW w:w="1641" w:type="dxa"/>
            <w:tcMar>
              <w:top w:w="58" w:type="dxa"/>
              <w:left w:w="115" w:type="dxa"/>
              <w:bottom w:w="58" w:type="dxa"/>
              <w:right w:w="115" w:type="dxa"/>
            </w:tcMar>
            <w:vAlign w:val="center"/>
          </w:tcPr>
          <w:p w:rsidR="007E786C" w:rsidRPr="00477BA9" w:rsidP="00477BA9" w14:paraId="0203CD38" w14:textId="3DA3681D">
            <w:pPr>
              <w:rPr>
                <w:sz w:val="22"/>
                <w:szCs w:val="22"/>
              </w:rPr>
            </w:pPr>
            <w:r w:rsidRPr="00477BA9">
              <w:rPr>
                <w:sz w:val="22"/>
                <w:szCs w:val="22"/>
              </w:rPr>
              <w:t>FBMAXX- all variants</w:t>
            </w:r>
          </w:p>
        </w:tc>
        <w:tc>
          <w:tcPr>
            <w:tcW w:w="1641" w:type="dxa"/>
            <w:tcMar>
              <w:top w:w="58" w:type="dxa"/>
              <w:left w:w="115" w:type="dxa"/>
              <w:bottom w:w="58" w:type="dxa"/>
              <w:right w:w="115" w:type="dxa"/>
            </w:tcMar>
            <w:vAlign w:val="center"/>
          </w:tcPr>
          <w:p w:rsidR="007E786C" w:rsidRPr="00477BA9" w:rsidP="00477BA9" w14:paraId="66E49577" w14:textId="77777777">
            <w:pPr>
              <w:rPr>
                <w:sz w:val="22"/>
                <w:szCs w:val="22"/>
              </w:rPr>
            </w:pPr>
            <w:r w:rsidRPr="00477BA9">
              <w:rPr>
                <w:sz w:val="22"/>
                <w:szCs w:val="22"/>
              </w:rPr>
              <w:t>IonizeMe Maxx Ionic Detox Foot Bath System</w:t>
            </w:r>
          </w:p>
        </w:tc>
        <w:tc>
          <w:tcPr>
            <w:tcW w:w="1139" w:type="dxa"/>
            <w:tcMar>
              <w:top w:w="58" w:type="dxa"/>
              <w:left w:w="115" w:type="dxa"/>
              <w:bottom w:w="58" w:type="dxa"/>
              <w:right w:w="115" w:type="dxa"/>
            </w:tcMar>
            <w:vAlign w:val="center"/>
          </w:tcPr>
          <w:p w:rsidR="007E786C" w:rsidRPr="00477BA9" w:rsidP="00477BA9" w14:paraId="6A46D1F1" w14:textId="77777777">
            <w:pPr>
              <w:rPr>
                <w:sz w:val="22"/>
                <w:szCs w:val="22"/>
              </w:rPr>
            </w:pPr>
            <w:r w:rsidRPr="00477BA9">
              <w:rPr>
                <w:sz w:val="22"/>
                <w:szCs w:val="22"/>
              </w:rPr>
              <w:t>3-2018</w:t>
            </w:r>
          </w:p>
        </w:tc>
        <w:tc>
          <w:tcPr>
            <w:tcW w:w="1890" w:type="dxa"/>
            <w:tcMar>
              <w:top w:w="58" w:type="dxa"/>
              <w:left w:w="115" w:type="dxa"/>
              <w:bottom w:w="58" w:type="dxa"/>
              <w:right w:w="115" w:type="dxa"/>
            </w:tcMar>
            <w:vAlign w:val="center"/>
          </w:tcPr>
          <w:p w:rsidR="007E786C" w:rsidRPr="00477BA9" w:rsidP="00477BA9" w14:paraId="39F107FB" w14:textId="12DCE997">
            <w:pPr>
              <w:rPr>
                <w:sz w:val="22"/>
                <w:szCs w:val="22"/>
              </w:rPr>
            </w:pPr>
            <w:r w:rsidRPr="00477BA9">
              <w:rPr>
                <w:sz w:val="22"/>
                <w:szCs w:val="22"/>
              </w:rPr>
              <w:t>Still marketing as of February 10, 2022.</w:t>
            </w:r>
          </w:p>
        </w:tc>
        <w:tc>
          <w:tcPr>
            <w:tcW w:w="1895" w:type="dxa"/>
            <w:tcMar>
              <w:top w:w="58" w:type="dxa"/>
              <w:left w:w="115" w:type="dxa"/>
              <w:bottom w:w="58" w:type="dxa"/>
              <w:right w:w="115" w:type="dxa"/>
            </w:tcMar>
            <w:vAlign w:val="center"/>
          </w:tcPr>
          <w:p w:rsidR="007E786C" w:rsidP="00477BA9" w14:paraId="4B1F559E" w14:textId="0F78D0B5">
            <w:pPr>
              <w:rPr>
                <w:sz w:val="22"/>
                <w:szCs w:val="22"/>
              </w:rPr>
            </w:pPr>
            <w:r w:rsidRPr="00477BA9">
              <w:rPr>
                <w:sz w:val="22"/>
                <w:szCs w:val="22"/>
              </w:rPr>
              <w:t>8-9-2019</w:t>
            </w:r>
            <w:r w:rsidR="00D21DB4">
              <w:rPr>
                <w:sz w:val="22"/>
                <w:szCs w:val="22"/>
              </w:rPr>
              <w:t xml:space="preserve"> for earlier variations.</w:t>
            </w:r>
          </w:p>
          <w:p w:rsidR="00D21DB4" w:rsidP="00477BA9" w14:paraId="6B7DA0CE" w14:textId="77777777">
            <w:pPr>
              <w:rPr>
                <w:sz w:val="22"/>
                <w:szCs w:val="22"/>
              </w:rPr>
            </w:pPr>
          </w:p>
          <w:p w:rsidR="00D21DB4" w:rsidRPr="00477BA9" w:rsidP="00477BA9" w14:paraId="6ECC0491" w14:textId="7E3E8B28">
            <w:pPr>
              <w:rPr>
                <w:sz w:val="22"/>
                <w:szCs w:val="22"/>
              </w:rPr>
            </w:pPr>
            <w:r>
              <w:rPr>
                <w:sz w:val="22"/>
                <w:szCs w:val="22"/>
              </w:rPr>
              <w:t>E</w:t>
            </w:r>
            <w:r w:rsidRPr="00477BA9">
              <w:rPr>
                <w:sz w:val="22"/>
                <w:szCs w:val="22"/>
              </w:rPr>
              <w:t xml:space="preserve">vidence of </w:t>
            </w:r>
            <w:r>
              <w:rPr>
                <w:sz w:val="22"/>
                <w:szCs w:val="22"/>
              </w:rPr>
              <w:t xml:space="preserve">authorization </w:t>
            </w:r>
            <w:r w:rsidR="00DC5A39">
              <w:rPr>
                <w:sz w:val="22"/>
                <w:szCs w:val="22"/>
              </w:rPr>
              <w:t xml:space="preserve">for IonizeMe Maxx 5 </w:t>
            </w:r>
            <w:r>
              <w:rPr>
                <w:sz w:val="22"/>
                <w:szCs w:val="22"/>
              </w:rPr>
              <w:t>requested in this Citation.</w:t>
            </w:r>
          </w:p>
        </w:tc>
      </w:tr>
      <w:tr w14:paraId="502AE6A7" w14:textId="77777777" w:rsidTr="003C1AE1">
        <w:tblPrEx>
          <w:tblW w:w="8640" w:type="dxa"/>
          <w:jc w:val="center"/>
          <w:tblLook w:val="04A0"/>
        </w:tblPrEx>
        <w:trPr>
          <w:cantSplit/>
          <w:jc w:val="center"/>
        </w:trPr>
        <w:tc>
          <w:tcPr>
            <w:tcW w:w="434" w:type="dxa"/>
            <w:vAlign w:val="center"/>
          </w:tcPr>
          <w:p w:rsidR="007E786C" w:rsidRPr="00477BA9" w:rsidP="003C1AE1" w14:paraId="22B47C7A" w14:textId="2EBAC383">
            <w:pPr>
              <w:jc w:val="center"/>
              <w:rPr>
                <w:szCs w:val="22"/>
              </w:rPr>
            </w:pPr>
            <w:r>
              <w:rPr>
                <w:szCs w:val="22"/>
              </w:rPr>
              <w:t>3</w:t>
            </w:r>
          </w:p>
        </w:tc>
        <w:tc>
          <w:tcPr>
            <w:tcW w:w="1641" w:type="dxa"/>
            <w:tcMar>
              <w:top w:w="58" w:type="dxa"/>
              <w:left w:w="115" w:type="dxa"/>
              <w:bottom w:w="58" w:type="dxa"/>
              <w:right w:w="115" w:type="dxa"/>
            </w:tcMar>
            <w:vAlign w:val="center"/>
          </w:tcPr>
          <w:p w:rsidR="007E786C" w:rsidRPr="00477BA9" w:rsidP="00477BA9" w14:paraId="0BCAD44E" w14:textId="1CC73E79">
            <w:pPr>
              <w:rPr>
                <w:sz w:val="22"/>
                <w:szCs w:val="22"/>
              </w:rPr>
            </w:pPr>
            <w:r w:rsidRPr="00477BA9">
              <w:rPr>
                <w:sz w:val="22"/>
                <w:szCs w:val="22"/>
              </w:rPr>
              <w:t>FB 502</w:t>
            </w:r>
          </w:p>
        </w:tc>
        <w:tc>
          <w:tcPr>
            <w:tcW w:w="1641" w:type="dxa"/>
            <w:tcMar>
              <w:top w:w="58" w:type="dxa"/>
              <w:left w:w="115" w:type="dxa"/>
              <w:bottom w:w="58" w:type="dxa"/>
              <w:right w:w="115" w:type="dxa"/>
            </w:tcMar>
            <w:vAlign w:val="center"/>
          </w:tcPr>
          <w:p w:rsidR="007E786C" w:rsidRPr="00477BA9" w:rsidP="00477BA9" w14:paraId="7F3F6DCD" w14:textId="77777777">
            <w:pPr>
              <w:rPr>
                <w:sz w:val="22"/>
                <w:szCs w:val="22"/>
              </w:rPr>
            </w:pPr>
            <w:r w:rsidRPr="00477BA9">
              <w:rPr>
                <w:sz w:val="22"/>
                <w:szCs w:val="22"/>
              </w:rPr>
              <w:t>IonizeME basic</w:t>
            </w:r>
          </w:p>
        </w:tc>
        <w:tc>
          <w:tcPr>
            <w:tcW w:w="1139" w:type="dxa"/>
            <w:tcMar>
              <w:top w:w="58" w:type="dxa"/>
              <w:left w:w="115" w:type="dxa"/>
              <w:bottom w:w="58" w:type="dxa"/>
              <w:right w:w="115" w:type="dxa"/>
            </w:tcMar>
            <w:vAlign w:val="center"/>
          </w:tcPr>
          <w:p w:rsidR="007E786C" w:rsidRPr="00477BA9" w:rsidP="00477BA9" w14:paraId="3F645DE3" w14:textId="77777777">
            <w:pPr>
              <w:rPr>
                <w:sz w:val="22"/>
                <w:szCs w:val="22"/>
              </w:rPr>
            </w:pPr>
            <w:r w:rsidRPr="00477BA9">
              <w:rPr>
                <w:sz w:val="22"/>
                <w:szCs w:val="22"/>
              </w:rPr>
              <w:t>Before 1-1-2018</w:t>
            </w:r>
          </w:p>
        </w:tc>
        <w:tc>
          <w:tcPr>
            <w:tcW w:w="1890" w:type="dxa"/>
            <w:tcMar>
              <w:top w:w="58" w:type="dxa"/>
              <w:left w:w="115" w:type="dxa"/>
              <w:bottom w:w="58" w:type="dxa"/>
              <w:right w:w="115" w:type="dxa"/>
            </w:tcMar>
            <w:vAlign w:val="center"/>
          </w:tcPr>
          <w:p w:rsidR="007E786C" w:rsidRPr="00477BA9" w:rsidP="00477BA9" w14:paraId="0872B698" w14:textId="4B59EB25">
            <w:pPr>
              <w:rPr>
                <w:sz w:val="22"/>
                <w:szCs w:val="22"/>
              </w:rPr>
            </w:pPr>
            <w:r w:rsidRPr="00477BA9">
              <w:rPr>
                <w:sz w:val="22"/>
                <w:szCs w:val="22"/>
              </w:rPr>
              <w:t>Ceased marketing 2-2018</w:t>
            </w:r>
          </w:p>
        </w:tc>
        <w:tc>
          <w:tcPr>
            <w:tcW w:w="1895" w:type="dxa"/>
            <w:tcMar>
              <w:top w:w="58" w:type="dxa"/>
              <w:left w:w="115" w:type="dxa"/>
              <w:bottom w:w="58" w:type="dxa"/>
              <w:right w:w="115" w:type="dxa"/>
            </w:tcMar>
            <w:vAlign w:val="center"/>
          </w:tcPr>
          <w:p w:rsidR="007E786C" w:rsidRPr="00477BA9" w:rsidP="00477BA9" w14:paraId="33D392A0" w14:textId="3CBEE4C9">
            <w:pPr>
              <w:rPr>
                <w:sz w:val="22"/>
                <w:szCs w:val="22"/>
              </w:rPr>
            </w:pPr>
            <w:r w:rsidRPr="00477BA9">
              <w:rPr>
                <w:sz w:val="22"/>
                <w:szCs w:val="22"/>
              </w:rPr>
              <w:t xml:space="preserve">No evidence of </w:t>
            </w:r>
            <w:r>
              <w:rPr>
                <w:sz w:val="22"/>
                <w:szCs w:val="22"/>
              </w:rPr>
              <w:t>authorization</w:t>
            </w:r>
          </w:p>
        </w:tc>
      </w:tr>
      <w:tr w14:paraId="5A575C1A" w14:textId="77777777" w:rsidTr="003C1AE1">
        <w:tblPrEx>
          <w:tblW w:w="8640" w:type="dxa"/>
          <w:jc w:val="center"/>
          <w:tblLook w:val="04A0"/>
        </w:tblPrEx>
        <w:trPr>
          <w:cantSplit/>
          <w:jc w:val="center"/>
        </w:trPr>
        <w:tc>
          <w:tcPr>
            <w:tcW w:w="434" w:type="dxa"/>
            <w:vAlign w:val="center"/>
          </w:tcPr>
          <w:p w:rsidR="007E786C" w:rsidRPr="00477BA9" w:rsidP="003C1AE1" w14:paraId="170EB3D0" w14:textId="4DEB380E">
            <w:pPr>
              <w:jc w:val="center"/>
              <w:rPr>
                <w:szCs w:val="22"/>
              </w:rPr>
            </w:pPr>
            <w:r>
              <w:rPr>
                <w:szCs w:val="22"/>
              </w:rPr>
              <w:t>4</w:t>
            </w:r>
          </w:p>
        </w:tc>
        <w:tc>
          <w:tcPr>
            <w:tcW w:w="1641" w:type="dxa"/>
            <w:tcMar>
              <w:top w:w="58" w:type="dxa"/>
              <w:left w:w="115" w:type="dxa"/>
              <w:bottom w:w="58" w:type="dxa"/>
              <w:right w:w="115" w:type="dxa"/>
            </w:tcMar>
            <w:vAlign w:val="center"/>
          </w:tcPr>
          <w:p w:rsidR="007E786C" w:rsidRPr="00477BA9" w:rsidP="00477BA9" w14:paraId="18DF7122" w14:textId="011829F8">
            <w:pPr>
              <w:rPr>
                <w:sz w:val="22"/>
                <w:szCs w:val="22"/>
              </w:rPr>
            </w:pPr>
            <w:r w:rsidRPr="00477BA9">
              <w:rPr>
                <w:sz w:val="22"/>
                <w:szCs w:val="22"/>
              </w:rPr>
              <w:t>FB622B-E</w:t>
            </w:r>
          </w:p>
        </w:tc>
        <w:tc>
          <w:tcPr>
            <w:tcW w:w="1641" w:type="dxa"/>
            <w:tcMar>
              <w:top w:w="58" w:type="dxa"/>
              <w:left w:w="115" w:type="dxa"/>
              <w:bottom w:w="58" w:type="dxa"/>
              <w:right w:w="115" w:type="dxa"/>
            </w:tcMar>
            <w:vAlign w:val="center"/>
          </w:tcPr>
          <w:p w:rsidR="007E786C" w:rsidRPr="00477BA9" w:rsidP="00477BA9" w14:paraId="4F03DE5F" w14:textId="77777777">
            <w:pPr>
              <w:rPr>
                <w:sz w:val="22"/>
                <w:szCs w:val="22"/>
              </w:rPr>
            </w:pPr>
            <w:r w:rsidRPr="00477BA9">
              <w:rPr>
                <w:sz w:val="22"/>
                <w:szCs w:val="22"/>
              </w:rPr>
              <w:t>Ionic Detox Footbath System</w:t>
            </w:r>
          </w:p>
        </w:tc>
        <w:tc>
          <w:tcPr>
            <w:tcW w:w="1139" w:type="dxa"/>
            <w:tcMar>
              <w:top w:w="58" w:type="dxa"/>
              <w:left w:w="115" w:type="dxa"/>
              <w:bottom w:w="58" w:type="dxa"/>
              <w:right w:w="115" w:type="dxa"/>
            </w:tcMar>
            <w:vAlign w:val="center"/>
          </w:tcPr>
          <w:p w:rsidR="007E786C" w:rsidRPr="00477BA9" w:rsidP="00477BA9" w14:paraId="6276C51E" w14:textId="77777777">
            <w:pPr>
              <w:rPr>
                <w:sz w:val="22"/>
                <w:szCs w:val="22"/>
              </w:rPr>
            </w:pPr>
            <w:r w:rsidRPr="00477BA9">
              <w:rPr>
                <w:sz w:val="22"/>
                <w:szCs w:val="22"/>
              </w:rPr>
              <w:t>Before 1-1-2018</w:t>
            </w:r>
          </w:p>
          <w:p w:rsidR="007E786C" w:rsidRPr="00477BA9" w:rsidP="00477BA9" w14:paraId="0174EB3D" w14:textId="77777777">
            <w:pPr>
              <w:rPr>
                <w:sz w:val="22"/>
                <w:szCs w:val="22"/>
              </w:rPr>
            </w:pPr>
          </w:p>
        </w:tc>
        <w:tc>
          <w:tcPr>
            <w:tcW w:w="1890" w:type="dxa"/>
            <w:tcMar>
              <w:top w:w="58" w:type="dxa"/>
              <w:left w:w="115" w:type="dxa"/>
              <w:bottom w:w="58" w:type="dxa"/>
              <w:right w:w="115" w:type="dxa"/>
            </w:tcMar>
            <w:vAlign w:val="center"/>
          </w:tcPr>
          <w:p w:rsidR="007E786C" w:rsidRPr="00477BA9" w:rsidP="00477BA9" w14:paraId="7D7146BE" w14:textId="60DE1355">
            <w:pPr>
              <w:rPr>
                <w:sz w:val="22"/>
                <w:szCs w:val="22"/>
              </w:rPr>
            </w:pPr>
            <w:r w:rsidRPr="00477BA9">
              <w:rPr>
                <w:sz w:val="22"/>
                <w:szCs w:val="22"/>
              </w:rPr>
              <w:t>Ceased marketing 3-2018</w:t>
            </w:r>
          </w:p>
        </w:tc>
        <w:tc>
          <w:tcPr>
            <w:tcW w:w="1895" w:type="dxa"/>
            <w:tcMar>
              <w:top w:w="58" w:type="dxa"/>
              <w:left w:w="115" w:type="dxa"/>
              <w:bottom w:w="58" w:type="dxa"/>
              <w:right w:w="115" w:type="dxa"/>
            </w:tcMar>
            <w:vAlign w:val="center"/>
          </w:tcPr>
          <w:p w:rsidR="007E786C" w:rsidRPr="00477BA9" w:rsidP="00477BA9" w14:paraId="7DB3E114" w14:textId="13314F3D">
            <w:pPr>
              <w:rPr>
                <w:sz w:val="22"/>
                <w:szCs w:val="22"/>
              </w:rPr>
            </w:pPr>
            <w:r w:rsidRPr="00477BA9">
              <w:rPr>
                <w:sz w:val="22"/>
                <w:szCs w:val="22"/>
              </w:rPr>
              <w:t xml:space="preserve">No evidence of </w:t>
            </w:r>
            <w:r>
              <w:rPr>
                <w:sz w:val="22"/>
                <w:szCs w:val="22"/>
              </w:rPr>
              <w:t>authorization</w:t>
            </w:r>
          </w:p>
        </w:tc>
      </w:tr>
      <w:tr w14:paraId="274B333C" w14:textId="77777777" w:rsidTr="003C1AE1">
        <w:tblPrEx>
          <w:tblW w:w="8640" w:type="dxa"/>
          <w:jc w:val="center"/>
          <w:tblLook w:val="04A0"/>
        </w:tblPrEx>
        <w:trPr>
          <w:cantSplit/>
          <w:jc w:val="center"/>
        </w:trPr>
        <w:tc>
          <w:tcPr>
            <w:tcW w:w="434" w:type="dxa"/>
            <w:vAlign w:val="center"/>
          </w:tcPr>
          <w:p w:rsidR="007E786C" w:rsidRPr="00477BA9" w:rsidP="003C1AE1" w14:paraId="7ECFAA8B" w14:textId="790E3C7E">
            <w:pPr>
              <w:jc w:val="center"/>
              <w:rPr>
                <w:szCs w:val="22"/>
              </w:rPr>
            </w:pPr>
            <w:r>
              <w:rPr>
                <w:szCs w:val="22"/>
              </w:rPr>
              <w:t>5</w:t>
            </w:r>
          </w:p>
        </w:tc>
        <w:tc>
          <w:tcPr>
            <w:tcW w:w="1641" w:type="dxa"/>
            <w:tcMar>
              <w:top w:w="58" w:type="dxa"/>
              <w:left w:w="115" w:type="dxa"/>
              <w:bottom w:w="58" w:type="dxa"/>
              <w:right w:w="115" w:type="dxa"/>
            </w:tcMar>
            <w:vAlign w:val="center"/>
          </w:tcPr>
          <w:p w:rsidR="007E786C" w:rsidRPr="00477BA9" w:rsidP="00477BA9" w14:paraId="2F287972" w14:textId="2A14E631">
            <w:pPr>
              <w:rPr>
                <w:sz w:val="22"/>
                <w:szCs w:val="22"/>
              </w:rPr>
            </w:pPr>
            <w:r w:rsidRPr="00477BA9">
              <w:rPr>
                <w:sz w:val="22"/>
                <w:szCs w:val="22"/>
              </w:rPr>
              <w:t>FBIMUL</w:t>
            </w:r>
          </w:p>
        </w:tc>
        <w:tc>
          <w:tcPr>
            <w:tcW w:w="1641" w:type="dxa"/>
            <w:tcMar>
              <w:top w:w="58" w:type="dxa"/>
              <w:left w:w="115" w:type="dxa"/>
              <w:bottom w:w="58" w:type="dxa"/>
              <w:right w:w="115" w:type="dxa"/>
            </w:tcMar>
            <w:vAlign w:val="center"/>
          </w:tcPr>
          <w:p w:rsidR="007E786C" w:rsidRPr="00477BA9" w:rsidP="00477BA9" w14:paraId="3EC7CED3" w14:textId="77777777">
            <w:pPr>
              <w:rPr>
                <w:sz w:val="22"/>
                <w:szCs w:val="22"/>
              </w:rPr>
            </w:pPr>
            <w:r w:rsidRPr="00477BA9">
              <w:rPr>
                <w:sz w:val="22"/>
                <w:szCs w:val="22"/>
              </w:rPr>
              <w:t>IonizeME Ultra</w:t>
            </w:r>
          </w:p>
        </w:tc>
        <w:tc>
          <w:tcPr>
            <w:tcW w:w="1139" w:type="dxa"/>
            <w:tcMar>
              <w:top w:w="58" w:type="dxa"/>
              <w:left w:w="115" w:type="dxa"/>
              <w:bottom w:w="58" w:type="dxa"/>
              <w:right w:w="115" w:type="dxa"/>
            </w:tcMar>
            <w:vAlign w:val="center"/>
          </w:tcPr>
          <w:p w:rsidR="007E786C" w:rsidRPr="00477BA9" w:rsidP="00477BA9" w14:paraId="12564847" w14:textId="77777777">
            <w:pPr>
              <w:rPr>
                <w:sz w:val="22"/>
                <w:szCs w:val="22"/>
              </w:rPr>
            </w:pPr>
            <w:r w:rsidRPr="00477BA9">
              <w:rPr>
                <w:sz w:val="22"/>
                <w:szCs w:val="22"/>
              </w:rPr>
              <w:t>Before 1-1-2018</w:t>
            </w:r>
          </w:p>
        </w:tc>
        <w:tc>
          <w:tcPr>
            <w:tcW w:w="1890" w:type="dxa"/>
            <w:tcMar>
              <w:top w:w="58" w:type="dxa"/>
              <w:left w:w="115" w:type="dxa"/>
              <w:bottom w:w="58" w:type="dxa"/>
              <w:right w:w="115" w:type="dxa"/>
            </w:tcMar>
            <w:vAlign w:val="center"/>
          </w:tcPr>
          <w:p w:rsidR="007E786C" w:rsidRPr="00477BA9" w:rsidP="00477BA9" w14:paraId="131F742F" w14:textId="77777777">
            <w:pPr>
              <w:rPr>
                <w:sz w:val="22"/>
                <w:szCs w:val="22"/>
              </w:rPr>
            </w:pPr>
            <w:r w:rsidRPr="00477BA9">
              <w:rPr>
                <w:sz w:val="22"/>
                <w:szCs w:val="22"/>
              </w:rPr>
              <w:t>Ceased marketing 11-2018</w:t>
            </w:r>
          </w:p>
        </w:tc>
        <w:tc>
          <w:tcPr>
            <w:tcW w:w="1895" w:type="dxa"/>
            <w:tcMar>
              <w:top w:w="58" w:type="dxa"/>
              <w:left w:w="115" w:type="dxa"/>
              <w:bottom w:w="58" w:type="dxa"/>
              <w:right w:w="115" w:type="dxa"/>
            </w:tcMar>
            <w:vAlign w:val="center"/>
          </w:tcPr>
          <w:p w:rsidR="007E786C" w:rsidRPr="00477BA9" w:rsidP="00477BA9" w14:paraId="38B8DEE1" w14:textId="1D5B519D">
            <w:pPr>
              <w:rPr>
                <w:sz w:val="22"/>
                <w:szCs w:val="22"/>
              </w:rPr>
            </w:pPr>
            <w:r w:rsidRPr="00477BA9">
              <w:rPr>
                <w:sz w:val="22"/>
                <w:szCs w:val="22"/>
              </w:rPr>
              <w:t xml:space="preserve">No evidence of </w:t>
            </w:r>
            <w:r>
              <w:rPr>
                <w:sz w:val="22"/>
                <w:szCs w:val="22"/>
              </w:rPr>
              <w:t>authorization</w:t>
            </w:r>
          </w:p>
        </w:tc>
      </w:tr>
      <w:tr w14:paraId="6BB9BD92" w14:textId="77777777" w:rsidTr="003C1AE1">
        <w:tblPrEx>
          <w:tblW w:w="8640" w:type="dxa"/>
          <w:jc w:val="center"/>
          <w:tblLook w:val="04A0"/>
        </w:tblPrEx>
        <w:trPr>
          <w:cantSplit/>
          <w:jc w:val="center"/>
        </w:trPr>
        <w:tc>
          <w:tcPr>
            <w:tcW w:w="434" w:type="dxa"/>
            <w:vAlign w:val="center"/>
          </w:tcPr>
          <w:p w:rsidR="007E786C" w:rsidRPr="00477BA9" w:rsidP="003C1AE1" w14:paraId="345CA888" w14:textId="3233A55C">
            <w:pPr>
              <w:jc w:val="center"/>
              <w:rPr>
                <w:szCs w:val="22"/>
              </w:rPr>
            </w:pPr>
            <w:r>
              <w:rPr>
                <w:szCs w:val="22"/>
              </w:rPr>
              <w:t>6</w:t>
            </w:r>
          </w:p>
        </w:tc>
        <w:tc>
          <w:tcPr>
            <w:tcW w:w="1641" w:type="dxa"/>
            <w:tcMar>
              <w:top w:w="58" w:type="dxa"/>
              <w:left w:w="115" w:type="dxa"/>
              <w:bottom w:w="58" w:type="dxa"/>
              <w:right w:w="115" w:type="dxa"/>
            </w:tcMar>
            <w:vAlign w:val="center"/>
          </w:tcPr>
          <w:p w:rsidR="007E786C" w:rsidRPr="00477BA9" w:rsidP="00477BA9" w14:paraId="417FA82F" w14:textId="7FCE9CA7">
            <w:pPr>
              <w:rPr>
                <w:sz w:val="22"/>
                <w:szCs w:val="22"/>
              </w:rPr>
            </w:pPr>
            <w:r w:rsidRPr="00477BA9">
              <w:rPr>
                <w:sz w:val="22"/>
                <w:szCs w:val="22"/>
              </w:rPr>
              <w:t>FB802-E</w:t>
            </w:r>
          </w:p>
        </w:tc>
        <w:tc>
          <w:tcPr>
            <w:tcW w:w="1641" w:type="dxa"/>
            <w:tcMar>
              <w:top w:w="58" w:type="dxa"/>
              <w:left w:w="115" w:type="dxa"/>
              <w:bottom w:w="58" w:type="dxa"/>
              <w:right w:w="115" w:type="dxa"/>
            </w:tcMar>
            <w:vAlign w:val="center"/>
          </w:tcPr>
          <w:p w:rsidR="007E786C" w:rsidRPr="00477BA9" w:rsidP="00477BA9" w14:paraId="5963F5AE" w14:textId="77777777">
            <w:pPr>
              <w:rPr>
                <w:sz w:val="22"/>
                <w:szCs w:val="22"/>
              </w:rPr>
            </w:pPr>
            <w:r w:rsidRPr="00477BA9">
              <w:rPr>
                <w:sz w:val="22"/>
                <w:szCs w:val="22"/>
              </w:rPr>
              <w:t>IonizeME Premium Dual</w:t>
            </w:r>
          </w:p>
        </w:tc>
        <w:tc>
          <w:tcPr>
            <w:tcW w:w="1139" w:type="dxa"/>
            <w:tcMar>
              <w:top w:w="58" w:type="dxa"/>
              <w:left w:w="115" w:type="dxa"/>
              <w:bottom w:w="58" w:type="dxa"/>
              <w:right w:w="115" w:type="dxa"/>
            </w:tcMar>
            <w:vAlign w:val="center"/>
          </w:tcPr>
          <w:p w:rsidR="007E786C" w:rsidRPr="00477BA9" w:rsidP="00477BA9" w14:paraId="6AD4EF8C" w14:textId="77777777">
            <w:pPr>
              <w:rPr>
                <w:sz w:val="22"/>
                <w:szCs w:val="22"/>
              </w:rPr>
            </w:pPr>
            <w:r w:rsidRPr="00477BA9">
              <w:rPr>
                <w:sz w:val="22"/>
                <w:szCs w:val="22"/>
              </w:rPr>
              <w:t>Before 1-1-2018</w:t>
            </w:r>
          </w:p>
        </w:tc>
        <w:tc>
          <w:tcPr>
            <w:tcW w:w="1890" w:type="dxa"/>
            <w:tcMar>
              <w:top w:w="58" w:type="dxa"/>
              <w:left w:w="115" w:type="dxa"/>
              <w:bottom w:w="58" w:type="dxa"/>
              <w:right w:w="115" w:type="dxa"/>
            </w:tcMar>
            <w:vAlign w:val="center"/>
          </w:tcPr>
          <w:p w:rsidR="007E786C" w:rsidRPr="00477BA9" w:rsidP="00477BA9" w14:paraId="05F6B7D0" w14:textId="413CEC01">
            <w:pPr>
              <w:rPr>
                <w:sz w:val="22"/>
                <w:szCs w:val="22"/>
              </w:rPr>
            </w:pPr>
            <w:r w:rsidRPr="00477BA9">
              <w:rPr>
                <w:sz w:val="22"/>
                <w:szCs w:val="22"/>
              </w:rPr>
              <w:t>Ceased marketing 7-2018</w:t>
            </w:r>
          </w:p>
        </w:tc>
        <w:tc>
          <w:tcPr>
            <w:tcW w:w="1895" w:type="dxa"/>
            <w:tcMar>
              <w:top w:w="58" w:type="dxa"/>
              <w:left w:w="115" w:type="dxa"/>
              <w:bottom w:w="58" w:type="dxa"/>
              <w:right w:w="115" w:type="dxa"/>
            </w:tcMar>
            <w:vAlign w:val="center"/>
          </w:tcPr>
          <w:p w:rsidR="007E786C" w:rsidRPr="00477BA9" w:rsidP="00477BA9" w14:paraId="64F6540B" w14:textId="44733A6F">
            <w:pPr>
              <w:rPr>
                <w:sz w:val="22"/>
                <w:szCs w:val="22"/>
              </w:rPr>
            </w:pPr>
            <w:r w:rsidRPr="00477BA9">
              <w:rPr>
                <w:sz w:val="22"/>
                <w:szCs w:val="22"/>
              </w:rPr>
              <w:t xml:space="preserve">No evidence of </w:t>
            </w:r>
            <w:r>
              <w:rPr>
                <w:sz w:val="22"/>
                <w:szCs w:val="22"/>
              </w:rPr>
              <w:t>authorization</w:t>
            </w:r>
          </w:p>
        </w:tc>
      </w:tr>
      <w:tr w14:paraId="7976D43E" w14:textId="77777777" w:rsidTr="003C1AE1">
        <w:tblPrEx>
          <w:tblW w:w="8640" w:type="dxa"/>
          <w:jc w:val="center"/>
          <w:tblLook w:val="04A0"/>
        </w:tblPrEx>
        <w:trPr>
          <w:cantSplit/>
          <w:jc w:val="center"/>
        </w:trPr>
        <w:tc>
          <w:tcPr>
            <w:tcW w:w="434" w:type="dxa"/>
            <w:vAlign w:val="center"/>
          </w:tcPr>
          <w:p w:rsidR="007E786C" w:rsidRPr="00477BA9" w:rsidP="003C1AE1" w14:paraId="401A6BEC" w14:textId="025B905E">
            <w:pPr>
              <w:jc w:val="center"/>
              <w:rPr>
                <w:szCs w:val="22"/>
              </w:rPr>
            </w:pPr>
            <w:r>
              <w:rPr>
                <w:szCs w:val="22"/>
              </w:rPr>
              <w:t>7</w:t>
            </w:r>
          </w:p>
        </w:tc>
        <w:tc>
          <w:tcPr>
            <w:tcW w:w="1641" w:type="dxa"/>
            <w:tcMar>
              <w:top w:w="58" w:type="dxa"/>
              <w:left w:w="115" w:type="dxa"/>
              <w:bottom w:w="58" w:type="dxa"/>
              <w:right w:w="115" w:type="dxa"/>
            </w:tcMar>
            <w:vAlign w:val="center"/>
          </w:tcPr>
          <w:p w:rsidR="007E786C" w:rsidRPr="00477BA9" w:rsidP="00477BA9" w14:paraId="7E7A28EB" w14:textId="61BA389B">
            <w:pPr>
              <w:rPr>
                <w:sz w:val="22"/>
                <w:szCs w:val="22"/>
              </w:rPr>
            </w:pPr>
            <w:r w:rsidRPr="00477BA9">
              <w:rPr>
                <w:sz w:val="22"/>
                <w:szCs w:val="22"/>
              </w:rPr>
              <w:t>FBEDPLUS- all variants</w:t>
            </w:r>
          </w:p>
        </w:tc>
        <w:tc>
          <w:tcPr>
            <w:tcW w:w="1641" w:type="dxa"/>
            <w:tcMar>
              <w:top w:w="58" w:type="dxa"/>
              <w:left w:w="115" w:type="dxa"/>
              <w:bottom w:w="58" w:type="dxa"/>
              <w:right w:w="115" w:type="dxa"/>
            </w:tcMar>
            <w:vAlign w:val="center"/>
          </w:tcPr>
          <w:p w:rsidR="007E786C" w:rsidRPr="00477BA9" w:rsidP="00477BA9" w14:paraId="2F80AA85" w14:textId="77777777">
            <w:pPr>
              <w:rPr>
                <w:sz w:val="22"/>
                <w:szCs w:val="22"/>
              </w:rPr>
            </w:pPr>
            <w:r w:rsidRPr="00477BA9">
              <w:rPr>
                <w:sz w:val="22"/>
                <w:szCs w:val="22"/>
              </w:rPr>
              <w:t>IonizeME Elite Dual</w:t>
            </w:r>
          </w:p>
        </w:tc>
        <w:tc>
          <w:tcPr>
            <w:tcW w:w="1139" w:type="dxa"/>
            <w:tcMar>
              <w:top w:w="58" w:type="dxa"/>
              <w:left w:w="115" w:type="dxa"/>
              <w:bottom w:w="58" w:type="dxa"/>
              <w:right w:w="115" w:type="dxa"/>
            </w:tcMar>
            <w:vAlign w:val="center"/>
          </w:tcPr>
          <w:p w:rsidR="007E786C" w:rsidRPr="00477BA9" w:rsidP="00477BA9" w14:paraId="761A8090" w14:textId="77777777">
            <w:pPr>
              <w:rPr>
                <w:sz w:val="22"/>
                <w:szCs w:val="22"/>
              </w:rPr>
            </w:pPr>
            <w:r w:rsidRPr="00477BA9">
              <w:rPr>
                <w:sz w:val="22"/>
                <w:szCs w:val="22"/>
              </w:rPr>
              <w:t>Before 1-1-2018</w:t>
            </w:r>
          </w:p>
        </w:tc>
        <w:tc>
          <w:tcPr>
            <w:tcW w:w="1890" w:type="dxa"/>
            <w:tcMar>
              <w:top w:w="58" w:type="dxa"/>
              <w:left w:w="115" w:type="dxa"/>
              <w:bottom w:w="58" w:type="dxa"/>
              <w:right w:w="115" w:type="dxa"/>
            </w:tcMar>
            <w:vAlign w:val="center"/>
          </w:tcPr>
          <w:p w:rsidR="007E786C" w:rsidRPr="00477BA9" w:rsidP="00477BA9" w14:paraId="71C302C1" w14:textId="77777777">
            <w:pPr>
              <w:rPr>
                <w:sz w:val="22"/>
                <w:szCs w:val="22"/>
              </w:rPr>
            </w:pPr>
            <w:r w:rsidRPr="00477BA9">
              <w:rPr>
                <w:sz w:val="22"/>
                <w:szCs w:val="22"/>
              </w:rPr>
              <w:t>Ceased marketing 2-2019</w:t>
            </w:r>
          </w:p>
        </w:tc>
        <w:tc>
          <w:tcPr>
            <w:tcW w:w="1895" w:type="dxa"/>
            <w:tcMar>
              <w:top w:w="58" w:type="dxa"/>
              <w:left w:w="115" w:type="dxa"/>
              <w:bottom w:w="58" w:type="dxa"/>
              <w:right w:w="115" w:type="dxa"/>
            </w:tcMar>
            <w:vAlign w:val="center"/>
          </w:tcPr>
          <w:p w:rsidR="007E786C" w:rsidRPr="00477BA9" w:rsidP="00477BA9" w14:paraId="614D9C6C" w14:textId="6BD4CEEB">
            <w:pPr>
              <w:rPr>
                <w:sz w:val="22"/>
                <w:szCs w:val="22"/>
              </w:rPr>
            </w:pPr>
            <w:r w:rsidRPr="00477BA9">
              <w:rPr>
                <w:sz w:val="22"/>
                <w:szCs w:val="22"/>
              </w:rPr>
              <w:t xml:space="preserve">No evidence of </w:t>
            </w:r>
            <w:r>
              <w:rPr>
                <w:sz w:val="22"/>
                <w:szCs w:val="22"/>
              </w:rPr>
              <w:t>authorization</w:t>
            </w:r>
          </w:p>
        </w:tc>
      </w:tr>
      <w:tr w14:paraId="44D58E64" w14:textId="77777777" w:rsidTr="003C1AE1">
        <w:tblPrEx>
          <w:tblW w:w="8640" w:type="dxa"/>
          <w:jc w:val="center"/>
          <w:tblLook w:val="04A0"/>
        </w:tblPrEx>
        <w:trPr>
          <w:cantSplit/>
          <w:jc w:val="center"/>
        </w:trPr>
        <w:tc>
          <w:tcPr>
            <w:tcW w:w="434" w:type="dxa"/>
            <w:vAlign w:val="center"/>
          </w:tcPr>
          <w:p w:rsidR="007E786C" w:rsidRPr="00477BA9" w:rsidP="003C1AE1" w14:paraId="4FF2470A" w14:textId="0DBE26BD">
            <w:pPr>
              <w:jc w:val="center"/>
              <w:rPr>
                <w:szCs w:val="22"/>
              </w:rPr>
            </w:pPr>
            <w:r>
              <w:rPr>
                <w:szCs w:val="22"/>
              </w:rPr>
              <w:t>8</w:t>
            </w:r>
          </w:p>
        </w:tc>
        <w:tc>
          <w:tcPr>
            <w:tcW w:w="1641" w:type="dxa"/>
            <w:tcMar>
              <w:top w:w="58" w:type="dxa"/>
              <w:left w:w="115" w:type="dxa"/>
              <w:bottom w:w="58" w:type="dxa"/>
              <w:right w:w="115" w:type="dxa"/>
            </w:tcMar>
            <w:vAlign w:val="center"/>
          </w:tcPr>
          <w:p w:rsidR="007E786C" w:rsidRPr="00477BA9" w:rsidP="00477BA9" w14:paraId="5EB935C6" w14:textId="50AB1FDD">
            <w:pPr>
              <w:rPr>
                <w:sz w:val="22"/>
                <w:szCs w:val="22"/>
              </w:rPr>
            </w:pPr>
            <w:r w:rsidRPr="00477BA9">
              <w:rPr>
                <w:sz w:val="22"/>
                <w:szCs w:val="22"/>
              </w:rPr>
              <w:t>FBELITE- all variants</w:t>
            </w:r>
          </w:p>
        </w:tc>
        <w:tc>
          <w:tcPr>
            <w:tcW w:w="1641" w:type="dxa"/>
            <w:tcMar>
              <w:top w:w="58" w:type="dxa"/>
              <w:left w:w="115" w:type="dxa"/>
              <w:bottom w:w="58" w:type="dxa"/>
              <w:right w:w="115" w:type="dxa"/>
            </w:tcMar>
            <w:vAlign w:val="center"/>
          </w:tcPr>
          <w:p w:rsidR="007E786C" w:rsidRPr="00477BA9" w:rsidP="00477BA9" w14:paraId="0250D276" w14:textId="77777777">
            <w:pPr>
              <w:rPr>
                <w:sz w:val="22"/>
                <w:szCs w:val="22"/>
              </w:rPr>
            </w:pPr>
            <w:r w:rsidRPr="00477BA9">
              <w:rPr>
                <w:sz w:val="22"/>
                <w:szCs w:val="22"/>
              </w:rPr>
              <w:t>IonizeME Elite Ionic Detox</w:t>
            </w:r>
          </w:p>
        </w:tc>
        <w:tc>
          <w:tcPr>
            <w:tcW w:w="1139" w:type="dxa"/>
            <w:tcMar>
              <w:top w:w="58" w:type="dxa"/>
              <w:left w:w="115" w:type="dxa"/>
              <w:bottom w:w="58" w:type="dxa"/>
              <w:right w:w="115" w:type="dxa"/>
            </w:tcMar>
            <w:vAlign w:val="center"/>
          </w:tcPr>
          <w:p w:rsidR="007E786C" w:rsidRPr="00477BA9" w:rsidP="00477BA9" w14:paraId="71A6B110" w14:textId="77777777">
            <w:pPr>
              <w:rPr>
                <w:sz w:val="22"/>
                <w:szCs w:val="22"/>
              </w:rPr>
            </w:pPr>
            <w:r w:rsidRPr="00477BA9">
              <w:rPr>
                <w:sz w:val="22"/>
                <w:szCs w:val="22"/>
              </w:rPr>
              <w:t>Before 1-1-2018</w:t>
            </w:r>
          </w:p>
        </w:tc>
        <w:tc>
          <w:tcPr>
            <w:tcW w:w="1890" w:type="dxa"/>
            <w:tcMar>
              <w:top w:w="58" w:type="dxa"/>
              <w:left w:w="115" w:type="dxa"/>
              <w:bottom w:w="58" w:type="dxa"/>
              <w:right w:w="115" w:type="dxa"/>
            </w:tcMar>
            <w:vAlign w:val="center"/>
          </w:tcPr>
          <w:p w:rsidR="007E786C" w:rsidRPr="00477BA9" w:rsidP="00477BA9" w14:paraId="22E3957F" w14:textId="77777777">
            <w:pPr>
              <w:rPr>
                <w:sz w:val="22"/>
                <w:szCs w:val="22"/>
              </w:rPr>
            </w:pPr>
            <w:r w:rsidRPr="00477BA9">
              <w:rPr>
                <w:sz w:val="22"/>
                <w:szCs w:val="22"/>
              </w:rPr>
              <w:t>Discontinued 4-2020 to avoid testing costs</w:t>
            </w:r>
          </w:p>
        </w:tc>
        <w:tc>
          <w:tcPr>
            <w:tcW w:w="1895" w:type="dxa"/>
            <w:tcMar>
              <w:top w:w="58" w:type="dxa"/>
              <w:left w:w="115" w:type="dxa"/>
              <w:bottom w:w="58" w:type="dxa"/>
              <w:right w:w="115" w:type="dxa"/>
            </w:tcMar>
            <w:vAlign w:val="center"/>
          </w:tcPr>
          <w:p w:rsidR="007E786C" w:rsidRPr="00477BA9" w:rsidP="00477BA9" w14:paraId="0FEAFC16" w14:textId="1A0588B5">
            <w:pPr>
              <w:rPr>
                <w:sz w:val="22"/>
                <w:szCs w:val="22"/>
              </w:rPr>
            </w:pPr>
            <w:r w:rsidRPr="00477BA9">
              <w:rPr>
                <w:sz w:val="22"/>
                <w:szCs w:val="22"/>
              </w:rPr>
              <w:t xml:space="preserve">No evidence of </w:t>
            </w:r>
            <w:r>
              <w:rPr>
                <w:sz w:val="22"/>
                <w:szCs w:val="22"/>
              </w:rPr>
              <w:t>authorization</w:t>
            </w:r>
          </w:p>
        </w:tc>
      </w:tr>
      <w:tr w14:paraId="45EF8FEA" w14:textId="77777777" w:rsidTr="003C1AE1">
        <w:tblPrEx>
          <w:tblW w:w="8640" w:type="dxa"/>
          <w:jc w:val="center"/>
          <w:tblLook w:val="04A0"/>
        </w:tblPrEx>
        <w:trPr>
          <w:cantSplit/>
          <w:jc w:val="center"/>
        </w:trPr>
        <w:tc>
          <w:tcPr>
            <w:tcW w:w="434" w:type="dxa"/>
            <w:vAlign w:val="center"/>
          </w:tcPr>
          <w:p w:rsidR="007E786C" w:rsidRPr="00477BA9" w:rsidP="003C1AE1" w14:paraId="2B475D9E" w14:textId="52E0EA2B">
            <w:pPr>
              <w:jc w:val="center"/>
              <w:rPr>
                <w:szCs w:val="22"/>
                <w:shd w:val="clear" w:color="auto" w:fill="FFFFFF"/>
              </w:rPr>
            </w:pPr>
            <w:r>
              <w:rPr>
                <w:szCs w:val="22"/>
                <w:shd w:val="clear" w:color="auto" w:fill="FFFFFF"/>
              </w:rPr>
              <w:t>9</w:t>
            </w:r>
          </w:p>
        </w:tc>
        <w:tc>
          <w:tcPr>
            <w:tcW w:w="1641" w:type="dxa"/>
            <w:tcMar>
              <w:top w:w="58" w:type="dxa"/>
              <w:left w:w="115" w:type="dxa"/>
              <w:bottom w:w="58" w:type="dxa"/>
              <w:right w:w="115" w:type="dxa"/>
            </w:tcMar>
            <w:vAlign w:val="center"/>
          </w:tcPr>
          <w:p w:rsidR="007E786C" w:rsidRPr="00477BA9" w:rsidP="00776821" w14:paraId="65C812EB" w14:textId="1C9C17BD">
            <w:pPr>
              <w:rPr>
                <w:sz w:val="22"/>
                <w:szCs w:val="22"/>
              </w:rPr>
            </w:pPr>
            <w:r w:rsidRPr="00477BA9">
              <w:rPr>
                <w:sz w:val="22"/>
                <w:szCs w:val="22"/>
                <w:shd w:val="clear" w:color="auto" w:fill="FFFFFF"/>
              </w:rPr>
              <w:t>FBMAXXD-E</w:t>
            </w:r>
          </w:p>
        </w:tc>
        <w:tc>
          <w:tcPr>
            <w:tcW w:w="1641" w:type="dxa"/>
            <w:tcMar>
              <w:top w:w="58" w:type="dxa"/>
              <w:left w:w="115" w:type="dxa"/>
              <w:bottom w:w="58" w:type="dxa"/>
              <w:right w:w="115" w:type="dxa"/>
            </w:tcMar>
            <w:vAlign w:val="center"/>
          </w:tcPr>
          <w:p w:rsidR="007E786C" w:rsidRPr="00477BA9" w:rsidP="00776821" w14:paraId="478AAC4B" w14:textId="77777777">
            <w:pPr>
              <w:rPr>
                <w:sz w:val="22"/>
                <w:szCs w:val="22"/>
              </w:rPr>
            </w:pPr>
            <w:r w:rsidRPr="00477BA9">
              <w:rPr>
                <w:sz w:val="22"/>
                <w:szCs w:val="22"/>
              </w:rPr>
              <w:t>IonizeME Maxx Dual</w:t>
            </w:r>
          </w:p>
        </w:tc>
        <w:tc>
          <w:tcPr>
            <w:tcW w:w="1139" w:type="dxa"/>
            <w:tcMar>
              <w:top w:w="58" w:type="dxa"/>
              <w:left w:w="115" w:type="dxa"/>
              <w:bottom w:w="58" w:type="dxa"/>
              <w:right w:w="115" w:type="dxa"/>
            </w:tcMar>
            <w:vAlign w:val="center"/>
          </w:tcPr>
          <w:p w:rsidR="007E786C" w:rsidRPr="00477BA9" w:rsidP="00776821" w14:paraId="2E009ACE" w14:textId="77777777">
            <w:pPr>
              <w:rPr>
                <w:sz w:val="22"/>
                <w:szCs w:val="22"/>
              </w:rPr>
            </w:pPr>
            <w:r w:rsidRPr="00477BA9">
              <w:rPr>
                <w:sz w:val="22"/>
                <w:szCs w:val="22"/>
              </w:rPr>
              <w:t>4-2018</w:t>
            </w:r>
          </w:p>
        </w:tc>
        <w:tc>
          <w:tcPr>
            <w:tcW w:w="1890" w:type="dxa"/>
            <w:tcMar>
              <w:top w:w="58" w:type="dxa"/>
              <w:left w:w="115" w:type="dxa"/>
              <w:bottom w:w="58" w:type="dxa"/>
              <w:right w:w="115" w:type="dxa"/>
            </w:tcMar>
            <w:vAlign w:val="center"/>
          </w:tcPr>
          <w:p w:rsidR="007E786C" w:rsidRPr="00477BA9" w:rsidP="00776821" w14:paraId="683F9757" w14:textId="77777777">
            <w:pPr>
              <w:rPr>
                <w:sz w:val="22"/>
                <w:szCs w:val="22"/>
              </w:rPr>
            </w:pPr>
            <w:r w:rsidRPr="00477BA9">
              <w:rPr>
                <w:sz w:val="22"/>
                <w:szCs w:val="22"/>
              </w:rPr>
              <w:t>Not on website as of February 10, 2022</w:t>
            </w:r>
          </w:p>
        </w:tc>
        <w:tc>
          <w:tcPr>
            <w:tcW w:w="1895" w:type="dxa"/>
            <w:tcMar>
              <w:top w:w="58" w:type="dxa"/>
              <w:left w:w="115" w:type="dxa"/>
              <w:bottom w:w="58" w:type="dxa"/>
              <w:right w:w="115" w:type="dxa"/>
            </w:tcMar>
            <w:vAlign w:val="center"/>
          </w:tcPr>
          <w:p w:rsidR="007E786C" w:rsidRPr="00477BA9" w:rsidP="00776821" w14:paraId="6A9DE1E2" w14:textId="77777777">
            <w:pPr>
              <w:rPr>
                <w:sz w:val="22"/>
                <w:szCs w:val="22"/>
              </w:rPr>
            </w:pPr>
            <w:r w:rsidRPr="00477BA9">
              <w:rPr>
                <w:sz w:val="22"/>
                <w:szCs w:val="22"/>
              </w:rPr>
              <w:t>Passed Part 15(B) testing 8-14-2020</w:t>
            </w:r>
          </w:p>
        </w:tc>
      </w:tr>
      <w:tr w14:paraId="719C7B62" w14:textId="77777777" w:rsidTr="003C1AE1">
        <w:tblPrEx>
          <w:tblW w:w="8640" w:type="dxa"/>
          <w:jc w:val="center"/>
          <w:tblLook w:val="04A0"/>
        </w:tblPrEx>
        <w:trPr>
          <w:cantSplit/>
          <w:jc w:val="center"/>
        </w:trPr>
        <w:tc>
          <w:tcPr>
            <w:tcW w:w="434" w:type="dxa"/>
            <w:vAlign w:val="center"/>
          </w:tcPr>
          <w:p w:rsidR="007E786C" w:rsidRPr="00477BA9" w:rsidP="003C1AE1" w14:paraId="6CC6377E" w14:textId="58DB542F">
            <w:pPr>
              <w:jc w:val="center"/>
              <w:rPr>
                <w:szCs w:val="22"/>
              </w:rPr>
            </w:pPr>
            <w:r>
              <w:rPr>
                <w:szCs w:val="22"/>
              </w:rPr>
              <w:t>10</w:t>
            </w:r>
          </w:p>
        </w:tc>
        <w:tc>
          <w:tcPr>
            <w:tcW w:w="1641" w:type="dxa"/>
            <w:tcMar>
              <w:top w:w="58" w:type="dxa"/>
              <w:left w:w="115" w:type="dxa"/>
              <w:bottom w:w="58" w:type="dxa"/>
              <w:right w:w="115" w:type="dxa"/>
            </w:tcMar>
            <w:vAlign w:val="center"/>
          </w:tcPr>
          <w:p w:rsidR="007E786C" w:rsidRPr="00477BA9" w:rsidP="00776821" w14:paraId="1270E4AB" w14:textId="6BDF3376">
            <w:pPr>
              <w:rPr>
                <w:sz w:val="22"/>
                <w:szCs w:val="22"/>
              </w:rPr>
            </w:pPr>
            <w:r w:rsidRPr="00477BA9">
              <w:rPr>
                <w:sz w:val="22"/>
                <w:szCs w:val="22"/>
              </w:rPr>
              <w:t>FBMAXXGO</w:t>
            </w:r>
          </w:p>
        </w:tc>
        <w:tc>
          <w:tcPr>
            <w:tcW w:w="1641" w:type="dxa"/>
            <w:tcMar>
              <w:top w:w="58" w:type="dxa"/>
              <w:left w:w="115" w:type="dxa"/>
              <w:bottom w:w="58" w:type="dxa"/>
              <w:right w:w="115" w:type="dxa"/>
            </w:tcMar>
            <w:vAlign w:val="center"/>
          </w:tcPr>
          <w:p w:rsidR="007E786C" w:rsidRPr="00477BA9" w:rsidP="00776821" w14:paraId="100133BD" w14:textId="77777777">
            <w:pPr>
              <w:rPr>
                <w:sz w:val="22"/>
                <w:szCs w:val="22"/>
              </w:rPr>
            </w:pPr>
            <w:r w:rsidRPr="00477BA9">
              <w:rPr>
                <w:sz w:val="22"/>
                <w:szCs w:val="22"/>
              </w:rPr>
              <w:t>IonizeME Maxx Go</w:t>
            </w:r>
          </w:p>
        </w:tc>
        <w:tc>
          <w:tcPr>
            <w:tcW w:w="1139" w:type="dxa"/>
            <w:tcMar>
              <w:top w:w="58" w:type="dxa"/>
              <w:left w:w="115" w:type="dxa"/>
              <w:bottom w:w="58" w:type="dxa"/>
              <w:right w:w="115" w:type="dxa"/>
            </w:tcMar>
            <w:vAlign w:val="center"/>
          </w:tcPr>
          <w:p w:rsidR="007E786C" w:rsidRPr="00477BA9" w:rsidP="00776821" w14:paraId="192A954E" w14:textId="77777777">
            <w:pPr>
              <w:rPr>
                <w:sz w:val="22"/>
                <w:szCs w:val="22"/>
              </w:rPr>
            </w:pPr>
            <w:r w:rsidRPr="00477BA9">
              <w:rPr>
                <w:sz w:val="22"/>
                <w:szCs w:val="22"/>
              </w:rPr>
              <w:t>11-2019</w:t>
            </w:r>
          </w:p>
        </w:tc>
        <w:tc>
          <w:tcPr>
            <w:tcW w:w="1890" w:type="dxa"/>
            <w:tcMar>
              <w:top w:w="58" w:type="dxa"/>
              <w:left w:w="115" w:type="dxa"/>
              <w:bottom w:w="58" w:type="dxa"/>
              <w:right w:w="115" w:type="dxa"/>
            </w:tcMar>
            <w:vAlign w:val="center"/>
          </w:tcPr>
          <w:p w:rsidR="007E786C" w:rsidRPr="00477BA9" w:rsidP="00776821" w14:paraId="11AE9B4B" w14:textId="77777777">
            <w:pPr>
              <w:rPr>
                <w:sz w:val="22"/>
                <w:szCs w:val="22"/>
              </w:rPr>
            </w:pPr>
            <w:r w:rsidRPr="00477BA9">
              <w:rPr>
                <w:sz w:val="22"/>
                <w:szCs w:val="22"/>
              </w:rPr>
              <w:t>Still marketing as of February 10, 2022.</w:t>
            </w:r>
          </w:p>
        </w:tc>
        <w:tc>
          <w:tcPr>
            <w:tcW w:w="1895" w:type="dxa"/>
            <w:tcMar>
              <w:top w:w="58" w:type="dxa"/>
              <w:left w:w="115" w:type="dxa"/>
              <w:bottom w:w="58" w:type="dxa"/>
              <w:right w:w="115" w:type="dxa"/>
            </w:tcMar>
            <w:vAlign w:val="center"/>
          </w:tcPr>
          <w:p w:rsidR="007E786C" w:rsidRPr="00477BA9" w:rsidP="00776821" w14:paraId="72884A6F" w14:textId="77777777">
            <w:pPr>
              <w:rPr>
                <w:sz w:val="22"/>
                <w:szCs w:val="22"/>
              </w:rPr>
            </w:pPr>
            <w:r w:rsidRPr="00477BA9">
              <w:rPr>
                <w:sz w:val="22"/>
                <w:szCs w:val="22"/>
              </w:rPr>
              <w:t>Passed Part 15(B) testing 8-13-2020</w:t>
            </w:r>
          </w:p>
        </w:tc>
      </w:tr>
      <w:tr w14:paraId="19E1444E" w14:textId="77777777" w:rsidTr="003C1AE1">
        <w:tblPrEx>
          <w:tblW w:w="8640" w:type="dxa"/>
          <w:jc w:val="center"/>
          <w:tblLook w:val="04A0"/>
        </w:tblPrEx>
        <w:trPr>
          <w:cantSplit/>
          <w:jc w:val="center"/>
        </w:trPr>
        <w:tc>
          <w:tcPr>
            <w:tcW w:w="434" w:type="dxa"/>
            <w:vAlign w:val="center"/>
          </w:tcPr>
          <w:p w:rsidR="007E786C" w:rsidRPr="00477BA9" w:rsidP="003C1AE1" w14:paraId="740DE6BE" w14:textId="452F6B83">
            <w:pPr>
              <w:jc w:val="center"/>
              <w:rPr>
                <w:szCs w:val="22"/>
              </w:rPr>
            </w:pPr>
            <w:r>
              <w:rPr>
                <w:szCs w:val="22"/>
              </w:rPr>
              <w:t>11</w:t>
            </w:r>
          </w:p>
        </w:tc>
        <w:tc>
          <w:tcPr>
            <w:tcW w:w="1641" w:type="dxa"/>
            <w:tcMar>
              <w:top w:w="58" w:type="dxa"/>
              <w:left w:w="115" w:type="dxa"/>
              <w:bottom w:w="58" w:type="dxa"/>
              <w:right w:w="115" w:type="dxa"/>
            </w:tcMar>
            <w:vAlign w:val="center"/>
          </w:tcPr>
          <w:p w:rsidR="007E786C" w:rsidRPr="00477BA9" w:rsidP="00477BA9" w14:paraId="45B53B15" w14:textId="0B4BBFE8">
            <w:pPr>
              <w:rPr>
                <w:sz w:val="22"/>
                <w:szCs w:val="22"/>
              </w:rPr>
            </w:pPr>
            <w:r w:rsidRPr="00477BA9">
              <w:rPr>
                <w:sz w:val="22"/>
                <w:szCs w:val="22"/>
              </w:rPr>
              <w:t>FB632- all variants</w:t>
            </w:r>
          </w:p>
        </w:tc>
        <w:tc>
          <w:tcPr>
            <w:tcW w:w="1641" w:type="dxa"/>
            <w:tcMar>
              <w:top w:w="58" w:type="dxa"/>
              <w:left w:w="115" w:type="dxa"/>
              <w:bottom w:w="58" w:type="dxa"/>
              <w:right w:w="115" w:type="dxa"/>
            </w:tcMar>
            <w:vAlign w:val="center"/>
          </w:tcPr>
          <w:p w:rsidR="007E786C" w:rsidRPr="00477BA9" w:rsidP="00477BA9" w14:paraId="54A86819" w14:textId="77777777">
            <w:pPr>
              <w:rPr>
                <w:sz w:val="22"/>
                <w:szCs w:val="22"/>
              </w:rPr>
            </w:pPr>
            <w:r w:rsidRPr="00477BA9">
              <w:rPr>
                <w:sz w:val="22"/>
                <w:szCs w:val="22"/>
              </w:rPr>
              <w:t>IonizeME Deluxe</w:t>
            </w:r>
          </w:p>
        </w:tc>
        <w:tc>
          <w:tcPr>
            <w:tcW w:w="1139" w:type="dxa"/>
            <w:tcMar>
              <w:top w:w="58" w:type="dxa"/>
              <w:left w:w="115" w:type="dxa"/>
              <w:bottom w:w="58" w:type="dxa"/>
              <w:right w:w="115" w:type="dxa"/>
            </w:tcMar>
            <w:vAlign w:val="center"/>
          </w:tcPr>
          <w:p w:rsidR="007E786C" w:rsidRPr="00477BA9" w:rsidP="00477BA9" w14:paraId="5BAE6E42" w14:textId="77777777">
            <w:pPr>
              <w:rPr>
                <w:sz w:val="22"/>
                <w:szCs w:val="22"/>
              </w:rPr>
            </w:pPr>
            <w:r w:rsidRPr="00477BA9">
              <w:rPr>
                <w:sz w:val="22"/>
                <w:szCs w:val="22"/>
              </w:rPr>
              <w:t>Before 1-1-2018</w:t>
            </w:r>
          </w:p>
        </w:tc>
        <w:tc>
          <w:tcPr>
            <w:tcW w:w="1890" w:type="dxa"/>
            <w:tcMar>
              <w:top w:w="58" w:type="dxa"/>
              <w:left w:w="115" w:type="dxa"/>
              <w:bottom w:w="58" w:type="dxa"/>
              <w:right w:w="115" w:type="dxa"/>
            </w:tcMar>
            <w:vAlign w:val="center"/>
          </w:tcPr>
          <w:p w:rsidR="007E786C" w:rsidRPr="00477BA9" w:rsidP="00477BA9" w14:paraId="4DC8B863" w14:textId="77777777">
            <w:pPr>
              <w:rPr>
                <w:sz w:val="22"/>
                <w:szCs w:val="22"/>
              </w:rPr>
            </w:pPr>
            <w:r w:rsidRPr="00477BA9">
              <w:rPr>
                <w:sz w:val="22"/>
                <w:szCs w:val="22"/>
              </w:rPr>
              <w:t>Not on website as of February 10, 2022.</w:t>
            </w:r>
          </w:p>
        </w:tc>
        <w:tc>
          <w:tcPr>
            <w:tcW w:w="1895" w:type="dxa"/>
            <w:tcMar>
              <w:top w:w="58" w:type="dxa"/>
              <w:left w:w="115" w:type="dxa"/>
              <w:bottom w:w="58" w:type="dxa"/>
              <w:right w:w="115" w:type="dxa"/>
            </w:tcMar>
            <w:vAlign w:val="center"/>
          </w:tcPr>
          <w:p w:rsidR="007E786C" w:rsidRPr="00477BA9" w:rsidP="00477BA9" w14:paraId="285682B6" w14:textId="622583FC">
            <w:pPr>
              <w:rPr>
                <w:sz w:val="22"/>
                <w:szCs w:val="22"/>
              </w:rPr>
            </w:pPr>
            <w:r w:rsidRPr="00477BA9">
              <w:rPr>
                <w:sz w:val="22"/>
                <w:szCs w:val="22"/>
              </w:rPr>
              <w:t xml:space="preserve">No evidence of </w:t>
            </w:r>
            <w:r>
              <w:rPr>
                <w:sz w:val="22"/>
                <w:szCs w:val="22"/>
              </w:rPr>
              <w:t>authorization</w:t>
            </w:r>
          </w:p>
        </w:tc>
      </w:tr>
      <w:tr w14:paraId="6D81F626" w14:textId="77777777" w:rsidTr="003C1AE1">
        <w:tblPrEx>
          <w:tblW w:w="8640" w:type="dxa"/>
          <w:jc w:val="center"/>
          <w:tblLook w:val="04A0"/>
        </w:tblPrEx>
        <w:trPr>
          <w:cantSplit/>
          <w:jc w:val="center"/>
        </w:trPr>
        <w:tc>
          <w:tcPr>
            <w:tcW w:w="434" w:type="dxa"/>
            <w:vAlign w:val="center"/>
          </w:tcPr>
          <w:p w:rsidR="007E786C" w:rsidRPr="00477BA9" w:rsidP="003C1AE1" w14:paraId="1BF6B7DA" w14:textId="71FB78E8">
            <w:pPr>
              <w:jc w:val="center"/>
              <w:rPr>
                <w:szCs w:val="22"/>
              </w:rPr>
            </w:pPr>
            <w:r>
              <w:rPr>
                <w:szCs w:val="22"/>
              </w:rPr>
              <w:t>12</w:t>
            </w:r>
          </w:p>
        </w:tc>
        <w:tc>
          <w:tcPr>
            <w:tcW w:w="1641" w:type="dxa"/>
            <w:tcMar>
              <w:top w:w="58" w:type="dxa"/>
              <w:left w:w="115" w:type="dxa"/>
              <w:bottom w:w="58" w:type="dxa"/>
              <w:right w:w="115" w:type="dxa"/>
            </w:tcMar>
            <w:vAlign w:val="center"/>
          </w:tcPr>
          <w:p w:rsidR="007E786C" w:rsidRPr="00477BA9" w:rsidP="00477BA9" w14:paraId="77CE9796" w14:textId="545A0175">
            <w:pPr>
              <w:rPr>
                <w:sz w:val="22"/>
                <w:szCs w:val="22"/>
              </w:rPr>
            </w:pPr>
            <w:r w:rsidRPr="00477BA9">
              <w:rPr>
                <w:sz w:val="22"/>
                <w:szCs w:val="22"/>
              </w:rPr>
              <w:t>FB401-all variants</w:t>
            </w:r>
          </w:p>
        </w:tc>
        <w:tc>
          <w:tcPr>
            <w:tcW w:w="1641" w:type="dxa"/>
            <w:tcMar>
              <w:top w:w="58" w:type="dxa"/>
              <w:left w:w="115" w:type="dxa"/>
              <w:bottom w:w="58" w:type="dxa"/>
              <w:right w:w="115" w:type="dxa"/>
            </w:tcMar>
            <w:vAlign w:val="center"/>
          </w:tcPr>
          <w:p w:rsidR="007E786C" w:rsidRPr="00477BA9" w:rsidP="00477BA9" w14:paraId="4B9A5372" w14:textId="77777777">
            <w:pPr>
              <w:rPr>
                <w:sz w:val="22"/>
                <w:szCs w:val="22"/>
              </w:rPr>
            </w:pPr>
            <w:r w:rsidRPr="00477BA9">
              <w:rPr>
                <w:sz w:val="22"/>
                <w:szCs w:val="22"/>
              </w:rPr>
              <w:t>IonizeME Classic</w:t>
            </w:r>
          </w:p>
        </w:tc>
        <w:tc>
          <w:tcPr>
            <w:tcW w:w="1139" w:type="dxa"/>
            <w:tcMar>
              <w:top w:w="58" w:type="dxa"/>
              <w:left w:w="115" w:type="dxa"/>
              <w:bottom w:w="58" w:type="dxa"/>
              <w:right w:w="115" w:type="dxa"/>
            </w:tcMar>
            <w:vAlign w:val="center"/>
          </w:tcPr>
          <w:p w:rsidR="007E786C" w:rsidRPr="00477BA9" w:rsidP="00477BA9" w14:paraId="7A80234A" w14:textId="77777777">
            <w:pPr>
              <w:rPr>
                <w:sz w:val="22"/>
                <w:szCs w:val="22"/>
              </w:rPr>
            </w:pPr>
            <w:r w:rsidRPr="00477BA9">
              <w:rPr>
                <w:sz w:val="22"/>
                <w:szCs w:val="22"/>
              </w:rPr>
              <w:t>Before 10-10-2018</w:t>
            </w:r>
          </w:p>
        </w:tc>
        <w:tc>
          <w:tcPr>
            <w:tcW w:w="1890" w:type="dxa"/>
            <w:tcMar>
              <w:top w:w="58" w:type="dxa"/>
              <w:left w:w="115" w:type="dxa"/>
              <w:bottom w:w="58" w:type="dxa"/>
              <w:right w:w="115" w:type="dxa"/>
            </w:tcMar>
            <w:vAlign w:val="center"/>
          </w:tcPr>
          <w:p w:rsidR="007E786C" w:rsidRPr="00477BA9" w:rsidP="00477BA9" w14:paraId="20D6B6C9" w14:textId="77777777">
            <w:pPr>
              <w:rPr>
                <w:sz w:val="22"/>
                <w:szCs w:val="22"/>
              </w:rPr>
            </w:pPr>
            <w:r w:rsidRPr="00477BA9">
              <w:rPr>
                <w:sz w:val="22"/>
                <w:szCs w:val="22"/>
              </w:rPr>
              <w:t>Not on website as of February 10, 2022.</w:t>
            </w:r>
          </w:p>
        </w:tc>
        <w:tc>
          <w:tcPr>
            <w:tcW w:w="1895" w:type="dxa"/>
            <w:tcMar>
              <w:top w:w="58" w:type="dxa"/>
              <w:left w:w="115" w:type="dxa"/>
              <w:bottom w:w="58" w:type="dxa"/>
              <w:right w:w="115" w:type="dxa"/>
            </w:tcMar>
            <w:vAlign w:val="center"/>
          </w:tcPr>
          <w:p w:rsidR="007E786C" w:rsidRPr="00477BA9" w:rsidP="00477BA9" w14:paraId="682EFBE2" w14:textId="01F9BD79">
            <w:pPr>
              <w:rPr>
                <w:sz w:val="22"/>
                <w:szCs w:val="22"/>
              </w:rPr>
            </w:pPr>
            <w:r w:rsidRPr="00477BA9">
              <w:rPr>
                <w:sz w:val="22"/>
                <w:szCs w:val="22"/>
              </w:rPr>
              <w:t xml:space="preserve">No evidence of </w:t>
            </w:r>
            <w:r>
              <w:rPr>
                <w:sz w:val="22"/>
                <w:szCs w:val="22"/>
              </w:rPr>
              <w:t>authorization</w:t>
            </w:r>
          </w:p>
        </w:tc>
      </w:tr>
      <w:tr w14:paraId="0A3B9BC6" w14:textId="77777777" w:rsidTr="003C1AE1">
        <w:tblPrEx>
          <w:tblW w:w="8640" w:type="dxa"/>
          <w:jc w:val="center"/>
          <w:tblLook w:val="04A0"/>
        </w:tblPrEx>
        <w:trPr>
          <w:cantSplit/>
          <w:jc w:val="center"/>
        </w:trPr>
        <w:tc>
          <w:tcPr>
            <w:tcW w:w="434" w:type="dxa"/>
            <w:vAlign w:val="center"/>
          </w:tcPr>
          <w:p w:rsidR="007E786C" w:rsidRPr="00477BA9" w:rsidP="003C1AE1" w14:paraId="5CFB63E6" w14:textId="3D2B3A5E">
            <w:pPr>
              <w:jc w:val="center"/>
              <w:rPr>
                <w:szCs w:val="22"/>
              </w:rPr>
            </w:pPr>
            <w:r>
              <w:rPr>
                <w:szCs w:val="22"/>
              </w:rPr>
              <w:t>13</w:t>
            </w:r>
          </w:p>
        </w:tc>
        <w:tc>
          <w:tcPr>
            <w:tcW w:w="1641" w:type="dxa"/>
            <w:tcMar>
              <w:top w:w="58" w:type="dxa"/>
              <w:left w:w="115" w:type="dxa"/>
              <w:bottom w:w="58" w:type="dxa"/>
              <w:right w:w="115" w:type="dxa"/>
            </w:tcMar>
            <w:vAlign w:val="center"/>
          </w:tcPr>
          <w:p w:rsidR="007E786C" w:rsidRPr="00477BA9" w:rsidP="00477BA9" w14:paraId="4FAA8957" w14:textId="62F7F192">
            <w:pPr>
              <w:rPr>
                <w:sz w:val="22"/>
                <w:szCs w:val="22"/>
              </w:rPr>
            </w:pPr>
            <w:r w:rsidRPr="00477BA9">
              <w:rPr>
                <w:sz w:val="22"/>
                <w:szCs w:val="22"/>
              </w:rPr>
              <w:t>FB803- all variants</w:t>
            </w:r>
          </w:p>
        </w:tc>
        <w:tc>
          <w:tcPr>
            <w:tcW w:w="1641" w:type="dxa"/>
            <w:tcMar>
              <w:top w:w="58" w:type="dxa"/>
              <w:left w:w="115" w:type="dxa"/>
              <w:bottom w:w="58" w:type="dxa"/>
              <w:right w:w="115" w:type="dxa"/>
            </w:tcMar>
            <w:vAlign w:val="center"/>
          </w:tcPr>
          <w:p w:rsidR="007E786C" w:rsidRPr="00477BA9" w:rsidP="00477BA9" w14:paraId="5C63BFD2" w14:textId="539EBA3D">
            <w:pPr>
              <w:rPr>
                <w:sz w:val="22"/>
                <w:szCs w:val="22"/>
              </w:rPr>
            </w:pPr>
            <w:r w:rsidRPr="00477BA9">
              <w:rPr>
                <w:sz w:val="22"/>
                <w:szCs w:val="22"/>
              </w:rPr>
              <w:t>IonizeME Dual</w:t>
            </w:r>
          </w:p>
        </w:tc>
        <w:tc>
          <w:tcPr>
            <w:tcW w:w="1139" w:type="dxa"/>
            <w:tcMar>
              <w:top w:w="58" w:type="dxa"/>
              <w:left w:w="115" w:type="dxa"/>
              <w:bottom w:w="58" w:type="dxa"/>
              <w:right w:w="115" w:type="dxa"/>
            </w:tcMar>
            <w:vAlign w:val="center"/>
          </w:tcPr>
          <w:p w:rsidR="007E786C" w:rsidRPr="00477BA9" w:rsidP="00477BA9" w14:paraId="79C2C6BC" w14:textId="77777777">
            <w:pPr>
              <w:rPr>
                <w:sz w:val="22"/>
                <w:szCs w:val="22"/>
              </w:rPr>
            </w:pPr>
            <w:r w:rsidRPr="00477BA9">
              <w:rPr>
                <w:sz w:val="22"/>
                <w:szCs w:val="22"/>
              </w:rPr>
              <w:t>Before 1-1-2018</w:t>
            </w:r>
          </w:p>
        </w:tc>
        <w:tc>
          <w:tcPr>
            <w:tcW w:w="1890" w:type="dxa"/>
            <w:tcMar>
              <w:top w:w="58" w:type="dxa"/>
              <w:left w:w="115" w:type="dxa"/>
              <w:bottom w:w="58" w:type="dxa"/>
              <w:right w:w="115" w:type="dxa"/>
            </w:tcMar>
            <w:vAlign w:val="center"/>
          </w:tcPr>
          <w:p w:rsidR="007E786C" w:rsidRPr="00477BA9" w:rsidP="00477BA9" w14:paraId="404F0645" w14:textId="117A1AFD">
            <w:pPr>
              <w:rPr>
                <w:sz w:val="22"/>
                <w:szCs w:val="22"/>
              </w:rPr>
            </w:pPr>
            <w:r w:rsidRPr="00477BA9">
              <w:rPr>
                <w:sz w:val="22"/>
                <w:szCs w:val="22"/>
              </w:rPr>
              <w:t>Not on website as of February 10, 2022.</w:t>
            </w:r>
          </w:p>
        </w:tc>
        <w:tc>
          <w:tcPr>
            <w:tcW w:w="1895" w:type="dxa"/>
            <w:tcMar>
              <w:top w:w="58" w:type="dxa"/>
              <w:left w:w="115" w:type="dxa"/>
              <w:bottom w:w="58" w:type="dxa"/>
              <w:right w:w="115" w:type="dxa"/>
            </w:tcMar>
            <w:vAlign w:val="center"/>
          </w:tcPr>
          <w:p w:rsidR="007E786C" w:rsidRPr="00477BA9" w:rsidP="00477BA9" w14:paraId="32B0552A" w14:textId="3AEEC45E">
            <w:pPr>
              <w:rPr>
                <w:sz w:val="22"/>
                <w:szCs w:val="22"/>
              </w:rPr>
            </w:pPr>
            <w:r w:rsidRPr="00477BA9">
              <w:rPr>
                <w:sz w:val="22"/>
                <w:szCs w:val="22"/>
              </w:rPr>
              <w:t xml:space="preserve">No evidence of </w:t>
            </w:r>
            <w:r>
              <w:rPr>
                <w:sz w:val="22"/>
                <w:szCs w:val="22"/>
              </w:rPr>
              <w:t>authorization</w:t>
            </w:r>
          </w:p>
        </w:tc>
      </w:tr>
      <w:tr w14:paraId="0C0F22CA" w14:textId="77777777" w:rsidTr="003C1AE1">
        <w:tblPrEx>
          <w:tblW w:w="8640" w:type="dxa"/>
          <w:jc w:val="center"/>
          <w:tblLook w:val="04A0"/>
        </w:tblPrEx>
        <w:trPr>
          <w:cantSplit/>
          <w:jc w:val="center"/>
        </w:trPr>
        <w:tc>
          <w:tcPr>
            <w:tcW w:w="434" w:type="dxa"/>
            <w:vAlign w:val="center"/>
          </w:tcPr>
          <w:p w:rsidR="007E786C" w:rsidRPr="00477BA9" w:rsidP="003C1AE1" w14:paraId="7BEECCA3" w14:textId="2A7475DE">
            <w:pPr>
              <w:jc w:val="center"/>
              <w:rPr>
                <w:szCs w:val="22"/>
              </w:rPr>
            </w:pPr>
            <w:r>
              <w:rPr>
                <w:szCs w:val="22"/>
              </w:rPr>
              <w:t>14</w:t>
            </w:r>
          </w:p>
        </w:tc>
        <w:tc>
          <w:tcPr>
            <w:tcW w:w="1641" w:type="dxa"/>
            <w:tcMar>
              <w:top w:w="58" w:type="dxa"/>
              <w:left w:w="115" w:type="dxa"/>
              <w:bottom w:w="58" w:type="dxa"/>
              <w:right w:w="115" w:type="dxa"/>
            </w:tcMar>
            <w:vAlign w:val="center"/>
          </w:tcPr>
          <w:p w:rsidR="007E786C" w:rsidRPr="00477BA9" w:rsidP="00477BA9" w14:paraId="2BD3C423" w14:textId="3334640B">
            <w:pPr>
              <w:rPr>
                <w:sz w:val="22"/>
                <w:szCs w:val="22"/>
              </w:rPr>
            </w:pPr>
            <w:r w:rsidRPr="00477BA9">
              <w:rPr>
                <w:sz w:val="22"/>
                <w:szCs w:val="22"/>
              </w:rPr>
              <w:t>FB804- all variants</w:t>
            </w:r>
          </w:p>
        </w:tc>
        <w:tc>
          <w:tcPr>
            <w:tcW w:w="1641" w:type="dxa"/>
            <w:tcMar>
              <w:top w:w="58" w:type="dxa"/>
              <w:left w:w="115" w:type="dxa"/>
              <w:bottom w:w="58" w:type="dxa"/>
              <w:right w:w="115" w:type="dxa"/>
            </w:tcMar>
            <w:vAlign w:val="center"/>
          </w:tcPr>
          <w:p w:rsidR="007E786C" w:rsidRPr="00477BA9" w:rsidP="00477BA9" w14:paraId="761837F2" w14:textId="77777777">
            <w:pPr>
              <w:rPr>
                <w:sz w:val="22"/>
                <w:szCs w:val="22"/>
              </w:rPr>
            </w:pPr>
            <w:r w:rsidRPr="00477BA9">
              <w:rPr>
                <w:sz w:val="22"/>
                <w:szCs w:val="22"/>
              </w:rPr>
              <w:t>IonizeME Deluxe Dual</w:t>
            </w:r>
          </w:p>
        </w:tc>
        <w:tc>
          <w:tcPr>
            <w:tcW w:w="1139" w:type="dxa"/>
            <w:tcMar>
              <w:top w:w="58" w:type="dxa"/>
              <w:left w:w="115" w:type="dxa"/>
              <w:bottom w:w="58" w:type="dxa"/>
              <w:right w:w="115" w:type="dxa"/>
            </w:tcMar>
            <w:vAlign w:val="center"/>
          </w:tcPr>
          <w:p w:rsidR="007E786C" w:rsidRPr="00477BA9" w:rsidP="00477BA9" w14:paraId="1A2738D3" w14:textId="77777777">
            <w:pPr>
              <w:rPr>
                <w:sz w:val="22"/>
                <w:szCs w:val="22"/>
              </w:rPr>
            </w:pPr>
            <w:r w:rsidRPr="00477BA9">
              <w:rPr>
                <w:sz w:val="22"/>
                <w:szCs w:val="22"/>
              </w:rPr>
              <w:t>Before 1-1-2018</w:t>
            </w:r>
          </w:p>
        </w:tc>
        <w:tc>
          <w:tcPr>
            <w:tcW w:w="1890" w:type="dxa"/>
            <w:tcMar>
              <w:top w:w="58" w:type="dxa"/>
              <w:left w:w="115" w:type="dxa"/>
              <w:bottom w:w="58" w:type="dxa"/>
              <w:right w:w="115" w:type="dxa"/>
            </w:tcMar>
            <w:vAlign w:val="center"/>
          </w:tcPr>
          <w:p w:rsidR="007E786C" w:rsidRPr="00477BA9" w:rsidP="00477BA9" w14:paraId="6DBBBE82" w14:textId="46BFD966">
            <w:pPr>
              <w:rPr>
                <w:sz w:val="22"/>
                <w:szCs w:val="22"/>
              </w:rPr>
            </w:pPr>
            <w:r w:rsidRPr="00477BA9">
              <w:rPr>
                <w:sz w:val="22"/>
                <w:szCs w:val="22"/>
              </w:rPr>
              <w:t>Not on website as of February 10, 2022.</w:t>
            </w:r>
          </w:p>
        </w:tc>
        <w:tc>
          <w:tcPr>
            <w:tcW w:w="1895" w:type="dxa"/>
            <w:tcMar>
              <w:top w:w="58" w:type="dxa"/>
              <w:left w:w="115" w:type="dxa"/>
              <w:bottom w:w="58" w:type="dxa"/>
              <w:right w:w="115" w:type="dxa"/>
            </w:tcMar>
            <w:vAlign w:val="center"/>
          </w:tcPr>
          <w:p w:rsidR="007E786C" w:rsidRPr="00477BA9" w:rsidP="00477BA9" w14:paraId="5688627C" w14:textId="37D8BE2A">
            <w:pPr>
              <w:rPr>
                <w:sz w:val="22"/>
                <w:szCs w:val="22"/>
              </w:rPr>
            </w:pPr>
            <w:r w:rsidRPr="00477BA9">
              <w:rPr>
                <w:sz w:val="22"/>
                <w:szCs w:val="22"/>
              </w:rPr>
              <w:t xml:space="preserve">No evidence of </w:t>
            </w:r>
            <w:r>
              <w:rPr>
                <w:sz w:val="22"/>
                <w:szCs w:val="22"/>
              </w:rPr>
              <w:t>authorization</w:t>
            </w:r>
          </w:p>
        </w:tc>
      </w:tr>
      <w:tr w14:paraId="6D756481" w14:textId="77777777" w:rsidTr="003C1AE1">
        <w:tblPrEx>
          <w:tblW w:w="8640" w:type="dxa"/>
          <w:jc w:val="center"/>
          <w:tblLook w:val="04A0"/>
        </w:tblPrEx>
        <w:trPr>
          <w:cantSplit/>
          <w:jc w:val="center"/>
        </w:trPr>
        <w:tc>
          <w:tcPr>
            <w:tcW w:w="434" w:type="dxa"/>
            <w:vAlign w:val="center"/>
          </w:tcPr>
          <w:p w:rsidR="007E786C" w:rsidRPr="00477BA9" w:rsidP="003C1AE1" w14:paraId="5700288B" w14:textId="6C9B81CC">
            <w:pPr>
              <w:jc w:val="center"/>
              <w:rPr>
                <w:szCs w:val="22"/>
              </w:rPr>
            </w:pPr>
            <w:r>
              <w:rPr>
                <w:szCs w:val="22"/>
              </w:rPr>
              <w:t>15</w:t>
            </w:r>
          </w:p>
        </w:tc>
        <w:tc>
          <w:tcPr>
            <w:tcW w:w="1641" w:type="dxa"/>
            <w:tcMar>
              <w:top w:w="58" w:type="dxa"/>
              <w:left w:w="115" w:type="dxa"/>
              <w:bottom w:w="58" w:type="dxa"/>
              <w:right w:w="115" w:type="dxa"/>
            </w:tcMar>
            <w:vAlign w:val="center"/>
          </w:tcPr>
          <w:p w:rsidR="007E786C" w:rsidRPr="00477BA9" w:rsidP="00477BA9" w14:paraId="3BB66883" w14:textId="132D96D5">
            <w:pPr>
              <w:rPr>
                <w:sz w:val="22"/>
                <w:szCs w:val="22"/>
              </w:rPr>
            </w:pPr>
            <w:r w:rsidRPr="00477BA9">
              <w:rPr>
                <w:sz w:val="22"/>
                <w:szCs w:val="22"/>
              </w:rPr>
              <w:t>FB805- all variants</w:t>
            </w:r>
          </w:p>
        </w:tc>
        <w:tc>
          <w:tcPr>
            <w:tcW w:w="1641" w:type="dxa"/>
            <w:tcMar>
              <w:top w:w="58" w:type="dxa"/>
              <w:left w:w="115" w:type="dxa"/>
              <w:bottom w:w="58" w:type="dxa"/>
              <w:right w:w="115" w:type="dxa"/>
            </w:tcMar>
            <w:vAlign w:val="center"/>
          </w:tcPr>
          <w:p w:rsidR="007E786C" w:rsidRPr="00477BA9" w:rsidP="00477BA9" w14:paraId="5FD44E38" w14:textId="77777777">
            <w:pPr>
              <w:rPr>
                <w:sz w:val="22"/>
                <w:szCs w:val="22"/>
              </w:rPr>
            </w:pPr>
            <w:r w:rsidRPr="00477BA9">
              <w:rPr>
                <w:sz w:val="22"/>
                <w:szCs w:val="22"/>
              </w:rPr>
              <w:t>IonizeME Deluxe Dual Plus</w:t>
            </w:r>
          </w:p>
        </w:tc>
        <w:tc>
          <w:tcPr>
            <w:tcW w:w="1139" w:type="dxa"/>
            <w:tcMar>
              <w:top w:w="58" w:type="dxa"/>
              <w:left w:w="115" w:type="dxa"/>
              <w:bottom w:w="58" w:type="dxa"/>
              <w:right w:w="115" w:type="dxa"/>
            </w:tcMar>
            <w:vAlign w:val="center"/>
          </w:tcPr>
          <w:p w:rsidR="007E786C" w:rsidRPr="00477BA9" w:rsidP="00477BA9" w14:paraId="6EC99202" w14:textId="77777777">
            <w:pPr>
              <w:rPr>
                <w:sz w:val="22"/>
                <w:szCs w:val="22"/>
              </w:rPr>
            </w:pPr>
            <w:r w:rsidRPr="00477BA9">
              <w:rPr>
                <w:sz w:val="22"/>
                <w:szCs w:val="22"/>
              </w:rPr>
              <w:t>Before 1-1-2018</w:t>
            </w:r>
          </w:p>
        </w:tc>
        <w:tc>
          <w:tcPr>
            <w:tcW w:w="1890" w:type="dxa"/>
            <w:tcMar>
              <w:top w:w="58" w:type="dxa"/>
              <w:left w:w="115" w:type="dxa"/>
              <w:bottom w:w="58" w:type="dxa"/>
              <w:right w:w="115" w:type="dxa"/>
            </w:tcMar>
            <w:vAlign w:val="center"/>
          </w:tcPr>
          <w:p w:rsidR="007E786C" w:rsidRPr="00477BA9" w:rsidP="00477BA9" w14:paraId="45F3447F" w14:textId="3A7A64A5">
            <w:pPr>
              <w:rPr>
                <w:sz w:val="22"/>
                <w:szCs w:val="22"/>
              </w:rPr>
            </w:pPr>
            <w:r w:rsidRPr="00477BA9">
              <w:rPr>
                <w:sz w:val="22"/>
                <w:szCs w:val="22"/>
              </w:rPr>
              <w:t>Not on website as of February 10, 2022.</w:t>
            </w:r>
          </w:p>
        </w:tc>
        <w:tc>
          <w:tcPr>
            <w:tcW w:w="1895" w:type="dxa"/>
            <w:tcMar>
              <w:top w:w="58" w:type="dxa"/>
              <w:left w:w="115" w:type="dxa"/>
              <w:bottom w:w="58" w:type="dxa"/>
              <w:right w:w="115" w:type="dxa"/>
            </w:tcMar>
            <w:vAlign w:val="center"/>
          </w:tcPr>
          <w:p w:rsidR="007E786C" w:rsidRPr="00477BA9" w:rsidP="00477BA9" w14:paraId="20979A06" w14:textId="690FE314">
            <w:pPr>
              <w:rPr>
                <w:sz w:val="22"/>
                <w:szCs w:val="22"/>
              </w:rPr>
            </w:pPr>
            <w:r w:rsidRPr="00477BA9">
              <w:rPr>
                <w:sz w:val="22"/>
                <w:szCs w:val="22"/>
              </w:rPr>
              <w:t xml:space="preserve">No evidence of </w:t>
            </w:r>
            <w:r>
              <w:rPr>
                <w:sz w:val="22"/>
                <w:szCs w:val="22"/>
              </w:rPr>
              <w:t>authorization</w:t>
            </w:r>
          </w:p>
        </w:tc>
      </w:tr>
      <w:bookmarkEnd w:id="0"/>
      <w:bookmarkEnd w:id="18"/>
    </w:tbl>
    <w:p w:rsidR="00E273E3" w:rsidRPr="00477BA9" w:rsidP="00477BA9" w14:paraId="3ABB8301" w14:textId="77777777">
      <w:pPr>
        <w:rPr>
          <w:szCs w:val="22"/>
        </w:rPr>
      </w:pPr>
    </w:p>
    <w:sectPr w:rsidSect="00017BF7">
      <w:headerReference w:type="default"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92E" w14:paraId="3D979F47" w14:textId="77777777">
    <w:pPr>
      <w:pStyle w:val="Footer"/>
      <w:framePr w:wrap="around" w:vAnchor="text" w:hAnchor="margin" w:xAlign="center" w:y="1"/>
    </w:pPr>
    <w:r>
      <w:fldChar w:fldCharType="begin"/>
    </w:r>
    <w:r>
      <w:instrText xml:space="preserve">PAGE  </w:instrText>
    </w:r>
    <w:r>
      <w:fldChar w:fldCharType="separate"/>
    </w:r>
    <w:r>
      <w:rPr>
        <w:noProof/>
      </w:rPr>
      <w:t>4</w:t>
    </w:r>
    <w:r>
      <w:rPr>
        <w:noProof/>
      </w:rPr>
      <w:fldChar w:fldCharType="end"/>
    </w:r>
  </w:p>
  <w:p w:rsidR="0010592E" w14:paraId="7CC6340A"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61C5" w14:paraId="207DD37A" w14:textId="77777777">
      <w:r>
        <w:separator/>
      </w:r>
    </w:p>
  </w:footnote>
  <w:footnote w:type="continuationSeparator" w:id="1">
    <w:p w:rsidR="003B61C5" w14:paraId="67900C1E" w14:textId="77777777">
      <w:pPr>
        <w:rPr>
          <w:sz w:val="20"/>
        </w:rPr>
      </w:pPr>
      <w:r>
        <w:rPr>
          <w:sz w:val="20"/>
        </w:rPr>
        <w:t xml:space="preserve">(Continued from previous page)  </w:t>
      </w:r>
      <w:r>
        <w:rPr>
          <w:sz w:val="20"/>
        </w:rPr>
        <w:separator/>
      </w:r>
    </w:p>
  </w:footnote>
  <w:footnote w:type="continuationNotice" w:id="2">
    <w:p w:rsidR="003B61C5" w14:paraId="24BA1773" w14:textId="77777777">
      <w:pPr>
        <w:rPr>
          <w:sz w:val="20"/>
        </w:rPr>
      </w:pPr>
      <w:r>
        <w:rPr>
          <w:sz w:val="20"/>
        </w:rPr>
        <w:t>(continued….)</w:t>
      </w:r>
    </w:p>
  </w:footnote>
  <w:footnote w:id="3">
    <w:p w:rsidR="00F43F0C" w:rsidRPr="00D60F72" w:rsidP="00F43F0C" w14:paraId="1859EF70" w14:textId="77777777">
      <w:pPr>
        <w:pStyle w:val="FootnoteText"/>
      </w:pPr>
      <w:r w:rsidRPr="00D60F72">
        <w:rPr>
          <w:rStyle w:val="FootnoteReference"/>
        </w:rPr>
        <w:footnoteRef/>
      </w:r>
      <w:r w:rsidRPr="00D60F72">
        <w:t xml:space="preserve"> 47 CFR § 2.803(a) (defining marketing as the “sale or lease, or offering for sale of lease, including advertising for sale or lease, or importation, shipment or distribution for the purpose of selling or leasing or offering for sale or lease.”).</w:t>
      </w:r>
    </w:p>
  </w:footnote>
  <w:footnote w:id="4">
    <w:p w:rsidR="00487EF2" w:rsidRPr="008F5D5B" w:rsidP="00D60F72" w14:paraId="57D6C226" w14:textId="0CDB3F8B">
      <w:pPr>
        <w:pStyle w:val="FootnoteText"/>
      </w:pPr>
      <w:r w:rsidRPr="00D60F72">
        <w:rPr>
          <w:rStyle w:val="FootnoteReference"/>
        </w:rPr>
        <w:footnoteRef/>
      </w:r>
      <w:r w:rsidRPr="00D60F72">
        <w:t xml:space="preserve"> 47 U.S.C. § 302a(b); 47 CFR § 2.803(b).</w:t>
      </w:r>
      <w:r w:rsidR="005757E0">
        <w:t xml:space="preserve">  The Appendix also lists models for which the Enforcement Bureau seeks additional information to confirm compliance.  </w:t>
      </w:r>
      <w:r w:rsidR="008F5D5B">
        <w:t>As explained herein, t</w:t>
      </w:r>
      <w:r w:rsidR="000478ED">
        <w:t xml:space="preserve">hese devices </w:t>
      </w:r>
      <w:r w:rsidR="00130D3F">
        <w:t>must</w:t>
      </w:r>
      <w:r w:rsidR="008F5D5B">
        <w:t xml:space="preserve"> be authorized</w:t>
      </w:r>
      <w:r w:rsidR="000478ED">
        <w:t xml:space="preserve"> under </w:t>
      </w:r>
      <w:r w:rsidR="008F5D5B">
        <w:t xml:space="preserve">either </w:t>
      </w:r>
      <w:r w:rsidR="005C02E9">
        <w:t>p</w:t>
      </w:r>
      <w:r w:rsidR="000478ED">
        <w:t xml:space="preserve">art 15 or </w:t>
      </w:r>
      <w:r w:rsidR="005C02E9">
        <w:t>p</w:t>
      </w:r>
      <w:r w:rsidR="000478ED">
        <w:t>art 18 of the Commission’s rules</w:t>
      </w:r>
      <w:r w:rsidR="008F5D5B">
        <w:t xml:space="preserve">, both of which would typically require </w:t>
      </w:r>
      <w:r w:rsidR="005C02E9">
        <w:t xml:space="preserve">either certification or </w:t>
      </w:r>
      <w:r w:rsidRPr="002D3E96" w:rsidR="008F5D5B">
        <w:t>Supplier’s Declaration of Conformity</w:t>
      </w:r>
      <w:r w:rsidR="00E74DA5">
        <w:t xml:space="preserve"> authorization</w:t>
      </w:r>
      <w:r w:rsidR="000478ED">
        <w:t xml:space="preserve">.  </w:t>
      </w:r>
      <w:r w:rsidR="00F63D42">
        <w:t xml:space="preserve">  </w:t>
      </w:r>
    </w:p>
  </w:footnote>
  <w:footnote w:id="5">
    <w:p w:rsidR="005E1051" w:rsidP="009974E1" w14:paraId="57489D51" w14:textId="241A4D95">
      <w:pPr>
        <w:pStyle w:val="CommentText"/>
        <w:spacing w:after="120"/>
      </w:pPr>
      <w:r w:rsidRPr="009974E1">
        <w:rPr>
          <w:rStyle w:val="FootnoteReference"/>
        </w:rPr>
        <w:footnoteRef/>
      </w:r>
      <w:r w:rsidRPr="009974E1">
        <w:t xml:space="preserve"> </w:t>
      </w:r>
      <w:r w:rsidRPr="009974E1">
        <w:rPr>
          <w:i/>
          <w:iCs/>
        </w:rPr>
        <w:t xml:space="preserve">See </w:t>
      </w:r>
      <w:r w:rsidRPr="009974E1">
        <w:t xml:space="preserve">47 U.S.C. § 503(b)(2)(D); 47 CFR § 1.80(b)(9); </w:t>
      </w:r>
      <w:r w:rsidRPr="009974E1" w:rsidR="009974E1">
        <w:rPr>
          <w:i/>
          <w:iCs/>
          <w:snapToGrid/>
          <w:kern w:val="0"/>
        </w:rPr>
        <w:t>Amendment of Section 1.80(b) of the Commission’s Rules, Adjustment of Civil Monetary Penalties to Reflect Inflation, Order</w:t>
      </w:r>
      <w:r w:rsidRPr="009974E1" w:rsidR="009974E1">
        <w:rPr>
          <w:snapToGrid/>
          <w:kern w:val="0"/>
        </w:rPr>
        <w:t>, DA 21-1631, 87 Fed. Reg. 396 (Jan. 5, 2022)</w:t>
      </w:r>
      <w:r w:rsidR="009974E1">
        <w:rPr>
          <w:snapToGrid/>
          <w:kern w:val="0"/>
        </w:rPr>
        <w:t>.</w:t>
      </w:r>
    </w:p>
  </w:footnote>
  <w:footnote w:id="6">
    <w:p w:rsidR="00487EF2" w:rsidRPr="00D60F72" w:rsidP="00EA242D" w14:paraId="091367B0" w14:textId="77777777">
      <w:pPr>
        <w:pStyle w:val="FootnoteText"/>
      </w:pPr>
      <w:r w:rsidRPr="00D60F72">
        <w:rPr>
          <w:rStyle w:val="FootnoteReference"/>
          <w:kern w:val="20"/>
        </w:rPr>
        <w:footnoteRef/>
      </w:r>
      <w:r w:rsidRPr="00D60F72">
        <w:rPr>
          <w:kern w:val="20"/>
        </w:rPr>
        <w:t xml:space="preserve"> </w:t>
      </w:r>
      <w:r w:rsidRPr="00D60F72">
        <w:rPr>
          <w:i/>
          <w:kern w:val="20"/>
        </w:rPr>
        <w:t>See</w:t>
      </w:r>
      <w:r w:rsidRPr="00D60F72">
        <w:rPr>
          <w:kern w:val="20"/>
        </w:rPr>
        <w:t xml:space="preserve"> </w:t>
      </w:r>
      <w:bookmarkStart w:id="5" w:name="_Hlk62651295"/>
      <w:r w:rsidRPr="00D60F72">
        <w:rPr>
          <w:kern w:val="20"/>
        </w:rPr>
        <w:t xml:space="preserve">47 U.S.C § 503(b)(5).  </w:t>
      </w:r>
      <w:bookmarkEnd w:id="5"/>
    </w:p>
  </w:footnote>
  <w:footnote w:id="7">
    <w:p w:rsidR="00487EF2" w:rsidRPr="00D60F72" w:rsidP="00D60F72" w14:paraId="0762866B" w14:textId="1859999A">
      <w:pPr>
        <w:pStyle w:val="FootnoteText"/>
      </w:pPr>
      <w:r w:rsidRPr="00D60F72">
        <w:rPr>
          <w:rStyle w:val="FootnoteReference"/>
        </w:rPr>
        <w:footnoteRef/>
      </w:r>
      <w:r w:rsidRPr="00D60F72">
        <w:t xml:space="preserve"> 47 U.S.C. § 302a(b); 47 CFR </w:t>
      </w:r>
      <w:r w:rsidRPr="00D60F72" w:rsidR="0031452F">
        <w:t>§ 2.803</w:t>
      </w:r>
      <w:r w:rsidRPr="00D60F72">
        <w:t xml:space="preserve">. </w:t>
      </w:r>
      <w:r w:rsidR="00280C18">
        <w:t xml:space="preserve"> Health and Med </w:t>
      </w:r>
      <w:r w:rsidR="00130D3F">
        <w:t>must</w:t>
      </w:r>
      <w:r w:rsidR="00280C18">
        <w:t xml:space="preserve"> also ensure all applicable labeling and user manual requirements are met as well in parts 2, 15, and/or 18 of the Commission’s rules.  </w:t>
      </w:r>
      <w:r w:rsidR="00280C18">
        <w:rPr>
          <w:i/>
          <w:iCs/>
        </w:rPr>
        <w:t>See e.g.</w:t>
      </w:r>
      <w:r w:rsidR="00280C18">
        <w:t xml:space="preserve">, 47 CFR </w:t>
      </w:r>
      <w:r w:rsidRPr="00D60F72" w:rsidR="00280C18">
        <w:t>§§</w:t>
      </w:r>
      <w:r w:rsidR="00280C18">
        <w:t xml:space="preserve"> 2.925,</w:t>
      </w:r>
      <w:r w:rsidR="00D71830">
        <w:t xml:space="preserve"> 2.926,</w:t>
      </w:r>
      <w:r w:rsidR="00280C18">
        <w:t xml:space="preserve"> 2.1074, 2.1077, 15.19, 15.21, 18.209, 18.212, 18.213.  </w:t>
      </w:r>
    </w:p>
  </w:footnote>
  <w:footnote w:id="8">
    <w:p w:rsidR="00487EF2" w:rsidRPr="00D60F72" w:rsidP="00D60F72" w14:paraId="45FBB3D1" w14:textId="0D27EAA7">
      <w:pPr>
        <w:pStyle w:val="FootnoteText"/>
      </w:pPr>
      <w:r w:rsidRPr="00D60F72">
        <w:rPr>
          <w:rStyle w:val="FootnoteReference"/>
        </w:rPr>
        <w:footnoteRef/>
      </w:r>
      <w:r w:rsidRPr="00D60F72">
        <w:t xml:space="preserve"> </w:t>
      </w:r>
      <w:r w:rsidRPr="00D60F72">
        <w:rPr>
          <w:i/>
          <w:kern w:val="20"/>
        </w:rPr>
        <w:t>See</w:t>
      </w:r>
      <w:r w:rsidRPr="00D60F72">
        <w:rPr>
          <w:kern w:val="20"/>
        </w:rPr>
        <w:t xml:space="preserve"> S. Rep. No. 95-580, 95th Cong., 1st Sess. at 9 (1977) (If a person or entity that has been issued a citation by the Commission thereafter engages in the conduct for which the citation of violation was sent, the subsequent notice of apparent liability “would attach not only for the conduct occurring subsequently</w:t>
      </w:r>
      <w:r w:rsidRPr="00D60F72">
        <w:rPr>
          <w:i/>
          <w:kern w:val="20"/>
        </w:rPr>
        <w:t xml:space="preserve"> but also for the conduct for which the citation was originally sent</w:t>
      </w:r>
      <w:r w:rsidRPr="00D60F72">
        <w:rPr>
          <w:kern w:val="20"/>
        </w:rPr>
        <w:t>.”) (emphasis added).</w:t>
      </w:r>
    </w:p>
  </w:footnote>
  <w:footnote w:id="9">
    <w:p w:rsidR="003661AA" w:rsidRPr="00D60F72" w:rsidP="00D60F72" w14:paraId="14B794D4" w14:textId="77777777">
      <w:pPr>
        <w:pStyle w:val="FootnoteText"/>
      </w:pPr>
      <w:r w:rsidRPr="00D60F72">
        <w:rPr>
          <w:rStyle w:val="FootnoteReference"/>
        </w:rPr>
        <w:footnoteRef/>
      </w:r>
      <w:r w:rsidRPr="00D60F72">
        <w:t xml:space="preserve"> </w:t>
      </w:r>
      <w:r w:rsidRPr="00D60F72">
        <w:rPr>
          <w:kern w:val="20"/>
        </w:rPr>
        <w:t>47 U.S.C. §§ 154(i), 154(j), 403.</w:t>
      </w:r>
    </w:p>
  </w:footnote>
  <w:footnote w:id="10">
    <w:p w:rsidR="00221500" w:rsidRPr="00D60F72" w:rsidP="00D60F72" w14:paraId="7AC2457B" w14:textId="7A2931F8">
      <w:pPr>
        <w:pStyle w:val="FootnoteText"/>
      </w:pPr>
      <w:r w:rsidRPr="00D60F72">
        <w:rPr>
          <w:rStyle w:val="FootnoteReference"/>
        </w:rPr>
        <w:footnoteRef/>
      </w:r>
      <w:r w:rsidRPr="00D60F72">
        <w:t xml:space="preserve"> 47 </w:t>
      </w:r>
      <w:r w:rsidRPr="00D60F72" w:rsidR="00F50EE4">
        <w:t>CFR</w:t>
      </w:r>
      <w:r w:rsidRPr="00D60F72">
        <w:t xml:space="preserve"> § 2.907.</w:t>
      </w:r>
    </w:p>
  </w:footnote>
  <w:footnote w:id="11">
    <w:p w:rsidR="00CB5A2D" w:rsidRPr="00D60F72" w:rsidP="00D60F72" w14:paraId="793BEA43" w14:textId="4E2691FB">
      <w:pPr>
        <w:pStyle w:val="FootnoteText"/>
      </w:pPr>
      <w:r w:rsidRPr="00D60F72">
        <w:rPr>
          <w:rStyle w:val="FootnoteReference"/>
        </w:rPr>
        <w:footnoteRef/>
      </w:r>
      <w:r w:rsidRPr="00D60F72">
        <w:t xml:space="preserve"> </w:t>
      </w:r>
      <w:r w:rsidRPr="00D60F72" w:rsidR="00FB6570">
        <w:t xml:space="preserve">47 </w:t>
      </w:r>
      <w:r w:rsidRPr="00D60F72" w:rsidR="00F50EE4">
        <w:t>CFR</w:t>
      </w:r>
      <w:r w:rsidRPr="00D60F72" w:rsidR="00FB6570">
        <w:t xml:space="preserve"> §</w:t>
      </w:r>
      <w:r w:rsidRPr="00D60F72" w:rsidR="0016260A">
        <w:t>§ 15.3(z),</w:t>
      </w:r>
      <w:r w:rsidRPr="00D60F72" w:rsidR="00FB6570">
        <w:t xml:space="preserve"> 15.101.</w:t>
      </w:r>
    </w:p>
  </w:footnote>
  <w:footnote w:id="12">
    <w:p w:rsidR="00B05C7A" w:rsidRPr="00D60F72" w:rsidP="00D60F72" w14:paraId="1EBC1384" w14:textId="41237320">
      <w:pPr>
        <w:spacing w:after="120"/>
        <w:rPr>
          <w:sz w:val="20"/>
        </w:rPr>
      </w:pPr>
      <w:r w:rsidRPr="00D60F72">
        <w:rPr>
          <w:rStyle w:val="FootnoteReference"/>
        </w:rPr>
        <w:footnoteRef/>
      </w:r>
      <w:r w:rsidRPr="00D60F72">
        <w:rPr>
          <w:sz w:val="20"/>
        </w:rPr>
        <w:t xml:space="preserve"> </w:t>
      </w:r>
      <w:hyperlink r:id="rId1" w:history="1">
        <w:r w:rsidRPr="00D60F72">
          <w:rPr>
            <w:sz w:val="20"/>
          </w:rPr>
          <w:t xml:space="preserve">47 CFR </w:t>
        </w:r>
        <w:r w:rsidRPr="00D60F72" w:rsidR="00F15950">
          <w:rPr>
            <w:sz w:val="20"/>
          </w:rPr>
          <w:t>p</w:t>
        </w:r>
        <w:r w:rsidRPr="00D60F72">
          <w:rPr>
            <w:sz w:val="20"/>
          </w:rPr>
          <w:t>t</w:t>
        </w:r>
        <w:r w:rsidR="00C15645">
          <w:rPr>
            <w:sz w:val="20"/>
          </w:rPr>
          <w:t>.</w:t>
        </w:r>
        <w:r w:rsidRPr="00D60F72">
          <w:rPr>
            <w:sz w:val="20"/>
          </w:rPr>
          <w:t xml:space="preserve"> 18</w:t>
        </w:r>
      </w:hyperlink>
      <w:r w:rsidRPr="00D60F72">
        <w:rPr>
          <w:sz w:val="20"/>
        </w:rPr>
        <w:t>.</w:t>
      </w:r>
    </w:p>
  </w:footnote>
  <w:footnote w:id="13">
    <w:p w:rsidR="00064E72" w:rsidRPr="00D60F72" w:rsidP="00D60F72" w14:paraId="01675D00" w14:textId="425C32BB">
      <w:pPr>
        <w:pStyle w:val="FootnoteText"/>
      </w:pPr>
      <w:r w:rsidRPr="00D60F72">
        <w:rPr>
          <w:rStyle w:val="FootnoteReference"/>
        </w:rPr>
        <w:footnoteRef/>
      </w:r>
      <w:r w:rsidRPr="00D60F72">
        <w:t xml:space="preserve"> </w:t>
      </w:r>
      <w:r w:rsidRPr="00D60F72" w:rsidR="00221500">
        <w:t xml:space="preserve">47 </w:t>
      </w:r>
      <w:r w:rsidRPr="00D60F72" w:rsidR="00F50EE4">
        <w:t>CFR</w:t>
      </w:r>
      <w:r w:rsidRPr="00D60F72" w:rsidR="00221500">
        <w:t xml:space="preserve"> §</w:t>
      </w:r>
      <w:r w:rsidRPr="00D60F72" w:rsidR="00D60F72">
        <w:t>§</w:t>
      </w:r>
      <w:r w:rsidRPr="00D60F72" w:rsidR="00221500">
        <w:t xml:space="preserve"> </w:t>
      </w:r>
      <w:r w:rsidRPr="00D60F72" w:rsidR="00FB6570">
        <w:t>2.906</w:t>
      </w:r>
      <w:r w:rsidRPr="00D60F72" w:rsidR="00D60F72">
        <w:t>,</w:t>
      </w:r>
      <w:r w:rsidRPr="00D60F72" w:rsidR="00B05C7A">
        <w:t xml:space="preserve"> 2.907.</w:t>
      </w:r>
    </w:p>
  </w:footnote>
  <w:footnote w:id="14">
    <w:p w:rsidR="00CB5A2D" w:rsidRPr="00D60F72" w:rsidP="00D60F72" w14:paraId="59A23C56" w14:textId="471F9A0F">
      <w:pPr>
        <w:pStyle w:val="FootnoteText"/>
      </w:pPr>
      <w:r w:rsidRPr="00D60F72">
        <w:rPr>
          <w:rStyle w:val="FootnoteReference"/>
        </w:rPr>
        <w:footnoteRef/>
      </w:r>
      <w:r w:rsidRPr="00D60F72">
        <w:t xml:space="preserve"> </w:t>
      </w:r>
      <w:r w:rsidRPr="00D60F72" w:rsidR="00221500">
        <w:t xml:space="preserve">47 </w:t>
      </w:r>
      <w:r w:rsidRPr="00D60F72" w:rsidR="00F50EE4">
        <w:t>CFR</w:t>
      </w:r>
      <w:r w:rsidRPr="00D60F72" w:rsidR="00221500">
        <w:t xml:space="preserve"> § 2.907.</w:t>
      </w:r>
    </w:p>
  </w:footnote>
  <w:footnote w:id="15">
    <w:p w:rsidR="00692F01" w:rsidRPr="00D60F72" w:rsidP="00D60F72" w14:paraId="366048CD" w14:textId="434F3F99">
      <w:pPr>
        <w:pStyle w:val="FootnoteText"/>
      </w:pPr>
      <w:r w:rsidRPr="00D60F72">
        <w:rPr>
          <w:rStyle w:val="FootnoteReference"/>
        </w:rPr>
        <w:footnoteRef/>
      </w:r>
      <w:r w:rsidRPr="00D60F72">
        <w:t xml:space="preserve"> </w:t>
      </w:r>
      <w:r w:rsidRPr="00D60F72" w:rsidR="00FB6570">
        <w:rPr>
          <w:i/>
          <w:iCs/>
        </w:rPr>
        <w:t xml:space="preserve">See </w:t>
      </w:r>
      <w:r w:rsidRPr="00D60F72" w:rsidR="00FB6570">
        <w:t xml:space="preserve">47 47 </w:t>
      </w:r>
      <w:r w:rsidRPr="00D60F72" w:rsidR="00F50EE4">
        <w:t>CFR</w:t>
      </w:r>
      <w:r w:rsidRPr="00D60F72" w:rsidR="00FB6570">
        <w:t xml:space="preserve"> §§ 2.1074 and 2.1077.  </w:t>
      </w:r>
      <w:r w:rsidRPr="00D60F72">
        <w:t xml:space="preserve">For devices subject to </w:t>
      </w:r>
      <w:r w:rsidR="00C15645">
        <w:t>p</w:t>
      </w:r>
      <w:r w:rsidRPr="00D60F72">
        <w:t xml:space="preserve">art 15 and 18 rules, the statements required in </w:t>
      </w:r>
      <w:r w:rsidR="00C15645">
        <w:t>s</w:t>
      </w:r>
      <w:r w:rsidRPr="00D60F72">
        <w:t xml:space="preserve">ections 15.19(a)(3) and 18.212, respectively meet the requirements of this rule part. </w:t>
      </w:r>
      <w:r w:rsidRPr="00D60F72" w:rsidR="002262AA">
        <w:t xml:space="preserve"> FCC, Office of Engineering and Technology, KDB 784748 D01 General labeling and Notification v09r01, </w:t>
      </w:r>
      <w:hyperlink r:id="rId2" w:history="1">
        <w:r w:rsidRPr="00D60F72" w:rsidR="002262AA">
          <w:rPr>
            <w:rStyle w:val="Hyperlink"/>
          </w:rPr>
          <w:t>https://apps.fcc.gov/kdb/GetAttachment.html?id=tz8CzcfpIVA2%2BognLZYTgA%3D%3D</w:t>
        </w:r>
      </w:hyperlink>
      <w:r w:rsidRPr="00D60F72" w:rsidR="002262AA">
        <w:t xml:space="preserve"> (July 2, 2018).</w:t>
      </w:r>
    </w:p>
  </w:footnote>
  <w:footnote w:id="16">
    <w:p w:rsidR="00B11B5D" w:rsidRPr="00D60F72" w:rsidP="00D60F72" w14:paraId="4673C263" w14:textId="133535C6">
      <w:pPr>
        <w:pStyle w:val="FootnoteText"/>
      </w:pPr>
      <w:r w:rsidRPr="00D60F72">
        <w:rPr>
          <w:rStyle w:val="FootnoteReference"/>
        </w:rPr>
        <w:footnoteRef/>
      </w:r>
      <w:r w:rsidRPr="00D60F72">
        <w:t xml:space="preserve"> </w:t>
      </w:r>
      <w:bookmarkStart w:id="8" w:name="_Hlk109044486"/>
      <w:r w:rsidRPr="00D60F72">
        <w:t>47 CFR §</w:t>
      </w:r>
      <w:r w:rsidRPr="00D60F72" w:rsidR="00D60F72">
        <w:t>§</w:t>
      </w:r>
      <w:r w:rsidRPr="00D60F72">
        <w:t xml:space="preserve"> 2.909(b)</w:t>
      </w:r>
      <w:bookmarkEnd w:id="8"/>
      <w:r w:rsidR="00D60F72">
        <w:t>,</w:t>
      </w:r>
      <w:r w:rsidRPr="00D60F72" w:rsidR="009D2294">
        <w:t xml:space="preserve"> 2.1077.</w:t>
      </w:r>
    </w:p>
  </w:footnote>
  <w:footnote w:id="17">
    <w:p w:rsidR="009D2294" w:rsidRPr="00D60F72" w:rsidP="00D60F72" w14:paraId="38551362" w14:textId="65E9E5C5">
      <w:pPr>
        <w:pStyle w:val="FootnoteText"/>
      </w:pPr>
      <w:r w:rsidRPr="00D60F72">
        <w:rPr>
          <w:rStyle w:val="FootnoteReference"/>
        </w:rPr>
        <w:footnoteRef/>
      </w:r>
      <w:r w:rsidRPr="00D60F72">
        <w:t xml:space="preserve"> 47 CFR §</w:t>
      </w:r>
      <w:r w:rsidRPr="00D60F72" w:rsidR="00D60F72">
        <w:t>§</w:t>
      </w:r>
      <w:r w:rsidRPr="00D60F72">
        <w:t xml:space="preserve"> </w:t>
      </w:r>
      <w:r w:rsidR="00463B33">
        <w:t xml:space="preserve">2.925, 2.1074, </w:t>
      </w:r>
      <w:r w:rsidRPr="00D60F72">
        <w:t>15.19(a)(3)</w:t>
      </w:r>
      <w:r w:rsidRPr="00D60F72" w:rsidR="00DE1273">
        <w:t>-(5)</w:t>
      </w:r>
      <w:r w:rsidR="00D60F72">
        <w:t xml:space="preserve">, </w:t>
      </w:r>
      <w:r w:rsidRPr="00D60F72" w:rsidR="00DE1273">
        <w:t>18.209</w:t>
      </w:r>
      <w:r w:rsidRPr="00D60F72">
        <w:t>(b).</w:t>
      </w:r>
    </w:p>
  </w:footnote>
  <w:footnote w:id="18">
    <w:p w:rsidR="00057F32" w:rsidRPr="00D60F72" w:rsidP="00057F32" w14:paraId="7BA86932" w14:textId="77777777">
      <w:pPr>
        <w:pStyle w:val="FootnoteText"/>
      </w:pPr>
      <w:r w:rsidRPr="00D60F72">
        <w:rPr>
          <w:rStyle w:val="FootnoteReference"/>
        </w:rPr>
        <w:footnoteRef/>
      </w:r>
      <w:r w:rsidRPr="00D60F72">
        <w:t xml:space="preserve"> </w:t>
      </w:r>
      <w:r w:rsidRPr="00D60F72">
        <w:rPr>
          <w:shd w:val="clear" w:color="auto" w:fill="FFFFFF"/>
        </w:rPr>
        <w:t>47 CFR § 15.101.</w:t>
      </w:r>
    </w:p>
  </w:footnote>
  <w:footnote w:id="19">
    <w:p w:rsidR="00057F32" w:rsidRPr="00D60F72" w:rsidP="00057F32" w14:paraId="06D8A65E" w14:textId="3C34B265">
      <w:pPr>
        <w:pStyle w:val="FootnoteText"/>
      </w:pPr>
      <w:r w:rsidRPr="00D60F72">
        <w:rPr>
          <w:rStyle w:val="FootnoteReference"/>
        </w:rPr>
        <w:footnoteRef/>
      </w:r>
      <w:r w:rsidRPr="00D60F72">
        <w:t xml:space="preserve"> </w:t>
      </w:r>
      <w:r w:rsidRPr="00D60F72">
        <w:rPr>
          <w:kern w:val="28"/>
          <w:shd w:val="clear" w:color="auto" w:fill="FFFFFF"/>
        </w:rPr>
        <w:t xml:space="preserve">47 CFR </w:t>
      </w:r>
      <w:r w:rsidRPr="00D60F72">
        <w:rPr>
          <w:shd w:val="clear" w:color="auto" w:fill="FFFFFF"/>
        </w:rPr>
        <w:t>§</w:t>
      </w:r>
      <w:r w:rsidR="00983DFC">
        <w:rPr>
          <w:shd w:val="clear" w:color="auto" w:fill="FFFFFF"/>
        </w:rPr>
        <w:t xml:space="preserve"> </w:t>
      </w:r>
      <w:r w:rsidRPr="00D60F72">
        <w:rPr>
          <w:kern w:val="28"/>
          <w:shd w:val="clear" w:color="auto" w:fill="FFFFFF"/>
        </w:rPr>
        <w:t>18.203(a).</w:t>
      </w:r>
    </w:p>
  </w:footnote>
  <w:footnote w:id="20">
    <w:p w:rsidR="00057F32" w:rsidRPr="00D60F72" w:rsidP="00057F32" w14:paraId="407319B9" w14:textId="4B4DD909">
      <w:pPr>
        <w:pStyle w:val="FootnoteText"/>
      </w:pPr>
      <w:r w:rsidRPr="00D60F72">
        <w:rPr>
          <w:rStyle w:val="FootnoteReference"/>
        </w:rPr>
        <w:footnoteRef/>
      </w:r>
      <w:r w:rsidRPr="00D60F72">
        <w:t xml:space="preserve"> 47 </w:t>
      </w:r>
      <w:r w:rsidRPr="00D60F72">
        <w:rPr>
          <w:kern w:val="28"/>
          <w:shd w:val="clear" w:color="auto" w:fill="FFFFFF"/>
        </w:rPr>
        <w:t xml:space="preserve">CFR </w:t>
      </w:r>
      <w:r w:rsidRPr="00D60F72">
        <w:rPr>
          <w:shd w:val="clear" w:color="auto" w:fill="FFFFFF"/>
        </w:rPr>
        <w:t>§</w:t>
      </w:r>
      <w:r w:rsidR="00983DFC">
        <w:rPr>
          <w:shd w:val="clear" w:color="auto" w:fill="FFFFFF"/>
        </w:rPr>
        <w:t xml:space="preserve"> </w:t>
      </w:r>
      <w:r w:rsidRPr="00D60F72">
        <w:rPr>
          <w:kern w:val="28"/>
          <w:shd w:val="clear" w:color="auto" w:fill="FFFFFF"/>
        </w:rPr>
        <w:t>18.203(b).</w:t>
      </w:r>
    </w:p>
  </w:footnote>
  <w:footnote w:id="21">
    <w:p w:rsidR="005E1051" w14:paraId="10514E27" w14:textId="5A48CD8F">
      <w:pPr>
        <w:pStyle w:val="FootnoteText"/>
      </w:pPr>
      <w:r>
        <w:rPr>
          <w:rStyle w:val="FootnoteReference"/>
        </w:rPr>
        <w:footnoteRef/>
      </w:r>
      <w:r>
        <w:t xml:space="preserve"> </w:t>
      </w:r>
      <w:r w:rsidRPr="00E40ACD" w:rsidR="00E40ACD">
        <w:t>H</w:t>
      </w:r>
      <w:r w:rsidR="00170060">
        <w:t xml:space="preserve">ealth </w:t>
      </w:r>
      <w:r w:rsidRPr="00E40ACD" w:rsidR="00E40ACD">
        <w:t>and</w:t>
      </w:r>
      <w:r w:rsidR="00170060">
        <w:t xml:space="preserve"> Med</w:t>
      </w:r>
      <w:r w:rsidR="00E40ACD">
        <w:t>,</w:t>
      </w:r>
      <w:r w:rsidR="00741E7C">
        <w:t xml:space="preserve"> </w:t>
      </w:r>
      <w:r w:rsidR="00741E7C">
        <w:rPr>
          <w:i/>
          <w:iCs/>
        </w:rPr>
        <w:t>About Us</w:t>
      </w:r>
      <w:r w:rsidR="00741E7C">
        <w:t>,</w:t>
      </w:r>
      <w:r w:rsidRPr="00E40ACD" w:rsidR="00E40ACD">
        <w:t xml:space="preserve"> </w:t>
      </w:r>
      <w:hyperlink r:id="rId3" w:history="1">
        <w:r w:rsidRPr="00022276" w:rsidR="00D44A1C">
          <w:rPr>
            <w:rStyle w:val="Hyperlink"/>
          </w:rPr>
          <w:t>healthandmed.com</w:t>
        </w:r>
      </w:hyperlink>
      <w:r w:rsidRPr="00741E7C" w:rsidR="00741E7C">
        <w:rPr>
          <w:rStyle w:val="Hyperlink"/>
        </w:rPr>
        <w:t>/pages/about-us</w:t>
      </w:r>
      <w:r w:rsidR="00D44A1C">
        <w:t xml:space="preserve"> (last visited Aug</w:t>
      </w:r>
      <w:r w:rsidR="00D71830">
        <w:t>.</w:t>
      </w:r>
      <w:r w:rsidR="00741E7C">
        <w:t xml:space="preserve"> 26</w:t>
      </w:r>
      <w:r w:rsidR="00D44A1C">
        <w:t>, 2022).</w:t>
      </w:r>
      <w:r w:rsidR="00170060">
        <w:t xml:space="preserve">  </w:t>
      </w:r>
    </w:p>
  </w:footnote>
  <w:footnote w:id="22">
    <w:p w:rsidR="00692F01" w:rsidRPr="00D60F72" w:rsidP="00D60F72" w14:paraId="26D5C3FB" w14:textId="08D5B74B">
      <w:pPr>
        <w:pStyle w:val="FootnoteText"/>
      </w:pPr>
      <w:r w:rsidRPr="00D60F72">
        <w:rPr>
          <w:rStyle w:val="FootnoteReference"/>
        </w:rPr>
        <w:footnoteRef/>
      </w:r>
      <w:r w:rsidRPr="00D60F72">
        <w:t xml:space="preserve"> </w:t>
      </w:r>
      <w:bookmarkStart w:id="10" w:name="_Hlk95143047"/>
      <w:r w:rsidRPr="00D60F72">
        <w:t xml:space="preserve">47 </w:t>
      </w:r>
      <w:r w:rsidRPr="00D60F72" w:rsidR="00F50EE4">
        <w:t>CFR</w:t>
      </w:r>
      <w:r w:rsidRPr="00D60F72">
        <w:t xml:space="preserve"> §</w:t>
      </w:r>
      <w:r w:rsidRPr="00D60F72" w:rsidR="00950FE7">
        <w:t>§</w:t>
      </w:r>
      <w:r w:rsidRPr="00D60F72">
        <w:t xml:space="preserve"> </w:t>
      </w:r>
      <w:r w:rsidRPr="00D60F72" w:rsidR="00D60F72">
        <w:t>2</w:t>
      </w:r>
      <w:r w:rsidR="00D60F72">
        <w:t>.</w:t>
      </w:r>
      <w:r w:rsidRPr="00D60F72" w:rsidR="00D60F72">
        <w:t>803</w:t>
      </w:r>
      <w:r w:rsidR="00D60F72">
        <w:t xml:space="preserve"> (authorization required prior to marketing), </w:t>
      </w:r>
      <w:r w:rsidRPr="00D60F72">
        <w:t>15.3</w:t>
      </w:r>
      <w:bookmarkEnd w:id="10"/>
      <w:r w:rsidRPr="00D60F72">
        <w:t>(z)</w:t>
      </w:r>
      <w:r w:rsidRPr="00D60F72" w:rsidR="00950FE7">
        <w:t xml:space="preserve"> (unintentional radiator),</w:t>
      </w:r>
      <w:r w:rsidR="00983DFC">
        <w:t xml:space="preserve"> 15.101 (authorization required for unintentional radiator),</w:t>
      </w:r>
      <w:r w:rsidRPr="00D60F72">
        <w:t xml:space="preserve"> 18.107</w:t>
      </w:r>
      <w:r w:rsidRPr="00D60F72" w:rsidR="00B23C4E">
        <w:t>(c)</w:t>
      </w:r>
      <w:r w:rsidRPr="00D60F72" w:rsidR="00950FE7">
        <w:t xml:space="preserve"> (ISM devices)</w:t>
      </w:r>
      <w:r w:rsidR="00983DFC">
        <w:t>, 18.203 (authorization required for ISM devices)</w:t>
      </w:r>
      <w:r w:rsidRPr="00D60F72" w:rsidR="00DE1273">
        <w:t>.</w:t>
      </w:r>
    </w:p>
  </w:footnote>
  <w:footnote w:id="23">
    <w:p w:rsidR="00692F01" w:rsidRPr="00D60F72" w:rsidP="00D60F72" w14:paraId="71CC300C" w14:textId="505F8C59">
      <w:pPr>
        <w:pStyle w:val="FootnoteText"/>
        <w:rPr>
          <w:highlight w:val="yellow"/>
        </w:rPr>
      </w:pPr>
      <w:r w:rsidRPr="00D60F72">
        <w:rPr>
          <w:rStyle w:val="FootnoteReference"/>
        </w:rPr>
        <w:footnoteRef/>
      </w:r>
      <w:r w:rsidRPr="00D60F72">
        <w:t xml:space="preserve"> Letter of Inquiry from JoAnn Lucanik, Deputy Chief, Spectrum Enforcement Division, FCC Enforcement Bureau, to Mark Axelson, President, Health and Medical Sales, Inc. (January 14, 2020) (</w:t>
      </w:r>
      <w:bookmarkStart w:id="12" w:name="_Hlk61604401"/>
      <w:r w:rsidRPr="00D60F72">
        <w:t>on file in EB-SED-19-00029853</w:t>
      </w:r>
      <w:bookmarkEnd w:id="12"/>
      <w:r w:rsidRPr="00D60F72">
        <w:t>).</w:t>
      </w:r>
    </w:p>
  </w:footnote>
  <w:footnote w:id="24">
    <w:p w:rsidR="00AC7AC4" w:rsidRPr="00D60F72" w:rsidP="00D60F72" w14:paraId="29DAF8B3" w14:textId="52F80A21">
      <w:pPr>
        <w:spacing w:after="120"/>
        <w:rPr>
          <w:sz w:val="20"/>
        </w:rPr>
      </w:pPr>
      <w:r w:rsidRPr="00D60F72">
        <w:rPr>
          <w:rStyle w:val="FootnoteReference"/>
        </w:rPr>
        <w:footnoteRef/>
      </w:r>
      <w:r w:rsidRPr="00D60F72">
        <w:rPr>
          <w:sz w:val="20"/>
        </w:rPr>
        <w:t xml:space="preserve"> </w:t>
      </w:r>
      <w:bookmarkStart w:id="13" w:name="_Hlk66888988"/>
      <w:bookmarkStart w:id="14" w:name="_Hlk109220024"/>
      <w:r w:rsidRPr="00D60F72">
        <w:rPr>
          <w:sz w:val="20"/>
        </w:rPr>
        <w:t xml:space="preserve">Response to </w:t>
      </w:r>
      <w:r w:rsidR="00D57BEF">
        <w:rPr>
          <w:sz w:val="20"/>
        </w:rPr>
        <w:t>LOI at 3</w:t>
      </w:r>
      <w:r w:rsidRPr="00D60F72">
        <w:rPr>
          <w:sz w:val="20"/>
        </w:rPr>
        <w:t>-4, Response to Question 12 (Feb</w:t>
      </w:r>
      <w:r w:rsidRPr="00D60F72" w:rsidR="00F50EE4">
        <w:rPr>
          <w:sz w:val="20"/>
        </w:rPr>
        <w:t>.</w:t>
      </w:r>
      <w:r w:rsidRPr="00D60F72">
        <w:rPr>
          <w:sz w:val="20"/>
        </w:rPr>
        <w:t xml:space="preserve"> 14, 2020)</w:t>
      </w:r>
      <w:r w:rsidRPr="00D60F72" w:rsidR="00DB51C0">
        <w:rPr>
          <w:sz w:val="20"/>
        </w:rPr>
        <w:t>;</w:t>
      </w:r>
      <w:r w:rsidRPr="00D60F72">
        <w:rPr>
          <w:sz w:val="20"/>
        </w:rPr>
        <w:t xml:space="preserve"> </w:t>
      </w:r>
      <w:bookmarkEnd w:id="13"/>
      <w:r w:rsidRPr="00D60F72" w:rsidR="00DB51C0">
        <w:rPr>
          <w:sz w:val="20"/>
        </w:rPr>
        <w:t>R</w:t>
      </w:r>
      <w:r w:rsidRPr="00D60F72">
        <w:rPr>
          <w:sz w:val="20"/>
        </w:rPr>
        <w:t xml:space="preserve">esponse to </w:t>
      </w:r>
      <w:r w:rsidRPr="00AC7AC4">
        <w:rPr>
          <w:sz w:val="20"/>
        </w:rPr>
        <w:t>Supplemental LOI from Mark Axelson, President, Health and Medical Sales, Inc,)</w:t>
      </w:r>
      <w:r w:rsidRPr="00AC7AC4">
        <w:rPr>
          <w:sz w:val="20"/>
        </w:rPr>
        <w:t xml:space="preserve"> Jane Kelly, Attorney, Enforcement Bureau, FCC at  3-5</w:t>
      </w:r>
      <w:r w:rsidR="00C15645">
        <w:rPr>
          <w:sz w:val="20"/>
        </w:rPr>
        <w:t>,</w:t>
      </w:r>
      <w:r w:rsidRPr="00AC7AC4">
        <w:rPr>
          <w:sz w:val="20"/>
        </w:rPr>
        <w:t xml:space="preserve"> Response to Inquiry 2 </w:t>
      </w:r>
      <w:r w:rsidRPr="00AC7AC4">
        <w:rPr>
          <w:sz w:val="20"/>
        </w:rPr>
        <w:t>(June 3, 2020)</w:t>
      </w:r>
      <w:r w:rsidRPr="00AC7AC4" w:rsidR="00DB51C0">
        <w:rPr>
          <w:sz w:val="20"/>
        </w:rPr>
        <w:t xml:space="preserve"> (Response to Supplemental LOI)</w:t>
      </w:r>
      <w:r w:rsidRPr="00AC7AC4">
        <w:rPr>
          <w:sz w:val="20"/>
        </w:rPr>
        <w:t xml:space="preserve"> (on</w:t>
      </w:r>
      <w:r w:rsidRPr="00D60F72">
        <w:rPr>
          <w:sz w:val="20"/>
        </w:rPr>
        <w:t xml:space="preserve"> file in EB-SED-19-00029853</w:t>
      </w:r>
      <w:r>
        <w:rPr>
          <w:sz w:val="20"/>
        </w:rPr>
        <w:t>)</w:t>
      </w:r>
      <w:r w:rsidRPr="00D60F72" w:rsidR="00B11B5D">
        <w:rPr>
          <w:sz w:val="20"/>
        </w:rPr>
        <w:t>.</w:t>
      </w:r>
      <w:bookmarkEnd w:id="14"/>
    </w:p>
  </w:footnote>
  <w:footnote w:id="25">
    <w:p w:rsidR="00692F01" w:rsidRPr="00D60F72" w:rsidP="00D60F72" w14:paraId="0B4CC979" w14:textId="38D9836A">
      <w:pPr>
        <w:pStyle w:val="FootnoteText"/>
        <w:tabs>
          <w:tab w:val="left" w:pos="6120"/>
        </w:tabs>
      </w:pPr>
      <w:r w:rsidRPr="00D60F72">
        <w:rPr>
          <w:rStyle w:val="FootnoteReference"/>
        </w:rPr>
        <w:footnoteRef/>
      </w:r>
      <w:r w:rsidRPr="00D60F72">
        <w:t xml:space="preserve"> </w:t>
      </w:r>
      <w:r w:rsidRPr="00D60F72">
        <w:rPr>
          <w:i/>
          <w:iCs/>
        </w:rPr>
        <w:t>Id</w:t>
      </w:r>
      <w:r w:rsidRPr="00D60F72">
        <w:t>.</w:t>
      </w:r>
    </w:p>
  </w:footnote>
  <w:footnote w:id="26">
    <w:p w:rsidR="00692F01" w:rsidRPr="00D60F72" w:rsidP="00D60F72" w14:paraId="1BD9E05B" w14:textId="248745D9">
      <w:pPr>
        <w:pStyle w:val="FootnoteText"/>
      </w:pPr>
      <w:r w:rsidRPr="00D60F72">
        <w:rPr>
          <w:rStyle w:val="FootnoteReference"/>
        </w:rPr>
        <w:footnoteRef/>
      </w:r>
      <w:r w:rsidRPr="00D60F72">
        <w:t xml:space="preserve"> </w:t>
      </w:r>
      <w:bookmarkStart w:id="16" w:name="_Hlk61605621"/>
      <w:r w:rsidRPr="00D60F72">
        <w:t>Email from Mark Axelson to Jane Kelly, Spectrum Enforcement Division (Aug</w:t>
      </w:r>
      <w:r w:rsidR="00AC7AC4">
        <w:t>.</w:t>
      </w:r>
      <w:r w:rsidRPr="00D60F72">
        <w:t xml:space="preserve"> 27, 2020) (on file in </w:t>
      </w:r>
      <w:r w:rsidRPr="00D60F72" w:rsidR="00DB51C0">
        <w:t>EB-SED-19-00029853</w:t>
      </w:r>
      <w:r w:rsidRPr="00D60F72">
        <w:t>).</w:t>
      </w:r>
      <w:bookmarkEnd w:id="16"/>
    </w:p>
  </w:footnote>
  <w:footnote w:id="27">
    <w:p w:rsidR="00692F01" w:rsidRPr="00D60F72" w:rsidP="00D60F72" w14:paraId="1080BBC8" w14:textId="77777777">
      <w:pPr>
        <w:pStyle w:val="FootnoteText"/>
      </w:pPr>
      <w:r w:rsidRPr="00D60F72">
        <w:rPr>
          <w:rStyle w:val="FootnoteReference"/>
        </w:rPr>
        <w:footnoteRef/>
      </w:r>
      <w:r w:rsidRPr="00D60F72">
        <w:t xml:space="preserve"> </w:t>
      </w:r>
      <w:r w:rsidRPr="00D60F72">
        <w:rPr>
          <w:i/>
          <w:iCs/>
        </w:rPr>
        <w:t>Id.</w:t>
      </w:r>
    </w:p>
  </w:footnote>
  <w:footnote w:id="28">
    <w:p w:rsidR="00692F01" w:rsidRPr="00D60F72" w:rsidP="00D60F72" w14:paraId="561EF7C9" w14:textId="09447AFD">
      <w:pPr>
        <w:spacing w:after="120"/>
        <w:rPr>
          <w:sz w:val="20"/>
        </w:rPr>
      </w:pPr>
      <w:r w:rsidRPr="00AC7AC4">
        <w:rPr>
          <w:rStyle w:val="FootnoteReference"/>
        </w:rPr>
        <w:footnoteRef/>
      </w:r>
      <w:r w:rsidRPr="00AC7AC4">
        <w:rPr>
          <w:sz w:val="20"/>
        </w:rPr>
        <w:t xml:space="preserve"> Response to Supplemental LOI at 2</w:t>
      </w:r>
      <w:r w:rsidRPr="00AC7AC4" w:rsidR="003661AA">
        <w:rPr>
          <w:sz w:val="20"/>
        </w:rPr>
        <w:t xml:space="preserve">, response to Inquiry </w:t>
      </w:r>
      <w:r w:rsidRPr="00AC7AC4" w:rsidR="00AC7AC4">
        <w:rPr>
          <w:sz w:val="20"/>
        </w:rPr>
        <w:t>2</w:t>
      </w:r>
      <w:r w:rsidRPr="00AC7AC4">
        <w:rPr>
          <w:sz w:val="20"/>
        </w:rPr>
        <w:t>.</w:t>
      </w:r>
      <w:r w:rsidRPr="00D60F72">
        <w:rPr>
          <w:sz w:val="20"/>
        </w:rPr>
        <w:t xml:space="preserve">  </w:t>
      </w:r>
    </w:p>
  </w:footnote>
  <w:footnote w:id="29">
    <w:p w:rsidR="002126B1" w:rsidRPr="00D60F72" w:rsidP="00D60F72" w14:paraId="6E6B21C1" w14:textId="22CAA5E9">
      <w:pPr>
        <w:pStyle w:val="FootnoteText"/>
      </w:pPr>
      <w:r w:rsidRPr="00D60F72">
        <w:rPr>
          <w:rStyle w:val="FootnoteReference"/>
        </w:rPr>
        <w:footnoteRef/>
      </w:r>
      <w:r w:rsidRPr="00D60F72">
        <w:t xml:space="preserve"> </w:t>
      </w:r>
      <w:r w:rsidR="009E37B0">
        <w:rPr>
          <w:i/>
          <w:iCs/>
        </w:rPr>
        <w:t>See</w:t>
      </w:r>
      <w:r w:rsidR="00C86A8C">
        <w:rPr>
          <w:i/>
          <w:iCs/>
        </w:rPr>
        <w:t>,</w:t>
      </w:r>
      <w:r w:rsidR="009E37B0">
        <w:rPr>
          <w:i/>
          <w:iCs/>
        </w:rPr>
        <w:t xml:space="preserve"> e.g.,</w:t>
      </w:r>
      <w:r w:rsidR="009E37B0">
        <w:t xml:space="preserve"> Health and Med, </w:t>
      </w:r>
      <w:r w:rsidRPr="001A04BB" w:rsidR="009E37B0">
        <w:rPr>
          <w:i/>
          <w:iCs/>
        </w:rPr>
        <w:t>IonizeMe Maxx 5</w:t>
      </w:r>
      <w:r w:rsidR="009E37B0">
        <w:t xml:space="preserve">, </w:t>
      </w:r>
      <w:hyperlink r:id="rId4" w:history="1">
        <w:r w:rsidRPr="00627DEB" w:rsidR="009E37B0">
          <w:rPr>
            <w:rStyle w:val="Hyperlink"/>
          </w:rPr>
          <w:t>https://healthandmed.com/collections/1-user-ionic-detox-systems/products/ionizeme-maxx-5-the-most-powerful-ionic-detox-foot-bath-system</w:t>
        </w:r>
      </w:hyperlink>
      <w:r w:rsidRPr="00D60F72">
        <w:t xml:space="preserve"> (last visited March 4, 2022).</w:t>
      </w:r>
      <w:r w:rsidRPr="00D60F72" w:rsidR="00A71C68">
        <w:t xml:space="preserve">  </w:t>
      </w:r>
    </w:p>
  </w:footnote>
  <w:footnote w:id="30">
    <w:p w:rsidR="00692F01" w:rsidRPr="00D60F72" w:rsidP="00D60F72" w14:paraId="7D14C277" w14:textId="77777777">
      <w:pPr>
        <w:pStyle w:val="FootnoteText"/>
        <w:widowControl w:val="0"/>
      </w:pPr>
      <w:r w:rsidRPr="00D60F72">
        <w:rPr>
          <w:rStyle w:val="FootnoteReference"/>
        </w:rPr>
        <w:footnoteRef/>
      </w:r>
      <w:r w:rsidRPr="00D60F72">
        <w:t xml:space="preserve"> 47 U.S.C. § 302a(b).</w:t>
      </w:r>
    </w:p>
  </w:footnote>
  <w:footnote w:id="31">
    <w:p w:rsidR="00692F01" w:rsidRPr="00D60F72" w:rsidP="00D60F72" w14:paraId="20755761" w14:textId="77777777">
      <w:pPr>
        <w:pStyle w:val="psection-1"/>
        <w:shd w:val="clear" w:color="auto" w:fill="FFFFFF"/>
        <w:spacing w:before="0" w:beforeAutospacing="0" w:after="120" w:afterAutospacing="0"/>
        <w:rPr>
          <w:sz w:val="20"/>
          <w:szCs w:val="20"/>
        </w:rPr>
      </w:pPr>
      <w:r w:rsidRPr="00D60F72">
        <w:rPr>
          <w:rStyle w:val="FootnoteReference"/>
          <w:szCs w:val="20"/>
        </w:rPr>
        <w:footnoteRef/>
      </w:r>
      <w:r w:rsidRPr="00D60F72">
        <w:rPr>
          <w:sz w:val="20"/>
          <w:szCs w:val="20"/>
        </w:rPr>
        <w:t xml:space="preserve"> 47 CFR § 2.803(b).  </w:t>
      </w:r>
    </w:p>
  </w:footnote>
  <w:footnote w:id="32">
    <w:p w:rsidR="008F6EE5" w:rsidRPr="00D60F72" w:rsidP="008F6EE5" w14:paraId="40359E01" w14:textId="77777777">
      <w:pPr>
        <w:pStyle w:val="FootnoteText"/>
      </w:pPr>
      <w:r w:rsidRPr="00D60F72">
        <w:rPr>
          <w:rStyle w:val="FootnoteReference"/>
        </w:rPr>
        <w:footnoteRef/>
      </w:r>
      <w:r w:rsidRPr="00D60F72">
        <w:t xml:space="preserve"> </w:t>
      </w:r>
      <w:r w:rsidRPr="00D60F72">
        <w:rPr>
          <w:i/>
          <w:iCs/>
        </w:rPr>
        <w:t>See</w:t>
      </w:r>
      <w:r w:rsidRPr="00D60F72">
        <w:t xml:space="preserve"> Response to LOI at 3-4, Response to Question 12; Email from Mark Axelson, HealthandMed.com, to Jane Kelly, Attorney, Spectrum Enforcement Division, FCC Enforcement Bureau (Aug. 27, 2020) (on file in EB-SED-19-00029853) (Email and test results).</w:t>
      </w:r>
    </w:p>
  </w:footnote>
  <w:footnote w:id="33">
    <w:p w:rsidR="0016260A" w:rsidRPr="00D60F72" w:rsidP="00D60F72" w14:paraId="1204180D" w14:textId="13FCA707">
      <w:pPr>
        <w:pStyle w:val="FootnoteText"/>
      </w:pPr>
      <w:r w:rsidRPr="00D60F72">
        <w:rPr>
          <w:rStyle w:val="FootnoteReference"/>
        </w:rPr>
        <w:footnoteRef/>
      </w:r>
      <w:r w:rsidRPr="00D60F72">
        <w:t xml:space="preserve"> </w:t>
      </w:r>
      <w:r w:rsidRPr="001A04BB" w:rsidR="009C778C">
        <w:rPr>
          <w:i/>
          <w:iCs/>
        </w:rPr>
        <w:t>See</w:t>
      </w:r>
      <w:r w:rsidRPr="00D60F72" w:rsidR="009C778C">
        <w:t xml:space="preserve"> Response to LOI at 4 and Excel spreadsheet attachment</w:t>
      </w:r>
      <w:r w:rsidR="00C04878">
        <w:t xml:space="preserve">; </w:t>
      </w:r>
      <w:r w:rsidRPr="00C04878" w:rsidR="00C04878">
        <w:rPr>
          <w:i/>
          <w:iCs/>
        </w:rPr>
        <w:t>s</w:t>
      </w:r>
      <w:r w:rsidRPr="00C04878" w:rsidR="00104EA4">
        <w:rPr>
          <w:i/>
          <w:iCs/>
        </w:rPr>
        <w:t>ee</w:t>
      </w:r>
      <w:r w:rsidR="00C04878">
        <w:rPr>
          <w:i/>
          <w:iCs/>
        </w:rPr>
        <w:t xml:space="preserve"> also</w:t>
      </w:r>
      <w:r w:rsidRPr="00C04878" w:rsidR="00104EA4">
        <w:rPr>
          <w:i/>
          <w:iCs/>
        </w:rPr>
        <w:t xml:space="preserve"> supra</w:t>
      </w:r>
      <w:r w:rsidR="00104EA4">
        <w:t xml:space="preserve"> para </w:t>
      </w:r>
      <w:r w:rsidR="00C04878">
        <w:fldChar w:fldCharType="begin"/>
      </w:r>
      <w:r w:rsidR="00C04878">
        <w:instrText xml:space="preserve"> REF _Ref109398875 \r \h </w:instrText>
      </w:r>
      <w:r w:rsidR="00C04878">
        <w:fldChar w:fldCharType="separate"/>
      </w:r>
      <w:r w:rsidR="002A4E1C">
        <w:t>7</w:t>
      </w:r>
      <w:r w:rsidR="00C04878">
        <w:fldChar w:fldCharType="end"/>
      </w:r>
      <w:r w:rsidR="00104EA4">
        <w:t>.</w:t>
      </w:r>
    </w:p>
  </w:footnote>
  <w:footnote w:id="34">
    <w:p w:rsidR="00692F01" w:rsidRPr="00D60F72" w:rsidP="00D60F72" w14:paraId="16E32028" w14:textId="0D1AB236">
      <w:pPr>
        <w:pStyle w:val="FootnoteText"/>
      </w:pPr>
      <w:r w:rsidRPr="00D60F72">
        <w:rPr>
          <w:rStyle w:val="FootnoteReference"/>
        </w:rPr>
        <w:footnoteRef/>
      </w:r>
      <w:r w:rsidRPr="00D60F72">
        <w:t xml:space="preserve"> 47 U.S.C. § 302a(b); 47 CFR </w:t>
      </w:r>
      <w:r w:rsidRPr="00D60F72" w:rsidR="00872189">
        <w:t>§</w:t>
      </w:r>
      <w:r w:rsidRPr="00D60F72">
        <w:t xml:space="preserve"> 2.803(b)</w:t>
      </w:r>
      <w:r w:rsidRPr="00D60F72">
        <w:rPr>
          <w:rFonts w:eastAsia="Calibri"/>
          <w:bdr w:val="none" w:sz="0" w:space="0" w:color="auto" w:frame="1"/>
        </w:rPr>
        <w:t>.</w:t>
      </w:r>
    </w:p>
  </w:footnote>
  <w:footnote w:id="35">
    <w:p w:rsidR="00692F01" w:rsidRPr="00D60F72" w:rsidP="00D60F72" w14:paraId="22554EA3" w14:textId="77777777">
      <w:pPr>
        <w:pStyle w:val="FootnoteText"/>
      </w:pPr>
      <w:r w:rsidRPr="00D60F72">
        <w:rPr>
          <w:rStyle w:val="FootnoteReference"/>
        </w:rPr>
        <w:footnoteRef/>
      </w:r>
      <w:r w:rsidRPr="00D60F72">
        <w:t xml:space="preserve"> 47 CFR § 1.17.</w:t>
      </w:r>
    </w:p>
  </w:footnote>
  <w:footnote w:id="36">
    <w:p w:rsidR="00692F01" w:rsidRPr="00D60F72" w:rsidP="00D60F72" w14:paraId="3DB68E38" w14:textId="77777777">
      <w:pPr>
        <w:pStyle w:val="FootnoteText"/>
      </w:pPr>
      <w:r w:rsidRPr="00D60F72">
        <w:rPr>
          <w:rStyle w:val="FootnoteReference"/>
        </w:rPr>
        <w:footnoteRef/>
      </w:r>
      <w:r w:rsidRPr="00D60F72">
        <w:t xml:space="preserve"> </w:t>
      </w:r>
      <w:r w:rsidRPr="00D60F72">
        <w:rPr>
          <w:kern w:val="2"/>
        </w:rPr>
        <w:t>18 U.S.C. § 1001.</w:t>
      </w:r>
    </w:p>
  </w:footnote>
  <w:footnote w:id="37">
    <w:p w:rsidR="00692F01" w:rsidRPr="00D60F72" w:rsidP="00D60F72" w14:paraId="1F7ACD5E" w14:textId="77777777">
      <w:pPr>
        <w:pStyle w:val="FootnoteText"/>
      </w:pPr>
      <w:r w:rsidRPr="00D60F72">
        <w:rPr>
          <w:rStyle w:val="FootnoteReference"/>
        </w:rPr>
        <w:footnoteRef/>
      </w:r>
      <w:r w:rsidRPr="00D60F72">
        <w:t xml:space="preserve"> </w:t>
      </w:r>
      <w:r w:rsidRPr="00D60F72">
        <w:rPr>
          <w:kern w:val="2"/>
        </w:rPr>
        <w:t>5 U.S.C. § 552a(e)(3).</w:t>
      </w:r>
    </w:p>
  </w:footnote>
  <w:footnote w:id="38">
    <w:p w:rsidR="00692F01" w:rsidRPr="00D60F72" w:rsidP="00D60F72" w14:paraId="45254C84" w14:textId="77777777">
      <w:pPr>
        <w:pStyle w:val="FootnoteText"/>
      </w:pPr>
      <w:r w:rsidRPr="00D60F72">
        <w:rPr>
          <w:rStyle w:val="FootnoteReference"/>
        </w:rPr>
        <w:footnoteRef/>
      </w:r>
      <w:r w:rsidRPr="00D60F72">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39">
    <w:p w:rsidR="00692F01" w:rsidRPr="00D60F72" w:rsidP="00D60F72" w14:paraId="42F534BA" w14:textId="28A0ADA8">
      <w:pPr>
        <w:pStyle w:val="FootnoteText"/>
      </w:pPr>
      <w:r w:rsidRPr="00D60F72">
        <w:rPr>
          <w:rStyle w:val="FootnoteReference"/>
        </w:rPr>
        <w:footnoteRef/>
      </w:r>
      <w:r w:rsidRPr="00D60F72">
        <w:t xml:space="preserve"> </w:t>
      </w:r>
      <w:r w:rsidRPr="00D60F72">
        <w:rPr>
          <w:i/>
        </w:rPr>
        <w:t xml:space="preserve">See </w:t>
      </w:r>
      <w:r w:rsidRPr="00D60F72">
        <w:t>47 U.S.C. § 503; 47 CFR § 1.80(b).  Th</w:t>
      </w:r>
      <w:r w:rsidRPr="00D60F72" w:rsidR="00DB51C0">
        <w:t>e</w:t>
      </w:r>
      <w:r w:rsidRPr="00D60F72">
        <w:t>s</w:t>
      </w:r>
      <w:r w:rsidRPr="00D60F72" w:rsidR="00DB51C0">
        <w:t>e</w:t>
      </w:r>
      <w:r w:rsidRPr="00D60F72">
        <w:t xml:space="preserve"> amount</w:t>
      </w:r>
      <w:r w:rsidRPr="00D60F72" w:rsidR="00DB51C0">
        <w:t>s are</w:t>
      </w:r>
      <w:r w:rsidRPr="00D60F72">
        <w:t xml:space="preserve"> subject to further adjustment for inflation.  </w:t>
      </w:r>
      <w:r w:rsidRPr="00D60F72">
        <w:rPr>
          <w:i/>
        </w:rPr>
        <w:t xml:space="preserve">See </w:t>
      </w:r>
      <w:r w:rsidRPr="00D60F72">
        <w:t xml:space="preserve">47 CFR § 1.80(b)(9).    </w:t>
      </w:r>
    </w:p>
  </w:footnote>
  <w:footnote w:id="40">
    <w:p w:rsidR="00692F01" w:rsidRPr="00D60F72" w:rsidP="00D60F72" w14:paraId="53F49611" w14:textId="77777777">
      <w:pPr>
        <w:pStyle w:val="FootnoteText"/>
      </w:pPr>
      <w:r w:rsidRPr="00D60F72">
        <w:rPr>
          <w:rStyle w:val="FootnoteReference"/>
        </w:rPr>
        <w:footnoteRef/>
      </w:r>
      <w:r w:rsidRPr="00D60F72">
        <w:t xml:space="preserve"> </w:t>
      </w:r>
      <w:r w:rsidRPr="00D60F72">
        <w:rPr>
          <w:i/>
        </w:rPr>
        <w:t>See</w:t>
      </w:r>
      <w:r w:rsidRPr="00D60F72">
        <w:t xml:space="preserve"> 47 U.S.C. § 503(b)(2)(E); 47 CFR § 1.80(b)(8).</w:t>
      </w:r>
    </w:p>
  </w:footnote>
  <w:footnote w:id="41">
    <w:p w:rsidR="00692F01" w:rsidRPr="00D60F72" w:rsidP="00D60F72" w14:paraId="692DE37D" w14:textId="4E63EBE3">
      <w:pPr>
        <w:pStyle w:val="FootnoteText"/>
      </w:pPr>
      <w:r w:rsidRPr="00D60F72">
        <w:rPr>
          <w:rStyle w:val="FootnoteReference"/>
        </w:rPr>
        <w:footnoteRef/>
      </w:r>
      <w:r w:rsidRPr="00D60F72">
        <w:t xml:space="preserve"> </w:t>
      </w:r>
      <w:r w:rsidRPr="00D60F72">
        <w:rPr>
          <w:i/>
        </w:rPr>
        <w:t>See</w:t>
      </w:r>
      <w:r w:rsidRPr="00D60F72">
        <w:t xml:space="preserve"> </w:t>
      </w:r>
      <w:r w:rsidRPr="00D60F72">
        <w:rPr>
          <w:i/>
        </w:rPr>
        <w:t xml:space="preserve">supra </w:t>
      </w:r>
      <w:r w:rsidRPr="00D60F72">
        <w:t xml:space="preserve">paragraph </w:t>
      </w:r>
      <w:r w:rsidRPr="00D60F72">
        <w:fldChar w:fldCharType="begin"/>
      </w:r>
      <w:r w:rsidRPr="00D60F72">
        <w:instrText xml:space="preserve"> REF _Ref63163549 \r \h  \* MERGEFORMAT </w:instrText>
      </w:r>
      <w:r w:rsidRPr="00D60F72">
        <w:fldChar w:fldCharType="separate"/>
      </w:r>
      <w:r w:rsidR="002A4E1C">
        <w:t>1</w:t>
      </w:r>
      <w:r w:rsidRPr="00D60F72">
        <w:fldChar w:fldCharType="end"/>
      </w:r>
      <w:r w:rsidRPr="00D60F72">
        <w:t xml:space="preserve">.  </w:t>
      </w:r>
    </w:p>
  </w:footnote>
  <w:footnote w:id="42">
    <w:p w:rsidR="00692F01" w:rsidRPr="00D60F72" w:rsidP="00D60F72" w14:paraId="207D2008" w14:textId="77777777">
      <w:pPr>
        <w:pStyle w:val="FootnoteText"/>
      </w:pPr>
      <w:r w:rsidRPr="00D60F72">
        <w:rPr>
          <w:rStyle w:val="FootnoteReference"/>
        </w:rPr>
        <w:footnoteRef/>
      </w:r>
      <w:r w:rsidRPr="00D60F72">
        <w:t xml:space="preserve"> 47 U.S.C. § 154(i), (j).</w:t>
      </w:r>
    </w:p>
  </w:footnote>
  <w:footnote w:id="43">
    <w:p w:rsidR="00692F01" w:rsidRPr="00D60F72" w:rsidP="00D60F72" w14:paraId="7B42A2C7" w14:textId="57569C43">
      <w:pPr>
        <w:spacing w:after="120"/>
        <w:rPr>
          <w:sz w:val="20"/>
        </w:rPr>
      </w:pPr>
      <w:r w:rsidRPr="00D60F72">
        <w:rPr>
          <w:rStyle w:val="FootnoteReference"/>
        </w:rPr>
        <w:footnoteRef/>
      </w:r>
      <w:r w:rsidRPr="00D60F72">
        <w:rPr>
          <w:sz w:val="20"/>
        </w:rPr>
        <w:t xml:space="preserve"> 47 U.S.C. § 302</w:t>
      </w:r>
      <w:r w:rsidRPr="00D60F72" w:rsidR="006D4228">
        <w:rPr>
          <w:sz w:val="20"/>
        </w:rPr>
        <w:t>;</w:t>
      </w:r>
      <w:r w:rsidRPr="00D60F72">
        <w:rPr>
          <w:sz w:val="20"/>
        </w:rPr>
        <w:t xml:space="preserve"> 47 CFR § 2.803(a)-(c)</w:t>
      </w:r>
      <w:r w:rsidRPr="00D60F72">
        <w:rPr>
          <w:i/>
          <w:sz w:val="20"/>
        </w:rPr>
        <w:t>.</w:t>
      </w:r>
    </w:p>
  </w:footnote>
  <w:footnote w:id="44">
    <w:p w:rsidR="00B62B26" w:rsidRPr="00D60F72" w:rsidP="00D60F72" w14:paraId="14A22105" w14:textId="77777777">
      <w:pPr>
        <w:pStyle w:val="FootnoteText"/>
      </w:pPr>
      <w:r w:rsidRPr="00D60F72">
        <w:rPr>
          <w:rStyle w:val="FootnoteReference"/>
        </w:rPr>
        <w:footnoteRef/>
      </w:r>
      <w:r w:rsidRPr="00D60F72">
        <w:t xml:space="preserve"> 47 U.S.C. §§ 154(i),(j), 403.</w:t>
      </w:r>
    </w:p>
  </w:footnote>
  <w:footnote w:id="45">
    <w:p w:rsidR="00B62B26" w:rsidRPr="00D60F72" w:rsidP="00D60F72" w14:paraId="2AD97218" w14:textId="77777777">
      <w:pPr>
        <w:pStyle w:val="FootnoteText"/>
      </w:pPr>
      <w:r w:rsidRPr="00D60F72">
        <w:rPr>
          <w:rStyle w:val="FootnoteReference"/>
        </w:rPr>
        <w:footnoteRef/>
      </w:r>
      <w:r w:rsidRPr="00D60F72">
        <w:t xml:space="preserve"> 47 CFR § 1.16.</w:t>
      </w:r>
    </w:p>
  </w:footnote>
  <w:footnote w:id="46">
    <w:p w:rsidR="00487EF2" w:rsidRPr="00D60F72" w:rsidP="00D60F72" w14:paraId="0FCC4A65" w14:textId="751CCE70">
      <w:pPr>
        <w:pStyle w:val="FootnoteText"/>
      </w:pPr>
      <w:r w:rsidRPr="00D60F72">
        <w:rPr>
          <w:rStyle w:val="FootnoteReference"/>
        </w:rPr>
        <w:footnoteRef/>
      </w:r>
      <w:r w:rsidRPr="00D60F72">
        <w:t xml:space="preserve"> Attachment to Response to Letter of Inquiry from HealthandMed.com to FCC Enforcement Bureau (Feb. 14, 2020) (on file in EB-SED-00029853) and Response to Supplemental LOI and Attachments (June 3, 2020) (on file in EB-SED-19-19-00029853), Email from Mark Axelson to Jane Kelly, Spectrum Enforcement Division, (August 26, 2020) (on file in EB-SED-00029853), Email from Mark Axelson to Jane Kelly, Spectrum Enforcement Division, (August 27, 2020) (on file in EB-SED-00029853).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92E" w:rsidRPr="000142B7" w:rsidP="000142B7" w14:paraId="5736BF22" w14:textId="413B1A61">
    <w:pPr>
      <w:pStyle w:val="Header"/>
      <w:spacing w:after="120"/>
      <w:rPr>
        <w:b w:val="0"/>
      </w:rPr>
    </w:pPr>
    <w:r w:rsidRPr="00EE36BE">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EE36BE">
      <w:tab/>
      <w:t>Federal Communications Commission</w:t>
    </w:r>
    <w:r w:rsidRPr="00EE36BE">
      <w:tab/>
    </w:r>
    <w:r w:rsidR="00B3282F">
      <w:t xml:space="preserve">DA </w:t>
    </w:r>
    <w:r w:rsidR="0021636F">
      <w:t>22-920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92E" w:rsidRPr="000142B7" w:rsidP="000142B7" w14:paraId="4905B27F" w14:textId="545A9FB4">
    <w:pPr>
      <w:pStyle w:val="Header"/>
      <w:spacing w:after="120"/>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00B3282F">
      <w:t xml:space="preserve">DA </w:t>
    </w:r>
    <w:r w:rsidR="0021636F">
      <w:t>22-920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23753E4"/>
    <w:multiLevelType w:val="hybridMultilevel"/>
    <w:tmpl w:val="71122E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6E97465"/>
    <w:multiLevelType w:val="hybridMultilevel"/>
    <w:tmpl w:val="520AB3BC"/>
    <w:lvl w:ilvl="0">
      <w:start w:val="1"/>
      <w:numFmt w:val="lowerRoman"/>
      <w:lvlText w:val="%1."/>
      <w:lvlJc w:val="left"/>
      <w:pPr>
        <w:ind w:left="2160" w:hanging="720"/>
      </w:pPr>
      <w:rPr>
        <w:rFonts w:hint="default"/>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5BD46F2"/>
    <w:multiLevelType w:val="singleLevel"/>
    <w:tmpl w:val="111C9D98"/>
    <w:lvl w:ilvl="0">
      <w:start w:val="1"/>
      <w:numFmt w:val="decimal"/>
      <w:lvlText w:val="%1."/>
      <w:lvlJc w:val="left"/>
      <w:pPr>
        <w:tabs>
          <w:tab w:val="num" w:pos="1080"/>
        </w:tabs>
        <w:ind w:left="0" w:firstLine="720"/>
      </w:pPr>
      <w:rPr>
        <w:rFonts w:cs="Times New Roman" w:hint="default"/>
      </w:rPr>
    </w:lvl>
  </w:abstractNum>
  <w:abstractNum w:abstractNumId="17">
    <w:nsid w:val="694726BB"/>
    <w:multiLevelType w:val="singleLevel"/>
    <w:tmpl w:val="111C9D98"/>
    <w:lvl w:ilvl="0">
      <w:start w:val="1"/>
      <w:numFmt w:val="decimal"/>
      <w:lvlText w:val="%1."/>
      <w:lvlJc w:val="left"/>
      <w:pPr>
        <w:tabs>
          <w:tab w:val="num" w:pos="1080"/>
        </w:tabs>
        <w:ind w:left="0" w:firstLine="720"/>
      </w:pPr>
      <w:rPr>
        <w:rFonts w:cs="Times New Roman" w:hint="default"/>
      </w:rPr>
    </w:lvl>
  </w:abstractNum>
  <w:abstractNum w:abstractNumId="18">
    <w:nsid w:val="6FB837BF"/>
    <w:multiLevelType w:val="hybridMultilevel"/>
    <w:tmpl w:val="520AB3BC"/>
    <w:lvl w:ilvl="0">
      <w:start w:val="1"/>
      <w:numFmt w:val="lowerRoman"/>
      <w:lvlText w:val="%1."/>
      <w:lvlJc w:val="left"/>
      <w:pPr>
        <w:ind w:left="2160" w:hanging="720"/>
      </w:pPr>
      <w:rPr>
        <w:rFonts w:hint="default"/>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5"/>
  </w:num>
  <w:num w:numId="2">
    <w:abstractNumId w:val="7"/>
  </w:num>
  <w:num w:numId="3">
    <w:abstractNumId w:val="2"/>
  </w:num>
  <w:num w:numId="4">
    <w:abstractNumId w:val="10"/>
  </w:num>
  <w:num w:numId="5">
    <w:abstractNumId w:val="1"/>
  </w:num>
  <w:num w:numId="6">
    <w:abstractNumId w:val="8"/>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4"/>
  </w:num>
  <w:num w:numId="9">
    <w:abstractNumId w:val="13"/>
  </w:num>
  <w:num w:numId="10">
    <w:abstractNumId w:val="9"/>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lvlOverride w:ilvl="0">
      <w:startOverride w:val="1"/>
    </w:lvlOverride>
  </w:num>
  <w:num w:numId="18">
    <w:abstractNumId w:val="15"/>
    <w:lvlOverride w:ilvl="0">
      <w:startOverride w:val="1"/>
    </w:lvlOverride>
  </w:num>
  <w:num w:numId="19">
    <w:abstractNumId w:val="15"/>
  </w:num>
  <w:num w:numId="20">
    <w:abstractNumId w:val="18"/>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lvlOverride w:ilvl="0">
      <w:startOverride w:val="14"/>
    </w:lvlOverride>
  </w:num>
  <w:num w:numId="30">
    <w:abstractNumId w:val="15"/>
    <w:lvlOverride w:ilvl="0">
      <w:startOverride w:val="1"/>
    </w:lvlOverride>
  </w:num>
  <w:num w:numId="31">
    <w:abstractNumId w:val="4"/>
  </w:num>
  <w:num w:numId="32">
    <w:abstractNumId w:val="15"/>
    <w:lvlOverride w:ilvl="0">
      <w:startOverride w:val="1"/>
    </w:lvlOverride>
  </w:num>
  <w:num w:numId="33">
    <w:abstractNumId w:val="3"/>
  </w:num>
  <w:num w:numId="34">
    <w:abstractNumId w:val="15"/>
  </w:num>
  <w:num w:numId="35">
    <w:abstractNumId w:val="12"/>
  </w:num>
  <w:num w:numId="36">
    <w:abstractNumId w:val="17"/>
  </w:num>
  <w:num w:numId="37">
    <w:abstractNumId w:val="16"/>
  </w:num>
  <w:num w:numId="38">
    <w:abstractNumId w:val="5"/>
  </w:num>
  <w:num w:numId="39">
    <w:abstractNumId w:val="11"/>
  </w:num>
  <w:num w:numId="40">
    <w:abstractNumId w:val="6"/>
  </w:num>
  <w:num w:numId="41">
    <w:abstractNumId w:val="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1123"/>
    <w:rsid w:val="000024CA"/>
    <w:rsid w:val="00005148"/>
    <w:rsid w:val="00012BFC"/>
    <w:rsid w:val="000142B7"/>
    <w:rsid w:val="00014462"/>
    <w:rsid w:val="000174F9"/>
    <w:rsid w:val="00017BF7"/>
    <w:rsid w:val="0002221D"/>
    <w:rsid w:val="00022276"/>
    <w:rsid w:val="00022C58"/>
    <w:rsid w:val="000264B4"/>
    <w:rsid w:val="00031AE8"/>
    <w:rsid w:val="0003502F"/>
    <w:rsid w:val="00036D58"/>
    <w:rsid w:val="00041980"/>
    <w:rsid w:val="000464D3"/>
    <w:rsid w:val="00046E05"/>
    <w:rsid w:val="000478ED"/>
    <w:rsid w:val="000516D6"/>
    <w:rsid w:val="00057F32"/>
    <w:rsid w:val="000604EB"/>
    <w:rsid w:val="00062044"/>
    <w:rsid w:val="0006278C"/>
    <w:rsid w:val="00062C44"/>
    <w:rsid w:val="000649FE"/>
    <w:rsid w:val="00064E72"/>
    <w:rsid w:val="00065C0B"/>
    <w:rsid w:val="00071A40"/>
    <w:rsid w:val="00071E3F"/>
    <w:rsid w:val="00072D7D"/>
    <w:rsid w:val="00074717"/>
    <w:rsid w:val="00080535"/>
    <w:rsid w:val="00080916"/>
    <w:rsid w:val="000824AC"/>
    <w:rsid w:val="00082E4A"/>
    <w:rsid w:val="00084632"/>
    <w:rsid w:val="000853AD"/>
    <w:rsid w:val="00086824"/>
    <w:rsid w:val="00091AE4"/>
    <w:rsid w:val="00092506"/>
    <w:rsid w:val="000962DF"/>
    <w:rsid w:val="00097330"/>
    <w:rsid w:val="00097F82"/>
    <w:rsid w:val="000A3E68"/>
    <w:rsid w:val="000A4776"/>
    <w:rsid w:val="000A775D"/>
    <w:rsid w:val="000B12F9"/>
    <w:rsid w:val="000B14C3"/>
    <w:rsid w:val="000B1C2B"/>
    <w:rsid w:val="000B29ED"/>
    <w:rsid w:val="000B7657"/>
    <w:rsid w:val="000C6050"/>
    <w:rsid w:val="000D0597"/>
    <w:rsid w:val="000D1391"/>
    <w:rsid w:val="000D25A7"/>
    <w:rsid w:val="000E1951"/>
    <w:rsid w:val="000E2707"/>
    <w:rsid w:val="000E2C22"/>
    <w:rsid w:val="000E3600"/>
    <w:rsid w:val="000E43D5"/>
    <w:rsid w:val="000E6C7B"/>
    <w:rsid w:val="000F1155"/>
    <w:rsid w:val="000F67FC"/>
    <w:rsid w:val="00100646"/>
    <w:rsid w:val="00104EA4"/>
    <w:rsid w:val="0010566E"/>
    <w:rsid w:val="0010592E"/>
    <w:rsid w:val="00105A35"/>
    <w:rsid w:val="00111822"/>
    <w:rsid w:val="0011337B"/>
    <w:rsid w:val="001138B7"/>
    <w:rsid w:val="001164C6"/>
    <w:rsid w:val="0011687C"/>
    <w:rsid w:val="001205FE"/>
    <w:rsid w:val="00122462"/>
    <w:rsid w:val="00122BB3"/>
    <w:rsid w:val="0012427E"/>
    <w:rsid w:val="00124FF8"/>
    <w:rsid w:val="00126C88"/>
    <w:rsid w:val="00130D3F"/>
    <w:rsid w:val="00134450"/>
    <w:rsid w:val="00135F7F"/>
    <w:rsid w:val="00136476"/>
    <w:rsid w:val="001426F0"/>
    <w:rsid w:val="00142962"/>
    <w:rsid w:val="00144227"/>
    <w:rsid w:val="00145E08"/>
    <w:rsid w:val="001532B1"/>
    <w:rsid w:val="00153904"/>
    <w:rsid w:val="00153CE0"/>
    <w:rsid w:val="00156F6A"/>
    <w:rsid w:val="00162161"/>
    <w:rsid w:val="0016260A"/>
    <w:rsid w:val="00164D9B"/>
    <w:rsid w:val="00170060"/>
    <w:rsid w:val="001715BD"/>
    <w:rsid w:val="001724B8"/>
    <w:rsid w:val="001730B8"/>
    <w:rsid w:val="001740BB"/>
    <w:rsid w:val="00177098"/>
    <w:rsid w:val="00180026"/>
    <w:rsid w:val="001812DE"/>
    <w:rsid w:val="0018164D"/>
    <w:rsid w:val="001819AF"/>
    <w:rsid w:val="001829BE"/>
    <w:rsid w:val="001832D5"/>
    <w:rsid w:val="00192DF0"/>
    <w:rsid w:val="00196DD6"/>
    <w:rsid w:val="001A04BB"/>
    <w:rsid w:val="001A29EF"/>
    <w:rsid w:val="001A2F40"/>
    <w:rsid w:val="001A38A4"/>
    <w:rsid w:val="001A69BA"/>
    <w:rsid w:val="001A79FB"/>
    <w:rsid w:val="001B048F"/>
    <w:rsid w:val="001C00B8"/>
    <w:rsid w:val="001C04B6"/>
    <w:rsid w:val="001C24DE"/>
    <w:rsid w:val="001C3156"/>
    <w:rsid w:val="001C3B35"/>
    <w:rsid w:val="001C42B3"/>
    <w:rsid w:val="001C461E"/>
    <w:rsid w:val="001D1CEF"/>
    <w:rsid w:val="001D6C80"/>
    <w:rsid w:val="001E135C"/>
    <w:rsid w:val="001E1906"/>
    <w:rsid w:val="001E36EE"/>
    <w:rsid w:val="001E401B"/>
    <w:rsid w:val="001F2B76"/>
    <w:rsid w:val="001F37EB"/>
    <w:rsid w:val="001F5AA4"/>
    <w:rsid w:val="001F757E"/>
    <w:rsid w:val="001F7EE0"/>
    <w:rsid w:val="00200B80"/>
    <w:rsid w:val="00211821"/>
    <w:rsid w:val="002126B1"/>
    <w:rsid w:val="0021315C"/>
    <w:rsid w:val="002141E6"/>
    <w:rsid w:val="002146E2"/>
    <w:rsid w:val="002162A9"/>
    <w:rsid w:val="0021636F"/>
    <w:rsid w:val="00217C2D"/>
    <w:rsid w:val="00221500"/>
    <w:rsid w:val="00223173"/>
    <w:rsid w:val="00226191"/>
    <w:rsid w:val="002262AA"/>
    <w:rsid w:val="0022665A"/>
    <w:rsid w:val="002266F5"/>
    <w:rsid w:val="00227ABE"/>
    <w:rsid w:val="00236820"/>
    <w:rsid w:val="00236DAE"/>
    <w:rsid w:val="00246222"/>
    <w:rsid w:val="00246B47"/>
    <w:rsid w:val="00250EDF"/>
    <w:rsid w:val="00252799"/>
    <w:rsid w:val="00256862"/>
    <w:rsid w:val="00256904"/>
    <w:rsid w:val="00256B42"/>
    <w:rsid w:val="002636D3"/>
    <w:rsid w:val="00265763"/>
    <w:rsid w:val="002659F3"/>
    <w:rsid w:val="00265FC9"/>
    <w:rsid w:val="00270CD1"/>
    <w:rsid w:val="002710C5"/>
    <w:rsid w:val="0027183B"/>
    <w:rsid w:val="002718D7"/>
    <w:rsid w:val="00272CB4"/>
    <w:rsid w:val="00275D68"/>
    <w:rsid w:val="00276909"/>
    <w:rsid w:val="00280C18"/>
    <w:rsid w:val="00283E59"/>
    <w:rsid w:val="00286AB7"/>
    <w:rsid w:val="00286D91"/>
    <w:rsid w:val="0028736A"/>
    <w:rsid w:val="00287564"/>
    <w:rsid w:val="002966A1"/>
    <w:rsid w:val="00297424"/>
    <w:rsid w:val="002A162E"/>
    <w:rsid w:val="002A1963"/>
    <w:rsid w:val="002A4E1C"/>
    <w:rsid w:val="002B7493"/>
    <w:rsid w:val="002B7988"/>
    <w:rsid w:val="002C0AA4"/>
    <w:rsid w:val="002C12AD"/>
    <w:rsid w:val="002C2218"/>
    <w:rsid w:val="002C66A2"/>
    <w:rsid w:val="002D0E00"/>
    <w:rsid w:val="002D35F5"/>
    <w:rsid w:val="002D38FF"/>
    <w:rsid w:val="002D3A88"/>
    <w:rsid w:val="002D3E96"/>
    <w:rsid w:val="002D4CD9"/>
    <w:rsid w:val="002D63C3"/>
    <w:rsid w:val="002D687E"/>
    <w:rsid w:val="002D6A81"/>
    <w:rsid w:val="002D74C4"/>
    <w:rsid w:val="002E046E"/>
    <w:rsid w:val="002E1671"/>
    <w:rsid w:val="002E26CA"/>
    <w:rsid w:val="002E3743"/>
    <w:rsid w:val="002E3DE5"/>
    <w:rsid w:val="002E43B6"/>
    <w:rsid w:val="002E58AF"/>
    <w:rsid w:val="002E6027"/>
    <w:rsid w:val="002E616C"/>
    <w:rsid w:val="002F2ACB"/>
    <w:rsid w:val="002F65AB"/>
    <w:rsid w:val="00306C34"/>
    <w:rsid w:val="00306C50"/>
    <w:rsid w:val="0031452F"/>
    <w:rsid w:val="0032053D"/>
    <w:rsid w:val="0032244D"/>
    <w:rsid w:val="00325463"/>
    <w:rsid w:val="00331B47"/>
    <w:rsid w:val="00331D4E"/>
    <w:rsid w:val="003343CA"/>
    <w:rsid w:val="003368A3"/>
    <w:rsid w:val="003368E2"/>
    <w:rsid w:val="003400E9"/>
    <w:rsid w:val="00340246"/>
    <w:rsid w:val="00344871"/>
    <w:rsid w:val="00345F40"/>
    <w:rsid w:val="00346DCB"/>
    <w:rsid w:val="003472A7"/>
    <w:rsid w:val="00347397"/>
    <w:rsid w:val="00347907"/>
    <w:rsid w:val="00350389"/>
    <w:rsid w:val="00352E0F"/>
    <w:rsid w:val="00353E9D"/>
    <w:rsid w:val="00354F5C"/>
    <w:rsid w:val="00361B43"/>
    <w:rsid w:val="00361FC2"/>
    <w:rsid w:val="003623B1"/>
    <w:rsid w:val="003661AA"/>
    <w:rsid w:val="0036728B"/>
    <w:rsid w:val="00367723"/>
    <w:rsid w:val="003703CB"/>
    <w:rsid w:val="00373405"/>
    <w:rsid w:val="00383A7D"/>
    <w:rsid w:val="00383C2B"/>
    <w:rsid w:val="00395AD8"/>
    <w:rsid w:val="0039768C"/>
    <w:rsid w:val="003A07BF"/>
    <w:rsid w:val="003A4346"/>
    <w:rsid w:val="003A4767"/>
    <w:rsid w:val="003A5530"/>
    <w:rsid w:val="003A6F0A"/>
    <w:rsid w:val="003B18EB"/>
    <w:rsid w:val="003B4544"/>
    <w:rsid w:val="003B5341"/>
    <w:rsid w:val="003B5EF6"/>
    <w:rsid w:val="003B61C5"/>
    <w:rsid w:val="003B6F75"/>
    <w:rsid w:val="003B7AC1"/>
    <w:rsid w:val="003C0BCF"/>
    <w:rsid w:val="003C1AE1"/>
    <w:rsid w:val="003C4551"/>
    <w:rsid w:val="003C4AD3"/>
    <w:rsid w:val="003C6559"/>
    <w:rsid w:val="003D5B63"/>
    <w:rsid w:val="003D5BD6"/>
    <w:rsid w:val="003E36EC"/>
    <w:rsid w:val="003E3782"/>
    <w:rsid w:val="003E4BA1"/>
    <w:rsid w:val="003E576E"/>
    <w:rsid w:val="003E5CB1"/>
    <w:rsid w:val="003E6831"/>
    <w:rsid w:val="003E7003"/>
    <w:rsid w:val="003F2F66"/>
    <w:rsid w:val="004016AD"/>
    <w:rsid w:val="00401AF3"/>
    <w:rsid w:val="00403B86"/>
    <w:rsid w:val="0040646D"/>
    <w:rsid w:val="004103A0"/>
    <w:rsid w:val="00415670"/>
    <w:rsid w:val="00416F51"/>
    <w:rsid w:val="004200CE"/>
    <w:rsid w:val="0042056B"/>
    <w:rsid w:val="00424582"/>
    <w:rsid w:val="00425C60"/>
    <w:rsid w:val="00426316"/>
    <w:rsid w:val="00430DB1"/>
    <w:rsid w:val="00431572"/>
    <w:rsid w:val="00436A9E"/>
    <w:rsid w:val="00436E88"/>
    <w:rsid w:val="00447B59"/>
    <w:rsid w:val="00452C14"/>
    <w:rsid w:val="00455BB0"/>
    <w:rsid w:val="00457AE7"/>
    <w:rsid w:val="00463B33"/>
    <w:rsid w:val="00466CC6"/>
    <w:rsid w:val="00467066"/>
    <w:rsid w:val="004718A5"/>
    <w:rsid w:val="0047221C"/>
    <w:rsid w:val="004736A1"/>
    <w:rsid w:val="00477BA9"/>
    <w:rsid w:val="004806B5"/>
    <w:rsid w:val="00487EF2"/>
    <w:rsid w:val="00490A6A"/>
    <w:rsid w:val="00494E42"/>
    <w:rsid w:val="004A1B6B"/>
    <w:rsid w:val="004A4BED"/>
    <w:rsid w:val="004A56CF"/>
    <w:rsid w:val="004C0F46"/>
    <w:rsid w:val="004C2CE9"/>
    <w:rsid w:val="004C3EDB"/>
    <w:rsid w:val="004C4957"/>
    <w:rsid w:val="004D1759"/>
    <w:rsid w:val="004D2408"/>
    <w:rsid w:val="004D3233"/>
    <w:rsid w:val="004D495F"/>
    <w:rsid w:val="004E218D"/>
    <w:rsid w:val="004E4FD9"/>
    <w:rsid w:val="004E5035"/>
    <w:rsid w:val="004E5D01"/>
    <w:rsid w:val="004E7DE2"/>
    <w:rsid w:val="004F0990"/>
    <w:rsid w:val="004F146E"/>
    <w:rsid w:val="004F52E0"/>
    <w:rsid w:val="004F5A14"/>
    <w:rsid w:val="004F6A54"/>
    <w:rsid w:val="00500FF2"/>
    <w:rsid w:val="00503DC5"/>
    <w:rsid w:val="00505616"/>
    <w:rsid w:val="005119E3"/>
    <w:rsid w:val="00512A5C"/>
    <w:rsid w:val="00514466"/>
    <w:rsid w:val="00514B5F"/>
    <w:rsid w:val="00515436"/>
    <w:rsid w:val="005162E0"/>
    <w:rsid w:val="00516B81"/>
    <w:rsid w:val="005214C9"/>
    <w:rsid w:val="00522727"/>
    <w:rsid w:val="00526086"/>
    <w:rsid w:val="00526174"/>
    <w:rsid w:val="00531F14"/>
    <w:rsid w:val="005321F0"/>
    <w:rsid w:val="005340B0"/>
    <w:rsid w:val="00535D18"/>
    <w:rsid w:val="00536C33"/>
    <w:rsid w:val="00537EE6"/>
    <w:rsid w:val="005415C8"/>
    <w:rsid w:val="0054220C"/>
    <w:rsid w:val="005440C1"/>
    <w:rsid w:val="00544E6B"/>
    <w:rsid w:val="00545EF8"/>
    <w:rsid w:val="00547654"/>
    <w:rsid w:val="00550A13"/>
    <w:rsid w:val="00552923"/>
    <w:rsid w:val="005536C4"/>
    <w:rsid w:val="0055380D"/>
    <w:rsid w:val="00557389"/>
    <w:rsid w:val="00557BF1"/>
    <w:rsid w:val="00560703"/>
    <w:rsid w:val="0056156C"/>
    <w:rsid w:val="00561E04"/>
    <w:rsid w:val="00566594"/>
    <w:rsid w:val="00566DDF"/>
    <w:rsid w:val="0056704D"/>
    <w:rsid w:val="00567905"/>
    <w:rsid w:val="00567C95"/>
    <w:rsid w:val="00567D8D"/>
    <w:rsid w:val="00572E8D"/>
    <w:rsid w:val="005757E0"/>
    <w:rsid w:val="00582AC1"/>
    <w:rsid w:val="005942FC"/>
    <w:rsid w:val="0059473B"/>
    <w:rsid w:val="0059732E"/>
    <w:rsid w:val="005A5821"/>
    <w:rsid w:val="005A72DD"/>
    <w:rsid w:val="005B1C29"/>
    <w:rsid w:val="005B3158"/>
    <w:rsid w:val="005B4CEA"/>
    <w:rsid w:val="005B67ED"/>
    <w:rsid w:val="005B6F38"/>
    <w:rsid w:val="005C02E9"/>
    <w:rsid w:val="005C2A5A"/>
    <w:rsid w:val="005C30D4"/>
    <w:rsid w:val="005C63EE"/>
    <w:rsid w:val="005D1BA6"/>
    <w:rsid w:val="005D250F"/>
    <w:rsid w:val="005D364B"/>
    <w:rsid w:val="005D4F7D"/>
    <w:rsid w:val="005E1051"/>
    <w:rsid w:val="005E3D9F"/>
    <w:rsid w:val="005E6F60"/>
    <w:rsid w:val="005F05E6"/>
    <w:rsid w:val="005F1A6B"/>
    <w:rsid w:val="005F7995"/>
    <w:rsid w:val="00600EA1"/>
    <w:rsid w:val="006020E8"/>
    <w:rsid w:val="00603106"/>
    <w:rsid w:val="00603245"/>
    <w:rsid w:val="006046E5"/>
    <w:rsid w:val="006066A2"/>
    <w:rsid w:val="00610058"/>
    <w:rsid w:val="0061510D"/>
    <w:rsid w:val="006168A4"/>
    <w:rsid w:val="00622396"/>
    <w:rsid w:val="00624EEA"/>
    <w:rsid w:val="00627DEB"/>
    <w:rsid w:val="0063038A"/>
    <w:rsid w:val="00634F84"/>
    <w:rsid w:val="00637D3F"/>
    <w:rsid w:val="00640EAA"/>
    <w:rsid w:val="006437BA"/>
    <w:rsid w:val="00644983"/>
    <w:rsid w:val="0064498D"/>
    <w:rsid w:val="00644C6E"/>
    <w:rsid w:val="00644F16"/>
    <w:rsid w:val="0064668D"/>
    <w:rsid w:val="006472E0"/>
    <w:rsid w:val="006472F4"/>
    <w:rsid w:val="00650C92"/>
    <w:rsid w:val="00652B1D"/>
    <w:rsid w:val="00653DFB"/>
    <w:rsid w:val="00654D13"/>
    <w:rsid w:val="006557D7"/>
    <w:rsid w:val="0065677C"/>
    <w:rsid w:val="0065721E"/>
    <w:rsid w:val="00657C09"/>
    <w:rsid w:val="006606A3"/>
    <w:rsid w:val="006608FE"/>
    <w:rsid w:val="00661CF2"/>
    <w:rsid w:val="00661DE5"/>
    <w:rsid w:val="00664816"/>
    <w:rsid w:val="0066537F"/>
    <w:rsid w:val="00671666"/>
    <w:rsid w:val="00672014"/>
    <w:rsid w:val="006733A8"/>
    <w:rsid w:val="00673674"/>
    <w:rsid w:val="006738EE"/>
    <w:rsid w:val="00674B18"/>
    <w:rsid w:val="00677240"/>
    <w:rsid w:val="00683E53"/>
    <w:rsid w:val="00686968"/>
    <w:rsid w:val="006877E7"/>
    <w:rsid w:val="006901CB"/>
    <w:rsid w:val="00692065"/>
    <w:rsid w:val="00692F01"/>
    <w:rsid w:val="0069326A"/>
    <w:rsid w:val="006950EA"/>
    <w:rsid w:val="006956FE"/>
    <w:rsid w:val="006A6FD0"/>
    <w:rsid w:val="006B080E"/>
    <w:rsid w:val="006B730D"/>
    <w:rsid w:val="006C1DED"/>
    <w:rsid w:val="006C6DDB"/>
    <w:rsid w:val="006D2212"/>
    <w:rsid w:val="006D24EB"/>
    <w:rsid w:val="006D30CB"/>
    <w:rsid w:val="006D4228"/>
    <w:rsid w:val="006D550A"/>
    <w:rsid w:val="006D7FF3"/>
    <w:rsid w:val="006E3B0D"/>
    <w:rsid w:val="006E50BF"/>
    <w:rsid w:val="006E6234"/>
    <w:rsid w:val="006E728E"/>
    <w:rsid w:val="006F2FB2"/>
    <w:rsid w:val="006F3ECB"/>
    <w:rsid w:val="006F5714"/>
    <w:rsid w:val="007001DD"/>
    <w:rsid w:val="00700747"/>
    <w:rsid w:val="00700E39"/>
    <w:rsid w:val="00704843"/>
    <w:rsid w:val="007105F5"/>
    <w:rsid w:val="007115F7"/>
    <w:rsid w:val="00712C19"/>
    <w:rsid w:val="00713F52"/>
    <w:rsid w:val="00714FD7"/>
    <w:rsid w:val="00715666"/>
    <w:rsid w:val="00716E89"/>
    <w:rsid w:val="00717EDA"/>
    <w:rsid w:val="0072776E"/>
    <w:rsid w:val="00727F4F"/>
    <w:rsid w:val="00730520"/>
    <w:rsid w:val="00731211"/>
    <w:rsid w:val="0073326F"/>
    <w:rsid w:val="007333C4"/>
    <w:rsid w:val="0074072E"/>
    <w:rsid w:val="00741E7C"/>
    <w:rsid w:val="00743885"/>
    <w:rsid w:val="00743CDB"/>
    <w:rsid w:val="00745AB4"/>
    <w:rsid w:val="00746D10"/>
    <w:rsid w:val="007470E1"/>
    <w:rsid w:val="007479D6"/>
    <w:rsid w:val="00752D0E"/>
    <w:rsid w:val="00753BD2"/>
    <w:rsid w:val="00755564"/>
    <w:rsid w:val="00757E63"/>
    <w:rsid w:val="00765619"/>
    <w:rsid w:val="00766ADA"/>
    <w:rsid w:val="0077073F"/>
    <w:rsid w:val="0077103F"/>
    <w:rsid w:val="0077224C"/>
    <w:rsid w:val="00774542"/>
    <w:rsid w:val="00776821"/>
    <w:rsid w:val="00780C0D"/>
    <w:rsid w:val="00782257"/>
    <w:rsid w:val="00784803"/>
    <w:rsid w:val="00785772"/>
    <w:rsid w:val="00787DBC"/>
    <w:rsid w:val="00791577"/>
    <w:rsid w:val="007A2AF2"/>
    <w:rsid w:val="007A3EAD"/>
    <w:rsid w:val="007A3F4E"/>
    <w:rsid w:val="007A4004"/>
    <w:rsid w:val="007A400F"/>
    <w:rsid w:val="007A423E"/>
    <w:rsid w:val="007B1B20"/>
    <w:rsid w:val="007B1C3F"/>
    <w:rsid w:val="007B25BE"/>
    <w:rsid w:val="007B6DB7"/>
    <w:rsid w:val="007C197B"/>
    <w:rsid w:val="007C256C"/>
    <w:rsid w:val="007C3555"/>
    <w:rsid w:val="007C3802"/>
    <w:rsid w:val="007C3FB4"/>
    <w:rsid w:val="007C416C"/>
    <w:rsid w:val="007C4E70"/>
    <w:rsid w:val="007D5BA0"/>
    <w:rsid w:val="007D6A08"/>
    <w:rsid w:val="007E040F"/>
    <w:rsid w:val="007E39BB"/>
    <w:rsid w:val="007E786C"/>
    <w:rsid w:val="007F269E"/>
    <w:rsid w:val="007F3205"/>
    <w:rsid w:val="007F3C22"/>
    <w:rsid w:val="0080144D"/>
    <w:rsid w:val="00804AA7"/>
    <w:rsid w:val="00806AEF"/>
    <w:rsid w:val="00813BBC"/>
    <w:rsid w:val="00817123"/>
    <w:rsid w:val="008218CC"/>
    <w:rsid w:val="0082210B"/>
    <w:rsid w:val="008221B4"/>
    <w:rsid w:val="00823395"/>
    <w:rsid w:val="00824E65"/>
    <w:rsid w:val="00835377"/>
    <w:rsid w:val="00836DF6"/>
    <w:rsid w:val="0084691E"/>
    <w:rsid w:val="00854197"/>
    <w:rsid w:val="0085493A"/>
    <w:rsid w:val="00855A92"/>
    <w:rsid w:val="0086293F"/>
    <w:rsid w:val="00862B6D"/>
    <w:rsid w:val="008635E6"/>
    <w:rsid w:val="008661A4"/>
    <w:rsid w:val="00866518"/>
    <w:rsid w:val="008666BC"/>
    <w:rsid w:val="008719E9"/>
    <w:rsid w:val="00872189"/>
    <w:rsid w:val="00874CFC"/>
    <w:rsid w:val="00883207"/>
    <w:rsid w:val="00884619"/>
    <w:rsid w:val="00886C3A"/>
    <w:rsid w:val="00890DC3"/>
    <w:rsid w:val="008A1A2C"/>
    <w:rsid w:val="008A5CA0"/>
    <w:rsid w:val="008B1964"/>
    <w:rsid w:val="008B19E3"/>
    <w:rsid w:val="008B27C1"/>
    <w:rsid w:val="008B7FFE"/>
    <w:rsid w:val="008C0FB2"/>
    <w:rsid w:val="008D039B"/>
    <w:rsid w:val="008D6AFE"/>
    <w:rsid w:val="008E0D87"/>
    <w:rsid w:val="008E2010"/>
    <w:rsid w:val="008E4D41"/>
    <w:rsid w:val="008F08F7"/>
    <w:rsid w:val="008F0F79"/>
    <w:rsid w:val="008F21BF"/>
    <w:rsid w:val="008F3480"/>
    <w:rsid w:val="008F370A"/>
    <w:rsid w:val="008F5D5B"/>
    <w:rsid w:val="008F6EE5"/>
    <w:rsid w:val="009006B3"/>
    <w:rsid w:val="009012DC"/>
    <w:rsid w:val="00901EA9"/>
    <w:rsid w:val="0090510E"/>
    <w:rsid w:val="00906DB0"/>
    <w:rsid w:val="00911E45"/>
    <w:rsid w:val="00913674"/>
    <w:rsid w:val="009150E9"/>
    <w:rsid w:val="00917BBF"/>
    <w:rsid w:val="00920FB9"/>
    <w:rsid w:val="00921E6D"/>
    <w:rsid w:val="00922BC7"/>
    <w:rsid w:val="00924198"/>
    <w:rsid w:val="009244F0"/>
    <w:rsid w:val="009264B2"/>
    <w:rsid w:val="00930196"/>
    <w:rsid w:val="009338D5"/>
    <w:rsid w:val="0093638C"/>
    <w:rsid w:val="00937A4E"/>
    <w:rsid w:val="00950FC5"/>
    <w:rsid w:val="00950FE7"/>
    <w:rsid w:val="0095293A"/>
    <w:rsid w:val="009538F1"/>
    <w:rsid w:val="00955661"/>
    <w:rsid w:val="00960B8B"/>
    <w:rsid w:val="00962262"/>
    <w:rsid w:val="0096675D"/>
    <w:rsid w:val="009714F0"/>
    <w:rsid w:val="00975152"/>
    <w:rsid w:val="0097633D"/>
    <w:rsid w:val="009807AB"/>
    <w:rsid w:val="00980AA0"/>
    <w:rsid w:val="00981A39"/>
    <w:rsid w:val="00982A73"/>
    <w:rsid w:val="00983DFC"/>
    <w:rsid w:val="00985084"/>
    <w:rsid w:val="00985626"/>
    <w:rsid w:val="009868EF"/>
    <w:rsid w:val="00992A29"/>
    <w:rsid w:val="009974E1"/>
    <w:rsid w:val="009A01CF"/>
    <w:rsid w:val="009A09C6"/>
    <w:rsid w:val="009A24C8"/>
    <w:rsid w:val="009A31E8"/>
    <w:rsid w:val="009A323D"/>
    <w:rsid w:val="009A3AE5"/>
    <w:rsid w:val="009A4C09"/>
    <w:rsid w:val="009B1061"/>
    <w:rsid w:val="009B129F"/>
    <w:rsid w:val="009B2C59"/>
    <w:rsid w:val="009B3E58"/>
    <w:rsid w:val="009B6F55"/>
    <w:rsid w:val="009B78FB"/>
    <w:rsid w:val="009C125B"/>
    <w:rsid w:val="009C2411"/>
    <w:rsid w:val="009C3321"/>
    <w:rsid w:val="009C46AB"/>
    <w:rsid w:val="009C6AD9"/>
    <w:rsid w:val="009C778C"/>
    <w:rsid w:val="009D0C63"/>
    <w:rsid w:val="009D2294"/>
    <w:rsid w:val="009D5355"/>
    <w:rsid w:val="009D5979"/>
    <w:rsid w:val="009E37B0"/>
    <w:rsid w:val="009E44EE"/>
    <w:rsid w:val="009E53A5"/>
    <w:rsid w:val="009E5915"/>
    <w:rsid w:val="009E6F8D"/>
    <w:rsid w:val="009E708F"/>
    <w:rsid w:val="009E73FC"/>
    <w:rsid w:val="009F1328"/>
    <w:rsid w:val="00A0014A"/>
    <w:rsid w:val="00A002F4"/>
    <w:rsid w:val="00A00550"/>
    <w:rsid w:val="00A00AE0"/>
    <w:rsid w:val="00A01D1A"/>
    <w:rsid w:val="00A047AF"/>
    <w:rsid w:val="00A0567A"/>
    <w:rsid w:val="00A10460"/>
    <w:rsid w:val="00A14E35"/>
    <w:rsid w:val="00A15815"/>
    <w:rsid w:val="00A15844"/>
    <w:rsid w:val="00A174D4"/>
    <w:rsid w:val="00A204BA"/>
    <w:rsid w:val="00A20570"/>
    <w:rsid w:val="00A223C9"/>
    <w:rsid w:val="00A230E1"/>
    <w:rsid w:val="00A24CD1"/>
    <w:rsid w:val="00A26C54"/>
    <w:rsid w:val="00A30DA0"/>
    <w:rsid w:val="00A35D97"/>
    <w:rsid w:val="00A3796D"/>
    <w:rsid w:val="00A41565"/>
    <w:rsid w:val="00A42341"/>
    <w:rsid w:val="00A45420"/>
    <w:rsid w:val="00A50229"/>
    <w:rsid w:val="00A50AD1"/>
    <w:rsid w:val="00A51CFB"/>
    <w:rsid w:val="00A5286A"/>
    <w:rsid w:val="00A52CEE"/>
    <w:rsid w:val="00A5611D"/>
    <w:rsid w:val="00A65825"/>
    <w:rsid w:val="00A71C68"/>
    <w:rsid w:val="00A732C8"/>
    <w:rsid w:val="00A83EFC"/>
    <w:rsid w:val="00A844FE"/>
    <w:rsid w:val="00A8604A"/>
    <w:rsid w:val="00A925E2"/>
    <w:rsid w:val="00A92C53"/>
    <w:rsid w:val="00A95983"/>
    <w:rsid w:val="00AA056A"/>
    <w:rsid w:val="00AA19E7"/>
    <w:rsid w:val="00AA1C42"/>
    <w:rsid w:val="00AA614F"/>
    <w:rsid w:val="00AB2A81"/>
    <w:rsid w:val="00AB3FF0"/>
    <w:rsid w:val="00AB745C"/>
    <w:rsid w:val="00AC08EF"/>
    <w:rsid w:val="00AC0A30"/>
    <w:rsid w:val="00AC262E"/>
    <w:rsid w:val="00AC7682"/>
    <w:rsid w:val="00AC7905"/>
    <w:rsid w:val="00AC7AC4"/>
    <w:rsid w:val="00AD35D3"/>
    <w:rsid w:val="00AD525D"/>
    <w:rsid w:val="00AE039B"/>
    <w:rsid w:val="00AE11D0"/>
    <w:rsid w:val="00AE2CF3"/>
    <w:rsid w:val="00AE4E71"/>
    <w:rsid w:val="00AE6830"/>
    <w:rsid w:val="00AE6CDF"/>
    <w:rsid w:val="00AF2483"/>
    <w:rsid w:val="00AF6122"/>
    <w:rsid w:val="00B00F8A"/>
    <w:rsid w:val="00B0431A"/>
    <w:rsid w:val="00B046DF"/>
    <w:rsid w:val="00B05C7A"/>
    <w:rsid w:val="00B0601B"/>
    <w:rsid w:val="00B102D9"/>
    <w:rsid w:val="00B106C6"/>
    <w:rsid w:val="00B11B5D"/>
    <w:rsid w:val="00B122C3"/>
    <w:rsid w:val="00B20811"/>
    <w:rsid w:val="00B21753"/>
    <w:rsid w:val="00B23C4E"/>
    <w:rsid w:val="00B246DD"/>
    <w:rsid w:val="00B26603"/>
    <w:rsid w:val="00B2660E"/>
    <w:rsid w:val="00B307A4"/>
    <w:rsid w:val="00B3282F"/>
    <w:rsid w:val="00B359CD"/>
    <w:rsid w:val="00B4519A"/>
    <w:rsid w:val="00B4583A"/>
    <w:rsid w:val="00B52F5E"/>
    <w:rsid w:val="00B541C3"/>
    <w:rsid w:val="00B62B26"/>
    <w:rsid w:val="00B655B7"/>
    <w:rsid w:val="00B661C1"/>
    <w:rsid w:val="00B70A0B"/>
    <w:rsid w:val="00B72A6B"/>
    <w:rsid w:val="00B7385F"/>
    <w:rsid w:val="00B740C6"/>
    <w:rsid w:val="00B77B2C"/>
    <w:rsid w:val="00B8042F"/>
    <w:rsid w:val="00B84DAA"/>
    <w:rsid w:val="00B85F3E"/>
    <w:rsid w:val="00B936C5"/>
    <w:rsid w:val="00BA0DEA"/>
    <w:rsid w:val="00BB13DF"/>
    <w:rsid w:val="00BB18C9"/>
    <w:rsid w:val="00BB2452"/>
    <w:rsid w:val="00BB2B10"/>
    <w:rsid w:val="00BB4888"/>
    <w:rsid w:val="00BB6D6F"/>
    <w:rsid w:val="00BC09DE"/>
    <w:rsid w:val="00BC3292"/>
    <w:rsid w:val="00BC3C88"/>
    <w:rsid w:val="00BC3FB6"/>
    <w:rsid w:val="00BC4383"/>
    <w:rsid w:val="00BC639C"/>
    <w:rsid w:val="00BC73D2"/>
    <w:rsid w:val="00BD0060"/>
    <w:rsid w:val="00BD0B73"/>
    <w:rsid w:val="00BD3C1A"/>
    <w:rsid w:val="00BD5C10"/>
    <w:rsid w:val="00BD747D"/>
    <w:rsid w:val="00BE0FB6"/>
    <w:rsid w:val="00BE70CC"/>
    <w:rsid w:val="00BF0454"/>
    <w:rsid w:val="00BF0CB5"/>
    <w:rsid w:val="00BF13A2"/>
    <w:rsid w:val="00BF39AF"/>
    <w:rsid w:val="00BF790E"/>
    <w:rsid w:val="00C02572"/>
    <w:rsid w:val="00C04878"/>
    <w:rsid w:val="00C04DD8"/>
    <w:rsid w:val="00C063BE"/>
    <w:rsid w:val="00C07DC3"/>
    <w:rsid w:val="00C11BB9"/>
    <w:rsid w:val="00C11CF4"/>
    <w:rsid w:val="00C128B3"/>
    <w:rsid w:val="00C132DE"/>
    <w:rsid w:val="00C135FF"/>
    <w:rsid w:val="00C14EBB"/>
    <w:rsid w:val="00C15645"/>
    <w:rsid w:val="00C211BD"/>
    <w:rsid w:val="00C22E21"/>
    <w:rsid w:val="00C2400C"/>
    <w:rsid w:val="00C25E0E"/>
    <w:rsid w:val="00C26770"/>
    <w:rsid w:val="00C26850"/>
    <w:rsid w:val="00C30219"/>
    <w:rsid w:val="00C30B5C"/>
    <w:rsid w:val="00C32B5E"/>
    <w:rsid w:val="00C42D39"/>
    <w:rsid w:val="00C50367"/>
    <w:rsid w:val="00C5288E"/>
    <w:rsid w:val="00C5575E"/>
    <w:rsid w:val="00C5661A"/>
    <w:rsid w:val="00C56DF8"/>
    <w:rsid w:val="00C63B31"/>
    <w:rsid w:val="00C710A4"/>
    <w:rsid w:val="00C7583B"/>
    <w:rsid w:val="00C8027D"/>
    <w:rsid w:val="00C80AB7"/>
    <w:rsid w:val="00C81248"/>
    <w:rsid w:val="00C81DFC"/>
    <w:rsid w:val="00C82A24"/>
    <w:rsid w:val="00C835A2"/>
    <w:rsid w:val="00C855E5"/>
    <w:rsid w:val="00C86A8C"/>
    <w:rsid w:val="00C907E4"/>
    <w:rsid w:val="00C930F0"/>
    <w:rsid w:val="00C93DFC"/>
    <w:rsid w:val="00C9559E"/>
    <w:rsid w:val="00C9673A"/>
    <w:rsid w:val="00C97F25"/>
    <w:rsid w:val="00CA74A0"/>
    <w:rsid w:val="00CB0620"/>
    <w:rsid w:val="00CB5A2D"/>
    <w:rsid w:val="00CB6E37"/>
    <w:rsid w:val="00CC1778"/>
    <w:rsid w:val="00CC6470"/>
    <w:rsid w:val="00CC660D"/>
    <w:rsid w:val="00CC6B2D"/>
    <w:rsid w:val="00CD2D57"/>
    <w:rsid w:val="00CD7A1B"/>
    <w:rsid w:val="00CD7B47"/>
    <w:rsid w:val="00CE3004"/>
    <w:rsid w:val="00CF0BCD"/>
    <w:rsid w:val="00CF2340"/>
    <w:rsid w:val="00CF3817"/>
    <w:rsid w:val="00CF3C27"/>
    <w:rsid w:val="00CF537E"/>
    <w:rsid w:val="00CF6B67"/>
    <w:rsid w:val="00D0484D"/>
    <w:rsid w:val="00D05B66"/>
    <w:rsid w:val="00D0710D"/>
    <w:rsid w:val="00D137D5"/>
    <w:rsid w:val="00D15C2F"/>
    <w:rsid w:val="00D21B69"/>
    <w:rsid w:val="00D21DB4"/>
    <w:rsid w:val="00D23943"/>
    <w:rsid w:val="00D23F18"/>
    <w:rsid w:val="00D249F3"/>
    <w:rsid w:val="00D260D6"/>
    <w:rsid w:val="00D339E7"/>
    <w:rsid w:val="00D417DA"/>
    <w:rsid w:val="00D42D0C"/>
    <w:rsid w:val="00D44A1C"/>
    <w:rsid w:val="00D47250"/>
    <w:rsid w:val="00D50E99"/>
    <w:rsid w:val="00D51005"/>
    <w:rsid w:val="00D55192"/>
    <w:rsid w:val="00D57BEF"/>
    <w:rsid w:val="00D603A8"/>
    <w:rsid w:val="00D60F72"/>
    <w:rsid w:val="00D667EF"/>
    <w:rsid w:val="00D67DD7"/>
    <w:rsid w:val="00D70675"/>
    <w:rsid w:val="00D708C9"/>
    <w:rsid w:val="00D70FC6"/>
    <w:rsid w:val="00D71830"/>
    <w:rsid w:val="00D73A0E"/>
    <w:rsid w:val="00D75D1C"/>
    <w:rsid w:val="00D77881"/>
    <w:rsid w:val="00D82A8B"/>
    <w:rsid w:val="00D83D09"/>
    <w:rsid w:val="00D940EB"/>
    <w:rsid w:val="00D94D75"/>
    <w:rsid w:val="00D9541C"/>
    <w:rsid w:val="00DA21F2"/>
    <w:rsid w:val="00DA610B"/>
    <w:rsid w:val="00DA7913"/>
    <w:rsid w:val="00DB04B0"/>
    <w:rsid w:val="00DB110F"/>
    <w:rsid w:val="00DB209B"/>
    <w:rsid w:val="00DB51C0"/>
    <w:rsid w:val="00DC3D2A"/>
    <w:rsid w:val="00DC4CDB"/>
    <w:rsid w:val="00DC5A39"/>
    <w:rsid w:val="00DC5AD0"/>
    <w:rsid w:val="00DC68F5"/>
    <w:rsid w:val="00DD066D"/>
    <w:rsid w:val="00DD17B4"/>
    <w:rsid w:val="00DD355E"/>
    <w:rsid w:val="00DD4A96"/>
    <w:rsid w:val="00DD53FB"/>
    <w:rsid w:val="00DE1167"/>
    <w:rsid w:val="00DE1273"/>
    <w:rsid w:val="00DE45C6"/>
    <w:rsid w:val="00DF2FC3"/>
    <w:rsid w:val="00DF3A8D"/>
    <w:rsid w:val="00DF461A"/>
    <w:rsid w:val="00DF49C5"/>
    <w:rsid w:val="00E00CC3"/>
    <w:rsid w:val="00E00D6A"/>
    <w:rsid w:val="00E01DF0"/>
    <w:rsid w:val="00E03C5E"/>
    <w:rsid w:val="00E0401A"/>
    <w:rsid w:val="00E10C3F"/>
    <w:rsid w:val="00E12C05"/>
    <w:rsid w:val="00E136B4"/>
    <w:rsid w:val="00E20614"/>
    <w:rsid w:val="00E216B3"/>
    <w:rsid w:val="00E273E3"/>
    <w:rsid w:val="00E27BB5"/>
    <w:rsid w:val="00E30537"/>
    <w:rsid w:val="00E30C50"/>
    <w:rsid w:val="00E32B89"/>
    <w:rsid w:val="00E35FB5"/>
    <w:rsid w:val="00E37301"/>
    <w:rsid w:val="00E4033A"/>
    <w:rsid w:val="00E40344"/>
    <w:rsid w:val="00E40ACD"/>
    <w:rsid w:val="00E41348"/>
    <w:rsid w:val="00E44BA5"/>
    <w:rsid w:val="00E45EF1"/>
    <w:rsid w:val="00E4742E"/>
    <w:rsid w:val="00E51553"/>
    <w:rsid w:val="00E51F9F"/>
    <w:rsid w:val="00E543C7"/>
    <w:rsid w:val="00E544D1"/>
    <w:rsid w:val="00E57ED1"/>
    <w:rsid w:val="00E61780"/>
    <w:rsid w:val="00E64D28"/>
    <w:rsid w:val="00E650AE"/>
    <w:rsid w:val="00E6792A"/>
    <w:rsid w:val="00E74600"/>
    <w:rsid w:val="00E74DA5"/>
    <w:rsid w:val="00E87690"/>
    <w:rsid w:val="00E87BF1"/>
    <w:rsid w:val="00E91408"/>
    <w:rsid w:val="00E9402D"/>
    <w:rsid w:val="00E95342"/>
    <w:rsid w:val="00E96263"/>
    <w:rsid w:val="00EA242D"/>
    <w:rsid w:val="00EA7BC5"/>
    <w:rsid w:val="00EB50A4"/>
    <w:rsid w:val="00EB5C8E"/>
    <w:rsid w:val="00EB73B3"/>
    <w:rsid w:val="00EC01C8"/>
    <w:rsid w:val="00EC1D31"/>
    <w:rsid w:val="00EC389E"/>
    <w:rsid w:val="00EC43A5"/>
    <w:rsid w:val="00EC59F7"/>
    <w:rsid w:val="00EC6192"/>
    <w:rsid w:val="00ED001A"/>
    <w:rsid w:val="00ED4074"/>
    <w:rsid w:val="00ED5A07"/>
    <w:rsid w:val="00ED7F11"/>
    <w:rsid w:val="00EE0416"/>
    <w:rsid w:val="00EE05DB"/>
    <w:rsid w:val="00EE194C"/>
    <w:rsid w:val="00EE277B"/>
    <w:rsid w:val="00EE36BE"/>
    <w:rsid w:val="00EE5C4E"/>
    <w:rsid w:val="00EE6E00"/>
    <w:rsid w:val="00EF1FDD"/>
    <w:rsid w:val="00EF23E9"/>
    <w:rsid w:val="00EF2D22"/>
    <w:rsid w:val="00EF3412"/>
    <w:rsid w:val="00EF49F0"/>
    <w:rsid w:val="00EF5B91"/>
    <w:rsid w:val="00EF7A32"/>
    <w:rsid w:val="00F0262C"/>
    <w:rsid w:val="00F03DF9"/>
    <w:rsid w:val="00F05F8C"/>
    <w:rsid w:val="00F122FD"/>
    <w:rsid w:val="00F156C3"/>
    <w:rsid w:val="00F15950"/>
    <w:rsid w:val="00F15E74"/>
    <w:rsid w:val="00F16485"/>
    <w:rsid w:val="00F210F9"/>
    <w:rsid w:val="00F22E6D"/>
    <w:rsid w:val="00F35991"/>
    <w:rsid w:val="00F43F0C"/>
    <w:rsid w:val="00F50EE4"/>
    <w:rsid w:val="00F50F55"/>
    <w:rsid w:val="00F51AF3"/>
    <w:rsid w:val="00F633C9"/>
    <w:rsid w:val="00F63D42"/>
    <w:rsid w:val="00F6754D"/>
    <w:rsid w:val="00F71EDE"/>
    <w:rsid w:val="00F80BCB"/>
    <w:rsid w:val="00F83951"/>
    <w:rsid w:val="00F84343"/>
    <w:rsid w:val="00F85D8D"/>
    <w:rsid w:val="00F8613C"/>
    <w:rsid w:val="00F86677"/>
    <w:rsid w:val="00F9012A"/>
    <w:rsid w:val="00F90362"/>
    <w:rsid w:val="00F93126"/>
    <w:rsid w:val="00F9326A"/>
    <w:rsid w:val="00F94F29"/>
    <w:rsid w:val="00FA21BB"/>
    <w:rsid w:val="00FA2BC9"/>
    <w:rsid w:val="00FA3463"/>
    <w:rsid w:val="00FA581C"/>
    <w:rsid w:val="00FB1420"/>
    <w:rsid w:val="00FB450C"/>
    <w:rsid w:val="00FB6570"/>
    <w:rsid w:val="00FB65CB"/>
    <w:rsid w:val="00FC1C58"/>
    <w:rsid w:val="00FC7563"/>
    <w:rsid w:val="00FC7FFE"/>
    <w:rsid w:val="00FD0A5B"/>
    <w:rsid w:val="00FD2585"/>
    <w:rsid w:val="00FE36FA"/>
    <w:rsid w:val="00FE497B"/>
    <w:rsid w:val="00FE61FB"/>
    <w:rsid w:val="00FE74AF"/>
    <w:rsid w:val="00FF0865"/>
    <w:rsid w:val="00FF10F5"/>
    <w:rsid w:val="23877A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593FC2D"/>
  <w15:docId w15:val="{E78F7EA2-CD61-4D4A-A0F6-1D6CE20E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86A"/>
    <w:pPr>
      <w:widowControl w:val="0"/>
    </w:pPr>
    <w:rPr>
      <w:snapToGrid w:val="0"/>
      <w:kern w:val="28"/>
      <w:szCs w:val="20"/>
    </w:rPr>
  </w:style>
  <w:style w:type="paragraph" w:styleId="Heading1">
    <w:name w:val="heading 1"/>
    <w:basedOn w:val="Normal"/>
    <w:next w:val="ParaNum"/>
    <w:link w:val="Heading1Char"/>
    <w:qFormat/>
    <w:rsid w:val="00A5286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5286A"/>
    <w:pPr>
      <w:keepNext/>
      <w:numPr>
        <w:ilvl w:val="1"/>
        <w:numId w:val="2"/>
      </w:numPr>
      <w:spacing w:after="120"/>
      <w:outlineLvl w:val="1"/>
    </w:pPr>
    <w:rPr>
      <w:b/>
    </w:rPr>
  </w:style>
  <w:style w:type="paragraph" w:styleId="Heading3">
    <w:name w:val="heading 3"/>
    <w:basedOn w:val="Normal"/>
    <w:next w:val="ParaNum"/>
    <w:link w:val="Heading3Char"/>
    <w:qFormat/>
    <w:rsid w:val="00A5286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5286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5286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5286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5286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5286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5286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28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286A"/>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A5286A"/>
    <w:pPr>
      <w:numPr>
        <w:numId w:val="1"/>
      </w:numPr>
      <w:tabs>
        <w:tab w:val="clear" w:pos="1080"/>
        <w:tab w:val="num" w:pos="1440"/>
      </w:tabs>
      <w:spacing w:after="120"/>
    </w:pPr>
  </w:style>
  <w:style w:type="paragraph" w:styleId="EndnoteText">
    <w:name w:val="endnote text"/>
    <w:basedOn w:val="Normal"/>
    <w:link w:val="EndnoteTextChar"/>
    <w:semiHidden/>
    <w:rsid w:val="00A5286A"/>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A5286A"/>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A5286A"/>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5286A"/>
    <w:rPr>
      <w:rFonts w:ascii="Times New Roman" w:hAnsi="Times New Roman"/>
      <w:dstrike w:val="0"/>
      <w:color w:val="auto"/>
      <w:sz w:val="20"/>
      <w:vertAlign w:val="superscript"/>
    </w:rPr>
  </w:style>
  <w:style w:type="paragraph" w:styleId="TOC1">
    <w:name w:val="toc 1"/>
    <w:basedOn w:val="Normal"/>
    <w:next w:val="Normal"/>
    <w:rsid w:val="00A528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5286A"/>
    <w:pPr>
      <w:tabs>
        <w:tab w:val="left" w:pos="720"/>
        <w:tab w:val="right" w:leader="dot" w:pos="9360"/>
      </w:tabs>
      <w:suppressAutoHyphens/>
      <w:ind w:left="720" w:right="720" w:hanging="360"/>
    </w:pPr>
    <w:rPr>
      <w:noProof/>
    </w:rPr>
  </w:style>
  <w:style w:type="paragraph" w:styleId="TOC3">
    <w:name w:val="toc 3"/>
    <w:basedOn w:val="Normal"/>
    <w:next w:val="Normal"/>
    <w:semiHidden/>
    <w:rsid w:val="00A528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28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28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28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28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28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28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286A"/>
    <w:pPr>
      <w:tabs>
        <w:tab w:val="right" w:pos="9360"/>
      </w:tabs>
      <w:suppressAutoHyphens/>
    </w:pPr>
  </w:style>
  <w:style w:type="character" w:customStyle="1" w:styleId="EquationCaption">
    <w:name w:val="_Equation Caption"/>
    <w:rsid w:val="00A5286A"/>
  </w:style>
  <w:style w:type="paragraph" w:styleId="Header">
    <w:name w:val="header"/>
    <w:basedOn w:val="Normal"/>
    <w:link w:val="HeaderChar"/>
    <w:autoRedefine/>
    <w:rsid w:val="00A5286A"/>
    <w:pPr>
      <w:tabs>
        <w:tab w:val="center" w:pos="4680"/>
        <w:tab w:val="right" w:pos="9360"/>
      </w:tabs>
    </w:pPr>
    <w:rPr>
      <w:b/>
    </w:rPr>
  </w:style>
  <w:style w:type="character" w:customStyle="1" w:styleId="HeaderChar">
    <w:name w:val="Header Char"/>
    <w:basedOn w:val="DefaultParagraphFont"/>
    <w:link w:val="Header"/>
    <w:locked/>
    <w:rsid w:val="0010592E"/>
    <w:rPr>
      <w:b/>
      <w:snapToGrid w:val="0"/>
      <w:kern w:val="28"/>
      <w:szCs w:val="20"/>
    </w:rPr>
  </w:style>
  <w:style w:type="paragraph" w:styleId="Footer">
    <w:name w:val="footer"/>
    <w:basedOn w:val="Normal"/>
    <w:link w:val="FooterChar"/>
    <w:uiPriority w:val="99"/>
    <w:rsid w:val="00A5286A"/>
    <w:pPr>
      <w:tabs>
        <w:tab w:val="center" w:pos="4320"/>
        <w:tab w:val="right" w:pos="8640"/>
      </w:tabs>
    </w:pPr>
  </w:style>
  <w:style w:type="character" w:customStyle="1" w:styleId="FooterChar">
    <w:name w:val="Footer Char"/>
    <w:link w:val="Footer"/>
    <w:uiPriority w:val="99"/>
    <w:locked/>
    <w:rsid w:val="00A5286A"/>
    <w:rPr>
      <w:snapToGrid w:val="0"/>
      <w:kern w:val="28"/>
      <w:szCs w:val="20"/>
    </w:rPr>
  </w:style>
  <w:style w:type="character" w:styleId="PageNumber">
    <w:name w:val="page number"/>
    <w:basedOn w:val="DefaultParagraphFont"/>
    <w:rsid w:val="00A5286A"/>
  </w:style>
  <w:style w:type="paragraph" w:styleId="BlockText">
    <w:name w:val="Block Text"/>
    <w:basedOn w:val="Normal"/>
    <w:rsid w:val="00A5286A"/>
    <w:pPr>
      <w:spacing w:after="240"/>
      <w:ind w:left="1440" w:right="1440"/>
    </w:pPr>
  </w:style>
  <w:style w:type="paragraph" w:customStyle="1" w:styleId="Paratitle">
    <w:name w:val="Para title"/>
    <w:basedOn w:val="Normal"/>
    <w:rsid w:val="00A5286A"/>
    <w:pPr>
      <w:tabs>
        <w:tab w:val="center" w:pos="9270"/>
      </w:tabs>
      <w:spacing w:after="240"/>
    </w:pPr>
    <w:rPr>
      <w:spacing w:val="-2"/>
    </w:rPr>
  </w:style>
  <w:style w:type="paragraph" w:customStyle="1" w:styleId="Bullet">
    <w:name w:val="Bullet"/>
    <w:basedOn w:val="Normal"/>
    <w:rsid w:val="00A5286A"/>
    <w:pPr>
      <w:tabs>
        <w:tab w:val="left" w:pos="2160"/>
      </w:tabs>
      <w:spacing w:after="220"/>
      <w:ind w:left="2160" w:hanging="720"/>
    </w:pPr>
  </w:style>
  <w:style w:type="paragraph" w:customStyle="1" w:styleId="TableFormat">
    <w:name w:val="TableFormat"/>
    <w:basedOn w:val="Bullet"/>
    <w:rsid w:val="00A5286A"/>
    <w:pPr>
      <w:tabs>
        <w:tab w:val="clear" w:pos="2160"/>
        <w:tab w:val="left" w:pos="5040"/>
      </w:tabs>
      <w:ind w:left="5040" w:hanging="3600"/>
    </w:pPr>
  </w:style>
  <w:style w:type="paragraph" w:customStyle="1" w:styleId="TOCTitle">
    <w:name w:val="TOC Title"/>
    <w:basedOn w:val="Normal"/>
    <w:rsid w:val="00A528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5286A"/>
    <w:pPr>
      <w:jc w:val="center"/>
    </w:pPr>
    <w:rPr>
      <w:rFonts w:ascii="Times New Roman Bold" w:hAnsi="Times New Roman Bold"/>
      <w:b/>
      <w:bCs/>
      <w:caps/>
      <w:szCs w:val="22"/>
    </w:rPr>
  </w:style>
  <w:style w:type="character" w:styleId="Hyperlink">
    <w:name w:val="Hyperlink"/>
    <w:rsid w:val="00A5286A"/>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Footnote Text Char2 Char Char1 Char Char1 Char"/>
    <w:rsid w:val="008E2010"/>
    <w:rPr>
      <w:lang w:val="en-US" w:eastAsia="en-US" w:bidi="ar-SA"/>
    </w:rPr>
  </w:style>
  <w:style w:type="character" w:styleId="Emphasis">
    <w:name w:val="Emphasis"/>
    <w:basedOn w:val="DefaultParagraphFont"/>
    <w:uiPriority w:val="20"/>
    <w:qFormat/>
    <w:locked/>
    <w:rsid w:val="006D24EB"/>
    <w:rPr>
      <w:i/>
      <w:iCs/>
    </w:rPr>
  </w:style>
  <w:style w:type="paragraph" w:customStyle="1" w:styleId="Para1">
    <w:name w:val="Para 1"/>
    <w:basedOn w:val="Normal"/>
    <w:link w:val="Para1Char"/>
    <w:autoRedefine/>
    <w:qFormat/>
    <w:rsid w:val="006608FE"/>
    <w:pPr>
      <w:widowControl/>
      <w:spacing w:after="100" w:afterAutospacing="1"/>
      <w:ind w:firstLine="720"/>
    </w:pPr>
    <w:rPr>
      <w:kern w:val="0"/>
      <w:sz w:val="24"/>
      <w:szCs w:val="24"/>
    </w:rPr>
  </w:style>
  <w:style w:type="character" w:customStyle="1" w:styleId="Para1Char">
    <w:name w:val="Para 1 Char"/>
    <w:basedOn w:val="DefaultParagraphFont"/>
    <w:link w:val="Para1"/>
    <w:rsid w:val="006608FE"/>
    <w:rPr>
      <w:sz w:val="24"/>
      <w:szCs w:val="24"/>
    </w:rPr>
  </w:style>
  <w:style w:type="character" w:customStyle="1" w:styleId="rrfootnoteCharCharChar">
    <w:name w:val="rrfootnote Char Char Char"/>
    <w:aliases w:val="Styl Char,Style 5 Char Char Char,fn Char"/>
    <w:uiPriority w:val="99"/>
    <w:rsid w:val="002B7988"/>
    <w:rPr>
      <w:sz w:val="20"/>
      <w:szCs w:val="20"/>
    </w:rPr>
  </w:style>
  <w:style w:type="paragraph" w:customStyle="1" w:styleId="psection-1">
    <w:name w:val="psection-1"/>
    <w:basedOn w:val="Normal"/>
    <w:rsid w:val="004F146E"/>
    <w:pPr>
      <w:widowControl/>
      <w:spacing w:before="100" w:beforeAutospacing="1" w:after="100" w:afterAutospacing="1"/>
    </w:pPr>
    <w:rPr>
      <w:kern w:val="0"/>
      <w:sz w:val="24"/>
      <w:szCs w:val="24"/>
    </w:rPr>
  </w:style>
  <w:style w:type="table" w:styleId="TableGrid">
    <w:name w:val="Table Grid"/>
    <w:basedOn w:val="TableNormal"/>
    <w:uiPriority w:val="59"/>
    <w:locked/>
    <w:rsid w:val="00395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sku">
    <w:name w:val="variant-sku"/>
    <w:basedOn w:val="DefaultParagraphFont"/>
    <w:rsid w:val="00395AD8"/>
  </w:style>
  <w:style w:type="character" w:styleId="UnresolvedMention">
    <w:name w:val="Unresolved Mention"/>
    <w:basedOn w:val="DefaultParagraphFont"/>
    <w:uiPriority w:val="99"/>
    <w:semiHidden/>
    <w:unhideWhenUsed/>
    <w:rsid w:val="00E544D1"/>
    <w:rPr>
      <w:color w:val="605E5C"/>
      <w:shd w:val="clear" w:color="auto" w:fill="E1DFDD"/>
    </w:rPr>
  </w:style>
  <w:style w:type="paragraph" w:styleId="Revision">
    <w:name w:val="Revision"/>
    <w:hidden/>
    <w:uiPriority w:val="99"/>
    <w:semiHidden/>
    <w:rsid w:val="004D2408"/>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a84d62f89f190b01547e414fd496e3df&amp;term_occur=999&amp;term_src=Title:47:Chapter:I:Subchapter:A:Part:15:Subpart:B:15.101" TargetMode="External" /><Relationship Id="rId6" Type="http://schemas.openxmlformats.org/officeDocument/2006/relationships/hyperlink" Target="mailto:jane.kelly@fcc.gov" TargetMode="External" /><Relationship Id="rId7" Type="http://schemas.openxmlformats.org/officeDocument/2006/relationships/hyperlink" Target="mailto:EB-SED-Response@fcc.gov" TargetMode="External" /><Relationship Id="rId8" Type="http://schemas.openxmlformats.org/officeDocument/2006/relationships/hyperlink" Target="mailto:EB-SED%20Respons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www.ecfr.gov/cgi-bin/text-idx?SID=c7be03a4f7b02514cea89421fc363794&amp;mc=true&amp;node=pt47.1.18&amp;rgn=div5" TargetMode="External" /><Relationship Id="rId2" Type="http://schemas.openxmlformats.org/officeDocument/2006/relationships/hyperlink" Target="https://apps.fcc.gov/kdb/GetAttachment.html?id=tz8CzcfpIVA2%2BognLZYTgA%3D%3D" TargetMode="External" /><Relationship Id="rId3" Type="http://schemas.openxmlformats.org/officeDocument/2006/relationships/hyperlink" Target="https://healthandmed.com/" TargetMode="External" /><Relationship Id="rId4" Type="http://schemas.openxmlformats.org/officeDocument/2006/relationships/hyperlink" Target="https://healthandmed.com/collections/1-user-ionic-detox-systems/products/ionizeme-maxx-5-the-most-powerful-ionic-detox-foot-bath-syste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