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1F24" w:rsidRPr="00890410" w:rsidP="00281F24" w14:paraId="2906B332" w14:textId="77777777">
      <w:pPr>
        <w:jc w:val="center"/>
        <w:rPr>
          <w:b/>
        </w:rPr>
      </w:pPr>
      <w:r w:rsidRPr="00890410">
        <w:rPr>
          <w:rFonts w:ascii="Times New Roman Bold" w:hAnsi="Times New Roman Bold"/>
          <w:b/>
          <w:kern w:val="0"/>
          <w:szCs w:val="22"/>
        </w:rPr>
        <w:t>Before</w:t>
      </w:r>
      <w:r w:rsidRPr="00890410">
        <w:rPr>
          <w:b/>
        </w:rPr>
        <w:t xml:space="preserve"> the</w:t>
      </w:r>
    </w:p>
    <w:p w:rsidR="00281F24" w:rsidRPr="00890410" w:rsidP="00281F24" w14:paraId="011553EB" w14:textId="77777777">
      <w:pPr>
        <w:pStyle w:val="StyleBoldCentered"/>
      </w:pPr>
      <w:r w:rsidRPr="00890410">
        <w:t>F</w:t>
      </w:r>
      <w:r w:rsidRPr="00890410">
        <w:rPr>
          <w:caps w:val="0"/>
        </w:rPr>
        <w:t>ederal Communications Commission</w:t>
      </w:r>
    </w:p>
    <w:p w:rsidR="00281F24" w:rsidRPr="00890410" w:rsidP="00281F24" w14:paraId="2A410E2D" w14:textId="77777777">
      <w:pPr>
        <w:pStyle w:val="StyleBoldCentered"/>
      </w:pPr>
      <w:r w:rsidRPr="00890410">
        <w:rPr>
          <w:caps w:val="0"/>
        </w:rPr>
        <w:t>Washington, D.C. 20554</w:t>
      </w:r>
    </w:p>
    <w:p w:rsidR="00281F24" w:rsidRPr="00890410" w:rsidP="00281F24" w14:paraId="1CC9A9D8" w14:textId="77777777"/>
    <w:p w:rsidR="00281F24" w:rsidRPr="00890410" w:rsidP="00281F24" w14:paraId="7F858C1C" w14:textId="77777777"/>
    <w:tbl>
      <w:tblPr>
        <w:tblW w:w="0" w:type="auto"/>
        <w:tblLayout w:type="fixed"/>
        <w:tblLook w:val="0000"/>
      </w:tblPr>
      <w:tblGrid>
        <w:gridCol w:w="4698"/>
        <w:gridCol w:w="630"/>
        <w:gridCol w:w="4248"/>
      </w:tblGrid>
      <w:tr w14:paraId="42A23115" w14:textId="77777777" w:rsidTr="00654745">
        <w:tblPrEx>
          <w:tblW w:w="0" w:type="auto"/>
          <w:tblLayout w:type="fixed"/>
          <w:tblLook w:val="0000"/>
        </w:tblPrEx>
        <w:tc>
          <w:tcPr>
            <w:tcW w:w="4698" w:type="dxa"/>
          </w:tcPr>
          <w:p w:rsidR="00281F24" w:rsidRPr="00890410" w:rsidP="00654745" w14:paraId="415CFF0D" w14:textId="77777777">
            <w:pPr>
              <w:tabs>
                <w:tab w:val="center" w:pos="4680"/>
              </w:tabs>
              <w:suppressAutoHyphens/>
              <w:rPr>
                <w:spacing w:val="-2"/>
              </w:rPr>
            </w:pPr>
            <w:r w:rsidRPr="00890410">
              <w:rPr>
                <w:spacing w:val="-2"/>
              </w:rPr>
              <w:t>In the Matter of</w:t>
            </w:r>
          </w:p>
          <w:p w:rsidR="00281F24" w:rsidRPr="00890410" w:rsidP="00654745" w14:paraId="27B1751C" w14:textId="77777777">
            <w:pPr>
              <w:tabs>
                <w:tab w:val="center" w:pos="4680"/>
              </w:tabs>
              <w:suppressAutoHyphens/>
              <w:rPr>
                <w:spacing w:val="-2"/>
              </w:rPr>
            </w:pPr>
          </w:p>
          <w:p w:rsidR="00281F24" w:rsidRPr="00890410" w:rsidP="00654745" w14:paraId="5DE66F6A" w14:textId="4A17BE5A">
            <w:pPr>
              <w:tabs>
                <w:tab w:val="center" w:pos="4680"/>
              </w:tabs>
              <w:suppressAutoHyphens/>
              <w:rPr>
                <w:spacing w:val="-2"/>
              </w:rPr>
            </w:pPr>
            <w:r w:rsidRPr="00890410">
              <w:rPr>
                <w:spacing w:val="-2"/>
              </w:rPr>
              <w:t xml:space="preserve">The National Football League Request </w:t>
            </w:r>
            <w:r w:rsidR="00184D96">
              <w:rPr>
                <w:spacing w:val="-2"/>
              </w:rPr>
              <w:t>to Extend</w:t>
            </w:r>
            <w:r w:rsidRPr="00890410">
              <w:rPr>
                <w:spacing w:val="-2"/>
              </w:rPr>
              <w:t xml:space="preserve"> Waiver of Section 96.39(c) of the Commission’s Rules </w:t>
            </w:r>
          </w:p>
        </w:tc>
        <w:tc>
          <w:tcPr>
            <w:tcW w:w="630" w:type="dxa"/>
          </w:tcPr>
          <w:p w:rsidR="00281F24" w:rsidRPr="00890410" w:rsidP="00654745" w14:paraId="6C4D10D8" w14:textId="77777777">
            <w:pPr>
              <w:tabs>
                <w:tab w:val="center" w:pos="4680"/>
              </w:tabs>
              <w:suppressAutoHyphens/>
              <w:rPr>
                <w:b/>
                <w:spacing w:val="-2"/>
              </w:rPr>
            </w:pPr>
            <w:r w:rsidRPr="00890410">
              <w:rPr>
                <w:b/>
                <w:spacing w:val="-2"/>
              </w:rPr>
              <w:t>)</w:t>
            </w:r>
          </w:p>
          <w:p w:rsidR="00281F24" w:rsidRPr="00890410" w:rsidP="00654745" w14:paraId="638C186A" w14:textId="77777777">
            <w:pPr>
              <w:tabs>
                <w:tab w:val="center" w:pos="4680"/>
              </w:tabs>
              <w:suppressAutoHyphens/>
              <w:rPr>
                <w:b/>
                <w:spacing w:val="-2"/>
              </w:rPr>
            </w:pPr>
            <w:r w:rsidRPr="00890410">
              <w:rPr>
                <w:b/>
                <w:spacing w:val="-2"/>
              </w:rPr>
              <w:t>)</w:t>
            </w:r>
          </w:p>
          <w:p w:rsidR="00281F24" w:rsidRPr="00890410" w:rsidP="00654745" w14:paraId="109194B8" w14:textId="77777777">
            <w:pPr>
              <w:tabs>
                <w:tab w:val="center" w:pos="4680"/>
              </w:tabs>
              <w:suppressAutoHyphens/>
              <w:rPr>
                <w:b/>
                <w:spacing w:val="-2"/>
              </w:rPr>
            </w:pPr>
            <w:r w:rsidRPr="00890410">
              <w:rPr>
                <w:b/>
                <w:spacing w:val="-2"/>
              </w:rPr>
              <w:t>)</w:t>
            </w:r>
          </w:p>
          <w:p w:rsidR="00281F24" w:rsidRPr="00890410" w:rsidP="00654745" w14:paraId="3C031423" w14:textId="77777777">
            <w:pPr>
              <w:tabs>
                <w:tab w:val="center" w:pos="4680"/>
              </w:tabs>
              <w:suppressAutoHyphens/>
              <w:rPr>
                <w:b/>
                <w:spacing w:val="-2"/>
              </w:rPr>
            </w:pPr>
            <w:r w:rsidRPr="00890410">
              <w:rPr>
                <w:b/>
                <w:spacing w:val="-2"/>
              </w:rPr>
              <w:t>)</w:t>
            </w:r>
          </w:p>
          <w:p w:rsidR="00281F24" w:rsidRPr="00FC626D" w:rsidP="00654745" w14:paraId="5F84EF0E" w14:textId="3C0477A8">
            <w:pPr>
              <w:tabs>
                <w:tab w:val="center" w:pos="4680"/>
              </w:tabs>
              <w:suppressAutoHyphens/>
              <w:rPr>
                <w:b/>
                <w:spacing w:val="-2"/>
              </w:rPr>
            </w:pPr>
            <w:r w:rsidRPr="00890410">
              <w:rPr>
                <w:b/>
                <w:spacing w:val="-2"/>
              </w:rPr>
              <w:t>)</w:t>
            </w:r>
          </w:p>
        </w:tc>
        <w:tc>
          <w:tcPr>
            <w:tcW w:w="4248" w:type="dxa"/>
          </w:tcPr>
          <w:p w:rsidR="00281F24" w:rsidRPr="00890410" w:rsidP="00654745" w14:paraId="09D3D79D" w14:textId="77777777">
            <w:pPr>
              <w:tabs>
                <w:tab w:val="center" w:pos="4680"/>
              </w:tabs>
              <w:suppressAutoHyphens/>
              <w:rPr>
                <w:spacing w:val="-2"/>
              </w:rPr>
            </w:pPr>
          </w:p>
          <w:p w:rsidR="00281F24" w:rsidRPr="00890410" w:rsidP="00654745" w14:paraId="1F034840" w14:textId="77777777">
            <w:pPr>
              <w:pStyle w:val="TOAHeading"/>
              <w:tabs>
                <w:tab w:val="center" w:pos="4680"/>
                <w:tab w:val="clear" w:pos="9360"/>
              </w:tabs>
              <w:rPr>
                <w:spacing w:val="-2"/>
              </w:rPr>
            </w:pPr>
          </w:p>
          <w:p w:rsidR="00281F24" w:rsidRPr="00890410" w:rsidP="00654745" w14:paraId="5BF78B27" w14:textId="77777777">
            <w:pPr>
              <w:tabs>
                <w:tab w:val="center" w:pos="4680"/>
              </w:tabs>
              <w:suppressAutoHyphens/>
              <w:rPr>
                <w:spacing w:val="-2"/>
              </w:rPr>
            </w:pPr>
            <w:r w:rsidRPr="00890410">
              <w:rPr>
                <w:spacing w:val="-2"/>
              </w:rPr>
              <w:t>WT Docket No. 21-111</w:t>
            </w:r>
          </w:p>
        </w:tc>
      </w:tr>
    </w:tbl>
    <w:p w:rsidR="00281F24" w:rsidRPr="00890410" w:rsidP="00281F24" w14:paraId="6341CB44" w14:textId="77777777"/>
    <w:p w:rsidR="00281F24" w:rsidRPr="00890410" w:rsidP="00281F24" w14:paraId="6E1FEB55" w14:textId="77777777">
      <w:pPr>
        <w:pStyle w:val="StyleBoldCentered"/>
      </w:pPr>
      <w:r w:rsidRPr="00890410">
        <w:t>ORDER</w:t>
      </w:r>
    </w:p>
    <w:p w:rsidR="00281F24" w:rsidRPr="00890410" w:rsidP="00281F24" w14:paraId="599410D7" w14:textId="77777777">
      <w:pPr>
        <w:tabs>
          <w:tab w:val="left" w:pos="-720"/>
        </w:tabs>
        <w:suppressAutoHyphens/>
        <w:spacing w:line="227" w:lineRule="auto"/>
        <w:rPr>
          <w:spacing w:val="-2"/>
        </w:rPr>
      </w:pPr>
    </w:p>
    <w:p w:rsidR="00281F24" w:rsidRPr="00890410" w:rsidP="00281F24" w14:paraId="2056F6C7" w14:textId="70676464">
      <w:pPr>
        <w:tabs>
          <w:tab w:val="left" w:pos="720"/>
          <w:tab w:val="right" w:pos="9360"/>
        </w:tabs>
        <w:suppressAutoHyphens/>
        <w:spacing w:line="227" w:lineRule="auto"/>
        <w:rPr>
          <w:b/>
          <w:spacing w:val="-2"/>
        </w:rPr>
      </w:pPr>
      <w:r w:rsidRPr="00890410">
        <w:rPr>
          <w:b/>
          <w:spacing w:val="-2"/>
        </w:rPr>
        <w:t xml:space="preserve">Adopted:  </w:t>
      </w:r>
      <w:r w:rsidRPr="002043B1" w:rsidR="002D4895">
        <w:rPr>
          <w:b/>
          <w:spacing w:val="-2"/>
        </w:rPr>
        <w:t>September 7</w:t>
      </w:r>
      <w:r w:rsidRPr="00890410">
        <w:rPr>
          <w:b/>
          <w:spacing w:val="-2"/>
        </w:rPr>
        <w:t>, 202</w:t>
      </w:r>
      <w:r w:rsidR="005347B1">
        <w:rPr>
          <w:b/>
          <w:spacing w:val="-2"/>
        </w:rPr>
        <w:t>2</w:t>
      </w:r>
      <w:r w:rsidRPr="00890410">
        <w:rPr>
          <w:b/>
          <w:spacing w:val="-2"/>
        </w:rPr>
        <w:tab/>
        <w:t xml:space="preserve">Released:  </w:t>
      </w:r>
      <w:r w:rsidRPr="002043B1" w:rsidR="002D4895">
        <w:rPr>
          <w:b/>
          <w:spacing w:val="-2"/>
        </w:rPr>
        <w:t>September 7</w:t>
      </w:r>
      <w:r w:rsidRPr="002043B1">
        <w:rPr>
          <w:b/>
          <w:spacing w:val="-2"/>
        </w:rPr>
        <w:t>,</w:t>
      </w:r>
      <w:r w:rsidRPr="00890410">
        <w:rPr>
          <w:b/>
          <w:spacing w:val="-2"/>
        </w:rPr>
        <w:t xml:space="preserve"> 202</w:t>
      </w:r>
      <w:r w:rsidR="005347B1">
        <w:rPr>
          <w:b/>
          <w:spacing w:val="-2"/>
        </w:rPr>
        <w:t>2</w:t>
      </w:r>
    </w:p>
    <w:p w:rsidR="00281F24" w:rsidRPr="00890410" w:rsidP="00281F24" w14:paraId="4345EEA2" w14:textId="77777777">
      <w:pPr>
        <w:tabs>
          <w:tab w:val="left" w:pos="720"/>
          <w:tab w:val="right" w:pos="9360"/>
        </w:tabs>
        <w:suppressAutoHyphens/>
        <w:spacing w:line="227" w:lineRule="auto"/>
        <w:rPr>
          <w:b/>
          <w:spacing w:val="-2"/>
        </w:rPr>
      </w:pPr>
    </w:p>
    <w:p w:rsidR="00281F24" w:rsidRPr="00890410" w:rsidP="00281F24" w14:paraId="6CE09B7C" w14:textId="77777777">
      <w:r w:rsidRPr="00890410">
        <w:t xml:space="preserve">By the </w:t>
      </w:r>
      <w:r>
        <w:t xml:space="preserve">Acting Chief, </w:t>
      </w:r>
      <w:r w:rsidRPr="00890410">
        <w:t>Wireless Telecommunications Bureau:</w:t>
      </w:r>
    </w:p>
    <w:p w:rsidR="00281F24" w:rsidRPr="00890410" w:rsidP="00281F24" w14:paraId="7FB9CDB1" w14:textId="77777777">
      <w:pPr>
        <w:rPr>
          <w:spacing w:val="-2"/>
        </w:rPr>
      </w:pPr>
    </w:p>
    <w:p w:rsidR="00281F24" w:rsidRPr="00890410" w:rsidP="00281F24" w14:paraId="16150400" w14:textId="77777777">
      <w:pPr>
        <w:pStyle w:val="Heading1"/>
      </w:pPr>
      <w:bookmarkStart w:id="0" w:name="_Toc58853842"/>
      <w:bookmarkStart w:id="1" w:name="_Toc58853895"/>
      <w:bookmarkStart w:id="2" w:name="_Toc61528487"/>
      <w:r w:rsidRPr="00890410">
        <w:t>INTRODUCTION</w:t>
      </w:r>
      <w:bookmarkEnd w:id="0"/>
      <w:bookmarkEnd w:id="1"/>
      <w:bookmarkEnd w:id="2"/>
    </w:p>
    <w:p w:rsidR="00281F24" w:rsidRPr="00977665" w:rsidP="008B7A5F" w14:paraId="3F4741DA" w14:textId="653A077B">
      <w:pPr>
        <w:pStyle w:val="ParaNum"/>
        <w:widowControl/>
        <w:numPr>
          <w:ilvl w:val="0"/>
          <w:numId w:val="2"/>
        </w:numPr>
        <w:tabs>
          <w:tab w:val="clear" w:pos="1080"/>
          <w:tab w:val="num" w:pos="1440"/>
        </w:tabs>
      </w:pPr>
      <w:r w:rsidRPr="00890410">
        <w:t xml:space="preserve">By this Order, the Wireless Telecommunications Bureau (“Bureau”) conditionally grants </w:t>
      </w:r>
      <w:r w:rsidRPr="000641AA">
        <w:rPr>
          <w:spacing w:val="-2"/>
        </w:rPr>
        <w:t xml:space="preserve">the National Football </w:t>
      </w:r>
      <w:r w:rsidRPr="008B7A5F">
        <w:t>League’s</w:t>
      </w:r>
      <w:r w:rsidRPr="000641AA">
        <w:rPr>
          <w:spacing w:val="-2"/>
        </w:rPr>
        <w:t xml:space="preserve"> (</w:t>
      </w:r>
      <w:r w:rsidRPr="00890410">
        <w:t>“NFL</w:t>
      </w:r>
      <w:r w:rsidR="00251F52">
        <w:t>’s</w:t>
      </w:r>
      <w:r w:rsidRPr="00890410">
        <w:t>” or “Petitioner</w:t>
      </w:r>
      <w:r w:rsidR="00251F52">
        <w:t>’s</w:t>
      </w:r>
      <w:r w:rsidRPr="00890410">
        <w:t>”) request</w:t>
      </w:r>
      <w:r>
        <w:rPr>
          <w:rStyle w:val="FootnoteReference"/>
        </w:rPr>
        <w:footnoteReference w:id="3"/>
      </w:r>
      <w:r w:rsidRPr="00890410">
        <w:t xml:space="preserve"> for a</w:t>
      </w:r>
      <w:r w:rsidR="007C19E1">
        <w:t xml:space="preserve">n extension of the </w:t>
      </w:r>
      <w:r w:rsidR="004C1D24">
        <w:t>conditional waiver</w:t>
      </w:r>
      <w:r w:rsidR="00C9497D">
        <w:t xml:space="preserve"> </w:t>
      </w:r>
      <w:r w:rsidR="007C19E1">
        <w:t>granted by the</w:t>
      </w:r>
      <w:r w:rsidR="00C9497D">
        <w:t xml:space="preserve"> </w:t>
      </w:r>
      <w:r w:rsidR="007C19E1">
        <w:t xml:space="preserve">Bureau in </w:t>
      </w:r>
      <w:r w:rsidR="0029181A">
        <w:t>a</w:t>
      </w:r>
      <w:r w:rsidR="008D4A41">
        <w:t>n</w:t>
      </w:r>
      <w:r w:rsidR="007C19E1">
        <w:t xml:space="preserve"> Order </w:t>
      </w:r>
      <w:r w:rsidR="0029181A">
        <w:t>issued</w:t>
      </w:r>
      <w:r w:rsidRPr="004C30CB" w:rsidR="004C30CB">
        <w:t xml:space="preserve"> </w:t>
      </w:r>
      <w:r w:rsidR="004C30CB">
        <w:t>on July 9, 2021</w:t>
      </w:r>
      <w:r w:rsidR="007C19E1">
        <w:t>.</w:t>
      </w:r>
      <w:r>
        <w:rPr>
          <w:rStyle w:val="FootnoteReference"/>
        </w:rPr>
        <w:footnoteReference w:id="4"/>
      </w:r>
      <w:r w:rsidR="007C19E1">
        <w:t xml:space="preserve">  </w:t>
      </w:r>
      <w:r w:rsidR="00251F52">
        <w:t>In t</w:t>
      </w:r>
      <w:r w:rsidRPr="000641AA" w:rsidR="00490E65">
        <w:rPr>
          <w:szCs w:val="22"/>
        </w:rPr>
        <w:t xml:space="preserve">he </w:t>
      </w:r>
      <w:r w:rsidR="00EA2F28">
        <w:rPr>
          <w:szCs w:val="22"/>
        </w:rPr>
        <w:t>NFL</w:t>
      </w:r>
      <w:r w:rsidRPr="000641AA" w:rsidR="00EA2F28">
        <w:rPr>
          <w:szCs w:val="22"/>
        </w:rPr>
        <w:t xml:space="preserve"> </w:t>
      </w:r>
      <w:r w:rsidR="008D4A41">
        <w:rPr>
          <w:szCs w:val="22"/>
        </w:rPr>
        <w:t>Waiver O</w:t>
      </w:r>
      <w:r w:rsidRPr="000641AA" w:rsidR="00490E65">
        <w:rPr>
          <w:szCs w:val="22"/>
        </w:rPr>
        <w:t>rder</w:t>
      </w:r>
      <w:r w:rsidR="00251F52">
        <w:rPr>
          <w:szCs w:val="22"/>
        </w:rPr>
        <w:t>, the Bureau</w:t>
      </w:r>
      <w:r w:rsidRPr="000641AA" w:rsidR="00490E65">
        <w:rPr>
          <w:szCs w:val="22"/>
        </w:rPr>
        <w:t xml:space="preserve"> had </w:t>
      </w:r>
      <w:r w:rsidR="00490E65">
        <w:t>granted</w:t>
      </w:r>
      <w:r w:rsidR="00D26486">
        <w:t xml:space="preserve"> P</w:t>
      </w:r>
      <w:r w:rsidRPr="00890410">
        <w:t xml:space="preserve">etitioner </w:t>
      </w:r>
      <w:r w:rsidR="00490E65">
        <w:t>a</w:t>
      </w:r>
      <w:r w:rsidRPr="00890410">
        <w:t xml:space="preserve"> conditional waiver of section 96.39(c)(2)</w:t>
      </w:r>
      <w:r w:rsidR="007A17F2">
        <w:t xml:space="preserve"> of the Commission’s rules</w:t>
      </w:r>
      <w:r w:rsidR="00251F52">
        <w:t>,</w:t>
      </w:r>
      <w:r>
        <w:rPr>
          <w:rStyle w:val="FootnoteReference"/>
        </w:rPr>
        <w:footnoteReference w:id="5"/>
      </w:r>
      <w:r w:rsidR="007A17F2">
        <w:t xml:space="preserve"> </w:t>
      </w:r>
      <w:r w:rsidR="00184D96">
        <w:t xml:space="preserve">which </w:t>
      </w:r>
      <w:r w:rsidRPr="000641AA" w:rsidR="004C30CB">
        <w:rPr>
          <w:szCs w:val="22"/>
        </w:rPr>
        <w:t xml:space="preserve">allowed the NFL to continue operating its coach-to-coach communications systems in the </w:t>
      </w:r>
      <w:r w:rsidR="00F772E5">
        <w:rPr>
          <w:szCs w:val="22"/>
        </w:rPr>
        <w:t>limited circumstance</w:t>
      </w:r>
      <w:r w:rsidRPr="000641AA" w:rsidR="004C30CB">
        <w:rPr>
          <w:szCs w:val="22"/>
        </w:rPr>
        <w:t xml:space="preserve"> of a localized internet outage in NFL stadiums, during NFL football games but after the authority to operate within the stadium had been obtained from a Spectrum Access System (SAS).</w:t>
      </w:r>
      <w:r>
        <w:rPr>
          <w:rStyle w:val="FootnoteReference"/>
          <w:szCs w:val="22"/>
        </w:rPr>
        <w:footnoteReference w:id="6"/>
      </w:r>
      <w:r w:rsidRPr="000641AA" w:rsidR="004C30CB">
        <w:rPr>
          <w:szCs w:val="22"/>
        </w:rPr>
        <w:t xml:space="preserve">  The waiver period was limited to the 2021-2022 season and expired on February 13, 2022, after the conclusion of Super Bowl LVI.</w:t>
      </w:r>
      <w:r>
        <w:rPr>
          <w:rStyle w:val="FootnoteReference"/>
          <w:szCs w:val="22"/>
        </w:rPr>
        <w:footnoteReference w:id="7"/>
      </w:r>
      <w:r w:rsidRPr="000641AA" w:rsidR="00490E65">
        <w:rPr>
          <w:szCs w:val="22"/>
        </w:rPr>
        <w:t xml:space="preserve">  </w:t>
      </w:r>
      <w:r w:rsidRPr="000641AA" w:rsidR="000641AA">
        <w:rPr>
          <w:szCs w:val="22"/>
        </w:rPr>
        <w:t>On May 5,</w:t>
      </w:r>
      <w:r w:rsidR="008B7A5F">
        <w:rPr>
          <w:szCs w:val="22"/>
        </w:rPr>
        <w:t xml:space="preserve"> 2022</w:t>
      </w:r>
      <w:r w:rsidRPr="000641AA" w:rsidR="000641AA">
        <w:rPr>
          <w:szCs w:val="22"/>
        </w:rPr>
        <w:t xml:space="preserve"> the NFL filed a request to extend the waiver period through the end of the 2025 Super Bowl.</w:t>
      </w:r>
      <w:r>
        <w:rPr>
          <w:rStyle w:val="FootnoteReference"/>
          <w:szCs w:val="22"/>
        </w:rPr>
        <w:footnoteReference w:id="8"/>
      </w:r>
      <w:r w:rsidRPr="000641AA" w:rsidR="000641AA">
        <w:rPr>
          <w:szCs w:val="22"/>
        </w:rPr>
        <w:t xml:space="preserve">  </w:t>
      </w:r>
      <w:r w:rsidRPr="00890410">
        <w:t xml:space="preserve">For </w:t>
      </w:r>
      <w:r w:rsidR="000641AA">
        <w:t xml:space="preserve">the </w:t>
      </w:r>
      <w:r w:rsidRPr="00890410">
        <w:t xml:space="preserve">reasons </w:t>
      </w:r>
      <w:r w:rsidR="00862E7B">
        <w:t>set forth</w:t>
      </w:r>
      <w:r w:rsidRPr="00890410">
        <w:t xml:space="preserve"> below, w</w:t>
      </w:r>
      <w:r w:rsidRPr="00977665">
        <w:t xml:space="preserve">e grant </w:t>
      </w:r>
      <w:r w:rsidR="00F3455F">
        <w:t xml:space="preserve">the NFL </w:t>
      </w:r>
      <w:r w:rsidRPr="00977665">
        <w:t xml:space="preserve">Waiver </w:t>
      </w:r>
      <w:r w:rsidR="000641AA">
        <w:t xml:space="preserve">Extension </w:t>
      </w:r>
      <w:r w:rsidRPr="00977665">
        <w:t>Request subject to the conditions described herein.</w:t>
      </w:r>
    </w:p>
    <w:p w:rsidR="00281F24" w:rsidRPr="00977665" w:rsidP="00281F24" w14:paraId="2BB61779" w14:textId="77777777">
      <w:pPr>
        <w:pStyle w:val="Heading1"/>
      </w:pPr>
      <w:bookmarkStart w:id="3" w:name="_Toc58853843"/>
      <w:bookmarkStart w:id="4" w:name="_Toc58853896"/>
      <w:bookmarkStart w:id="5" w:name="_Toc61528488"/>
      <w:r w:rsidRPr="00977665">
        <w:t>BACKGROUND</w:t>
      </w:r>
      <w:bookmarkEnd w:id="3"/>
      <w:bookmarkEnd w:id="4"/>
      <w:bookmarkEnd w:id="5"/>
    </w:p>
    <w:p w:rsidR="00B30C0D" w:rsidP="008B7A5F" w14:paraId="61535BF0" w14:textId="48C30E65">
      <w:pPr>
        <w:pStyle w:val="ParaNum"/>
        <w:widowControl/>
        <w:numPr>
          <w:ilvl w:val="0"/>
          <w:numId w:val="2"/>
        </w:numPr>
        <w:tabs>
          <w:tab w:val="clear" w:pos="1080"/>
          <w:tab w:val="num" w:pos="1440"/>
        </w:tabs>
        <w:rPr>
          <w:szCs w:val="22"/>
        </w:rPr>
      </w:pPr>
      <w:r>
        <w:t>I</w:t>
      </w:r>
      <w:r>
        <w:t xml:space="preserve">n its </w:t>
      </w:r>
      <w:r w:rsidR="009A3B6A">
        <w:rPr>
          <w:spacing w:val="-2"/>
        </w:rPr>
        <w:t>request</w:t>
      </w:r>
      <w:r>
        <w:t>, t</w:t>
      </w:r>
      <w:r w:rsidRPr="00977665" w:rsidR="00314C45">
        <w:t>he NFL</w:t>
      </w:r>
      <w:r>
        <w:t xml:space="preserve"> assert</w:t>
      </w:r>
      <w:r w:rsidR="008D4A41">
        <w:t>s</w:t>
      </w:r>
      <w:r w:rsidRPr="00977665" w:rsidR="00314C45">
        <w:t xml:space="preserve"> </w:t>
      </w:r>
      <w:r>
        <w:rPr>
          <w:szCs w:val="22"/>
        </w:rPr>
        <w:t>that</w:t>
      </w:r>
      <w:r w:rsidRPr="00A731F5">
        <w:rPr>
          <w:szCs w:val="22"/>
        </w:rPr>
        <w:t xml:space="preserve"> </w:t>
      </w:r>
      <w:r>
        <w:rPr>
          <w:szCs w:val="22"/>
        </w:rPr>
        <w:t xml:space="preserve">an extension of the </w:t>
      </w:r>
      <w:r w:rsidR="00DA0323">
        <w:rPr>
          <w:szCs w:val="22"/>
        </w:rPr>
        <w:t xml:space="preserve">2021 </w:t>
      </w:r>
      <w:r>
        <w:rPr>
          <w:szCs w:val="22"/>
        </w:rPr>
        <w:t xml:space="preserve">conditional waiver is needed to </w:t>
      </w:r>
      <w:r w:rsidRPr="00CA3851">
        <w:t>address</w:t>
      </w:r>
      <w:r>
        <w:rPr>
          <w:szCs w:val="22"/>
        </w:rPr>
        <w:t xml:space="preserve"> the possibility that multiple, simultaneous Internet failures during or immediately prior to the commencement of a football game could sever the connection between its coach-to-coach communications system and its SAS.</w:t>
      </w:r>
      <w:r>
        <w:rPr>
          <w:rStyle w:val="FootnoteReference"/>
          <w:szCs w:val="22"/>
        </w:rPr>
        <w:footnoteReference w:id="9"/>
      </w:r>
      <w:r>
        <w:rPr>
          <w:szCs w:val="22"/>
        </w:rPr>
        <w:t xml:space="preserve">  </w:t>
      </w:r>
      <w:r w:rsidR="0037317C">
        <w:rPr>
          <w:szCs w:val="22"/>
        </w:rPr>
        <w:t>T</w:t>
      </w:r>
      <w:r w:rsidR="005D5988">
        <w:rPr>
          <w:szCs w:val="22"/>
        </w:rPr>
        <w:t xml:space="preserve">he NFL </w:t>
      </w:r>
      <w:r w:rsidR="0037317C">
        <w:rPr>
          <w:szCs w:val="22"/>
        </w:rPr>
        <w:t xml:space="preserve">reports </w:t>
      </w:r>
      <w:r w:rsidR="005D5988">
        <w:rPr>
          <w:szCs w:val="22"/>
        </w:rPr>
        <w:t xml:space="preserve">that </w:t>
      </w:r>
      <w:r w:rsidR="0037317C">
        <w:rPr>
          <w:szCs w:val="22"/>
        </w:rPr>
        <w:t>it did not have to operate pursuant to its waiver authority during the 2021-</w:t>
      </w:r>
      <w:r w:rsidR="00900E3D">
        <w:rPr>
          <w:szCs w:val="22"/>
        </w:rPr>
        <w:t>20</w:t>
      </w:r>
      <w:r w:rsidR="0037317C">
        <w:rPr>
          <w:szCs w:val="22"/>
        </w:rPr>
        <w:t xml:space="preserve">22 season and that there was only one game wherein even one of its </w:t>
      </w:r>
      <w:r w:rsidR="0037317C">
        <w:rPr>
          <w:szCs w:val="22"/>
        </w:rPr>
        <w:t>Internet connections was severed.</w:t>
      </w:r>
      <w:r>
        <w:rPr>
          <w:rStyle w:val="FootnoteReference"/>
          <w:szCs w:val="22"/>
        </w:rPr>
        <w:footnoteReference w:id="10"/>
      </w:r>
      <w:r w:rsidR="0037317C">
        <w:rPr>
          <w:szCs w:val="22"/>
        </w:rPr>
        <w:t xml:space="preserve">  Nevertheless, </w:t>
      </w:r>
      <w:r w:rsidR="004307D9">
        <w:rPr>
          <w:szCs w:val="22"/>
        </w:rPr>
        <w:t>th</w:t>
      </w:r>
      <w:r>
        <w:rPr>
          <w:szCs w:val="22"/>
        </w:rPr>
        <w:t xml:space="preserve">e NFL </w:t>
      </w:r>
      <w:r w:rsidR="006B0CF7">
        <w:rPr>
          <w:szCs w:val="22"/>
        </w:rPr>
        <w:t xml:space="preserve">argues </w:t>
      </w:r>
      <w:r w:rsidR="00196F60">
        <w:rPr>
          <w:szCs w:val="22"/>
        </w:rPr>
        <w:t xml:space="preserve">that the limited experience </w:t>
      </w:r>
      <w:r w:rsidR="006B0CF7">
        <w:rPr>
          <w:szCs w:val="22"/>
        </w:rPr>
        <w:t>of the 2021-</w:t>
      </w:r>
      <w:r w:rsidR="00900E3D">
        <w:rPr>
          <w:szCs w:val="22"/>
        </w:rPr>
        <w:t>20</w:t>
      </w:r>
      <w:r w:rsidR="006B0CF7">
        <w:rPr>
          <w:szCs w:val="22"/>
        </w:rPr>
        <w:t>22 season</w:t>
      </w:r>
      <w:r w:rsidR="00196F60">
        <w:rPr>
          <w:szCs w:val="22"/>
        </w:rPr>
        <w:t xml:space="preserve"> was not sufficient to support long term planning for its </w:t>
      </w:r>
      <w:r w:rsidRPr="00BB3FCC" w:rsidR="00196F60">
        <w:t xml:space="preserve">Citizens Broadband Radio Service </w:t>
      </w:r>
      <w:r w:rsidR="00196F60">
        <w:rPr>
          <w:szCs w:val="22"/>
        </w:rPr>
        <w:t>deployment and that a longer waiver period</w:t>
      </w:r>
      <w:r w:rsidR="00BD3591">
        <w:rPr>
          <w:szCs w:val="22"/>
        </w:rPr>
        <w:t xml:space="preserve"> </w:t>
      </w:r>
      <w:r>
        <w:rPr>
          <w:szCs w:val="22"/>
        </w:rPr>
        <w:t>will allow it to assess whether a tertiary level of ISP redundancy is required to support its coach-to-coach communications system.</w:t>
      </w:r>
      <w:r>
        <w:rPr>
          <w:rStyle w:val="FootnoteReference"/>
          <w:szCs w:val="22"/>
        </w:rPr>
        <w:footnoteReference w:id="11"/>
      </w:r>
      <w:r w:rsidR="006B0CF7">
        <w:rPr>
          <w:szCs w:val="22"/>
        </w:rPr>
        <w:t xml:space="preserve">  The NFL, therefore, requests a three-year extension of its conditional waiver through the end of the 2025 Super Bowl.</w:t>
      </w:r>
    </w:p>
    <w:p w:rsidR="004A260A" w:rsidRPr="00EC7563" w:rsidP="00DB44BB" w14:paraId="02E9E667" w14:textId="4F2BAD4F">
      <w:pPr>
        <w:pStyle w:val="ParaNum"/>
        <w:widowControl/>
        <w:numPr>
          <w:ilvl w:val="0"/>
          <w:numId w:val="2"/>
        </w:numPr>
        <w:tabs>
          <w:tab w:val="clear" w:pos="1080"/>
          <w:tab w:val="num" w:pos="1440"/>
        </w:tabs>
      </w:pPr>
      <w:r w:rsidRPr="00BB3FCC">
        <w:t xml:space="preserve">On </w:t>
      </w:r>
      <w:r w:rsidR="00C23404">
        <w:t>June 30, 2022</w:t>
      </w:r>
      <w:r w:rsidRPr="00BB3FCC">
        <w:t xml:space="preserve">, the </w:t>
      </w:r>
      <w:r w:rsidRPr="009C2156">
        <w:rPr>
          <w:szCs w:val="22"/>
        </w:rPr>
        <w:t>Bureau</w:t>
      </w:r>
      <w:r w:rsidRPr="00BB3FCC">
        <w:t xml:space="preserve"> released a p</w:t>
      </w:r>
      <w:r w:rsidRPr="005C0517">
        <w:t xml:space="preserve">ublic notice seeking comment on </w:t>
      </w:r>
      <w:r w:rsidR="006B0CF7">
        <w:t>the NFL’s</w:t>
      </w:r>
      <w:r w:rsidRPr="00977665" w:rsidR="006B0CF7">
        <w:t xml:space="preserve"> </w:t>
      </w:r>
      <w:r w:rsidRPr="00977665">
        <w:t xml:space="preserve">Waiver </w:t>
      </w:r>
      <w:r w:rsidR="00C23404">
        <w:t xml:space="preserve">Extension </w:t>
      </w:r>
      <w:r w:rsidRPr="00977665">
        <w:t>Request.</w:t>
      </w:r>
      <w:r>
        <w:rPr>
          <w:rStyle w:val="FootnoteReference"/>
        </w:rPr>
        <w:footnoteReference w:id="12"/>
      </w:r>
      <w:r w:rsidRPr="00890410">
        <w:t xml:space="preserve"> </w:t>
      </w:r>
      <w:r w:rsidRPr="00BB3FCC">
        <w:t xml:space="preserve"> The Bureau received </w:t>
      </w:r>
      <w:r>
        <w:t>one</w:t>
      </w:r>
      <w:r w:rsidRPr="00BB3FCC">
        <w:t xml:space="preserve"> comment and </w:t>
      </w:r>
      <w:r w:rsidR="00FF63A5">
        <w:t>one</w:t>
      </w:r>
      <w:r>
        <w:t xml:space="preserve"> </w:t>
      </w:r>
      <w:r w:rsidRPr="00977665">
        <w:t xml:space="preserve">reply comment, </w:t>
      </w:r>
      <w:r w:rsidR="00303654">
        <w:t>neither</w:t>
      </w:r>
      <w:r w:rsidRPr="00977665" w:rsidR="00303654">
        <w:t xml:space="preserve"> </w:t>
      </w:r>
      <w:r w:rsidRPr="00977665">
        <w:t xml:space="preserve">of which opposed grant of the </w:t>
      </w:r>
      <w:r w:rsidR="00EC791A">
        <w:t xml:space="preserve">NFL </w:t>
      </w:r>
      <w:r w:rsidRPr="00977665">
        <w:t xml:space="preserve">Waiver </w:t>
      </w:r>
      <w:r w:rsidR="00EC791A">
        <w:t xml:space="preserve">Extension </w:t>
      </w:r>
      <w:r w:rsidRPr="00977665">
        <w:t xml:space="preserve">Request.  </w:t>
      </w:r>
      <w:r w:rsidR="002A57A0">
        <w:t xml:space="preserve">In its comments, </w:t>
      </w:r>
      <w:r w:rsidRPr="00BB3FCC" w:rsidR="002A57A0">
        <w:t>NCTA – The Internet &amp; Television Association (NCTA) suggest</w:t>
      </w:r>
      <w:r w:rsidR="00683F17">
        <w:t>s</w:t>
      </w:r>
      <w:r w:rsidRPr="00BB3FCC" w:rsidR="002A57A0">
        <w:t xml:space="preserve"> that </w:t>
      </w:r>
      <w:r w:rsidR="002A57A0">
        <w:t xml:space="preserve">any extended relief </w:t>
      </w:r>
      <w:r w:rsidRPr="00BB3FCC" w:rsidR="002A57A0">
        <w:t xml:space="preserve">to the NFL should </w:t>
      </w:r>
      <w:r w:rsidR="002A57A0">
        <w:t xml:space="preserve">continue to </w:t>
      </w:r>
      <w:r w:rsidRPr="00BB3FCC" w:rsidR="002A57A0">
        <w:t>be narrowly tailored</w:t>
      </w:r>
      <w:r w:rsidRPr="009C2156" w:rsidR="002A57A0">
        <w:rPr>
          <w:color w:val="FF0000"/>
        </w:rPr>
        <w:t xml:space="preserve"> </w:t>
      </w:r>
      <w:r w:rsidR="002A57A0">
        <w:t xml:space="preserve">to the NFL’s </w:t>
      </w:r>
      <w:r w:rsidR="00B72210">
        <w:t xml:space="preserve">unique and </w:t>
      </w:r>
      <w:r w:rsidR="002A57A0">
        <w:t xml:space="preserve">specific circumstances to avoid creating a </w:t>
      </w:r>
      <w:r w:rsidRPr="009C2156" w:rsidR="002A57A0">
        <w:rPr>
          <w:i/>
          <w:iCs/>
        </w:rPr>
        <w:t>de facto</w:t>
      </w:r>
      <w:r w:rsidR="002A57A0">
        <w:t xml:space="preserve"> exemption from the SAS connectivity requirements for </w:t>
      </w:r>
      <w:r w:rsidR="008F1127">
        <w:t>Citizens Broadband Radio Service</w:t>
      </w:r>
      <w:r w:rsidR="00E61137">
        <w:t xml:space="preserve"> operations at special events, including sporting events</w:t>
      </w:r>
      <w:r w:rsidR="008F1127">
        <w:t>.</w:t>
      </w:r>
      <w:r>
        <w:rPr>
          <w:rStyle w:val="FootnoteReference"/>
        </w:rPr>
        <w:footnoteReference w:id="13"/>
      </w:r>
      <w:r w:rsidR="008F1127">
        <w:t xml:space="preserve"> </w:t>
      </w:r>
      <w:r w:rsidR="002A57A0">
        <w:t xml:space="preserve"> </w:t>
      </w:r>
      <w:r w:rsidR="008F1127">
        <w:t>NCTA also</w:t>
      </w:r>
      <w:r w:rsidR="002A57A0">
        <w:t xml:space="preserve"> </w:t>
      </w:r>
      <w:r w:rsidR="00BA45E8">
        <w:t>recommend</w:t>
      </w:r>
      <w:r w:rsidR="00683F17">
        <w:t xml:space="preserve">s </w:t>
      </w:r>
      <w:r w:rsidR="002A57A0">
        <w:t xml:space="preserve">that </w:t>
      </w:r>
      <w:r w:rsidR="00683F17">
        <w:t xml:space="preserve">the Bureau grant a more limited </w:t>
      </w:r>
      <w:r w:rsidR="00BA45E8">
        <w:t xml:space="preserve">one-year </w:t>
      </w:r>
      <w:r w:rsidR="00683F17">
        <w:t xml:space="preserve">waiver expiring after the 2023 Super Bowl </w:t>
      </w:r>
      <w:r w:rsidR="009C2156">
        <w:t>because an extension through 2025 is tantamount to granting the NFL a decade to transition its system to be</w:t>
      </w:r>
      <w:r w:rsidR="00073828">
        <w:t>come</w:t>
      </w:r>
      <w:r w:rsidR="00B83F62">
        <w:t xml:space="preserve"> </w:t>
      </w:r>
      <w:r w:rsidR="009C2156">
        <w:t>compliant with part 96 rules</w:t>
      </w:r>
      <w:r w:rsidR="00683F17">
        <w:t>.</w:t>
      </w:r>
      <w:r>
        <w:rPr>
          <w:rStyle w:val="FootnoteReference"/>
        </w:rPr>
        <w:footnoteReference w:id="14"/>
      </w:r>
      <w:r w:rsidR="009C2156">
        <w:rPr>
          <w:color w:val="FF0000"/>
        </w:rPr>
        <w:t xml:space="preserve">  </w:t>
      </w:r>
      <w:r w:rsidRPr="00A12A70" w:rsidR="00303654">
        <w:t xml:space="preserve">NFL filed reply comments in which it </w:t>
      </w:r>
      <w:r w:rsidR="009C2156">
        <w:t xml:space="preserve">asserts that a three-year period would allow it to explore </w:t>
      </w:r>
      <w:r w:rsidR="00E47C8C">
        <w:t>using different technologies and relieve Commission staff from the burden of having to devote resources to analyzing identical facts and arguments multiple times in a short window.</w:t>
      </w:r>
      <w:r>
        <w:rPr>
          <w:rStyle w:val="FootnoteReference"/>
        </w:rPr>
        <w:footnoteReference w:id="15"/>
      </w:r>
      <w:r w:rsidRPr="00EC7563" w:rsidR="001F7C55">
        <w:t xml:space="preserve"> </w:t>
      </w:r>
    </w:p>
    <w:p w:rsidR="00281F24" w:rsidRPr="00BB3FCC" w:rsidP="00281F24" w14:paraId="0EC11818" w14:textId="77777777">
      <w:pPr>
        <w:pStyle w:val="Heading1"/>
      </w:pPr>
      <w:bookmarkStart w:id="6" w:name="_Toc58853844"/>
      <w:bookmarkStart w:id="7" w:name="_Toc58853897"/>
      <w:bookmarkStart w:id="8" w:name="_Toc61528489"/>
      <w:r w:rsidRPr="00890410">
        <w:t>DISCUSSION</w:t>
      </w:r>
      <w:bookmarkEnd w:id="6"/>
      <w:bookmarkEnd w:id="7"/>
      <w:bookmarkEnd w:id="8"/>
    </w:p>
    <w:p w:rsidR="00AE5D60" w:rsidP="00E007F0" w14:paraId="0ACF19A7" w14:textId="77777777">
      <w:pPr>
        <w:pStyle w:val="ParaNum"/>
        <w:widowControl/>
        <w:numPr>
          <w:ilvl w:val="0"/>
          <w:numId w:val="2"/>
        </w:numPr>
        <w:tabs>
          <w:tab w:val="clear" w:pos="1080"/>
          <w:tab w:val="num" w:pos="1440"/>
        </w:tabs>
      </w:pPr>
      <w:r w:rsidRPr="00BB3FCC">
        <w:t>Section 1.925(b)(3) of the Commission’s rules states that the Commission may grant a waiver when either (</w:t>
      </w:r>
      <w:r w:rsidRPr="00BB3FCC">
        <w:t>i</w:t>
      </w:r>
      <w:r w:rsidRPr="00BB3FCC">
        <w:t>) “[t]he underlying purpose of the rule(s) would not be served or would be frustrated by application to the instant case, and that a grant of the requested waiver would be in the public interest,” or (ii) “[</w:t>
      </w:r>
      <w:r w:rsidRPr="00BB3FCC">
        <w:t>i</w:t>
      </w:r>
      <w:r w:rsidRPr="00BB3FCC">
        <w:t>]n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6"/>
      </w:r>
      <w:r w:rsidRPr="00AE5D60">
        <w:t xml:space="preserve"> </w:t>
      </w:r>
    </w:p>
    <w:p w:rsidR="00281F24" w:rsidRPr="00BB3FCC" w:rsidP="00E007F0" w14:paraId="20C61967" w14:textId="59A486C4">
      <w:pPr>
        <w:pStyle w:val="ParaNum"/>
        <w:widowControl/>
        <w:numPr>
          <w:ilvl w:val="0"/>
          <w:numId w:val="2"/>
        </w:numPr>
        <w:tabs>
          <w:tab w:val="clear" w:pos="1080"/>
          <w:tab w:val="num" w:pos="1440"/>
        </w:tabs>
      </w:pPr>
      <w:r>
        <w:t>The rule in question</w:t>
      </w:r>
      <w:r w:rsidR="00264BA2">
        <w:t xml:space="preserve"> here</w:t>
      </w:r>
      <w:r>
        <w:t xml:space="preserve">, </w:t>
      </w:r>
      <w:r w:rsidR="00580660">
        <w:t xml:space="preserve">47 CFR § </w:t>
      </w:r>
      <w:r w:rsidRPr="00FE702D" w:rsidR="00AE5D60">
        <w:t>96.39(c)</w:t>
      </w:r>
      <w:r>
        <w:t>,</w:t>
      </w:r>
      <w:r w:rsidRPr="00FE702D" w:rsidR="00AE5D60">
        <w:t xml:space="preserve"> requires that </w:t>
      </w:r>
      <w:r w:rsidR="00AE5D60">
        <w:t xml:space="preserve">a </w:t>
      </w:r>
      <w:r w:rsidR="00643E1E">
        <w:t>Citizens Broadband Radio Service Device (</w:t>
      </w:r>
      <w:r w:rsidRPr="00BB3FCC" w:rsidR="00643E1E">
        <w:t>CBSD</w:t>
      </w:r>
      <w:r w:rsidR="00643E1E">
        <w:t>)</w:t>
      </w:r>
      <w:r w:rsidRPr="00FE702D" w:rsidR="00AE5D60">
        <w:t xml:space="preserve"> be registered with and authorized by an SAS prior to its initial service transmission.</w:t>
      </w:r>
      <w:r>
        <w:rPr>
          <w:rStyle w:val="FootnoteReference"/>
        </w:rPr>
        <w:footnoteReference w:id="17"/>
      </w:r>
      <w:r w:rsidRPr="00890410" w:rsidR="00AE5D60">
        <w:t xml:space="preserve">  The rule </w:t>
      </w:r>
      <w:r w:rsidR="00C25869">
        <w:t>also</w:t>
      </w:r>
      <w:r w:rsidRPr="00890410" w:rsidR="00AE5D60">
        <w:t xml:space="preserve"> requires </w:t>
      </w:r>
      <w:r w:rsidRPr="00BB3FCC" w:rsidR="00AE5D60">
        <w:t xml:space="preserve">CBSDs </w:t>
      </w:r>
      <w:r w:rsidR="00C25869">
        <w:t xml:space="preserve">to </w:t>
      </w:r>
      <w:r w:rsidRPr="00BB3FCC" w:rsidR="00AE5D60">
        <w:t>provide the SAS with specific operational information and provide any updates to the SAS within 60 seconds of any change to that information.</w:t>
      </w:r>
      <w:r>
        <w:rPr>
          <w:rStyle w:val="FootnoteReference"/>
        </w:rPr>
        <w:footnoteReference w:id="18"/>
      </w:r>
      <w:r w:rsidRPr="00890410" w:rsidR="00AE5D60">
        <w:t xml:space="preserve">  </w:t>
      </w:r>
      <w:r w:rsidR="00CB16A5">
        <w:t>Under</w:t>
      </w:r>
      <w:r w:rsidR="00C25869">
        <w:t xml:space="preserve"> such</w:t>
      </w:r>
      <w:r w:rsidR="00CB16A5">
        <w:t xml:space="preserve"> circumstances, </w:t>
      </w:r>
      <w:r w:rsidR="00E007F0">
        <w:t>s</w:t>
      </w:r>
      <w:r w:rsidRPr="00890410" w:rsidR="00AE5D60">
        <w:t>ection 96.39(c)(2)</w:t>
      </w:r>
      <w:r w:rsidRPr="00BB3FCC" w:rsidR="00AE5D60">
        <w:t xml:space="preserve"> </w:t>
      </w:r>
      <w:r w:rsidR="00C25869">
        <w:t xml:space="preserve">would then </w:t>
      </w:r>
      <w:r w:rsidRPr="00BB3FCC" w:rsidR="00AE5D60">
        <w:t xml:space="preserve">require a CBSD </w:t>
      </w:r>
      <w:r w:rsidR="004F5C1F">
        <w:t xml:space="preserve">to </w:t>
      </w:r>
      <w:r w:rsidRPr="00BB3FCC" w:rsidR="00AE5D60">
        <w:t>“receive and comply with any incoming commands from its associated SAS about any changes to power limits and frequency assignments”</w:t>
      </w:r>
      <w:r>
        <w:rPr>
          <w:rStyle w:val="FootnoteReference"/>
        </w:rPr>
        <w:footnoteReference w:id="19"/>
      </w:r>
      <w:r w:rsidRPr="00890410" w:rsidR="00AE5D60">
        <w:t xml:space="preserve"> </w:t>
      </w:r>
      <w:r w:rsidR="004F5C1F">
        <w:t>and to “</w:t>
      </w:r>
      <w:r w:rsidRPr="00890410" w:rsidR="00AE5D60">
        <w:t>cease transmission, move to</w:t>
      </w:r>
      <w:r w:rsidRPr="00BB3FCC" w:rsidR="00AE5D60">
        <w:t xml:space="preserve"> another frequency range, or change its power level within 60 seconds as instructed by an SAS.”</w:t>
      </w:r>
      <w:r>
        <w:rPr>
          <w:rStyle w:val="FootnoteReference"/>
        </w:rPr>
        <w:footnoteReference w:id="20"/>
      </w:r>
      <w:r w:rsidRPr="00890410" w:rsidR="00AE5D60">
        <w:t xml:space="preserve">  </w:t>
      </w:r>
      <w:r w:rsidR="000211CD">
        <w:t xml:space="preserve">In the </w:t>
      </w:r>
      <w:r w:rsidRPr="000211CD" w:rsidR="000211CD">
        <w:rPr>
          <w:i/>
          <w:iCs/>
        </w:rPr>
        <w:t>2015 Report and Order</w:t>
      </w:r>
      <w:r w:rsidR="000211CD">
        <w:t>, the Commission stated that t</w:t>
      </w:r>
      <w:r w:rsidRPr="00890410" w:rsidR="00AE5D60">
        <w:t>he purpose</w:t>
      </w:r>
      <w:r w:rsidR="00303654">
        <w:t>s</w:t>
      </w:r>
      <w:r w:rsidRPr="00890410" w:rsidR="00AE5D60">
        <w:t xml:space="preserve"> of the rule </w:t>
      </w:r>
      <w:r w:rsidR="00303654">
        <w:t>are</w:t>
      </w:r>
      <w:r w:rsidRPr="00890410" w:rsidR="00AE5D60">
        <w:t xml:space="preserve"> to ensure operations in the band are properly authorized,</w:t>
      </w:r>
      <w:r w:rsidR="00303654">
        <w:t xml:space="preserve"> to</w:t>
      </w:r>
      <w:r w:rsidRPr="00890410" w:rsidR="00AE5D60">
        <w:t xml:space="preserve"> prevent </w:t>
      </w:r>
      <w:r w:rsidRPr="00BB3FCC" w:rsidR="00AE5D60">
        <w:t xml:space="preserve">interference, and </w:t>
      </w:r>
      <w:r w:rsidR="00303654">
        <w:t xml:space="preserve">to </w:t>
      </w:r>
      <w:r w:rsidRPr="00BB3FCC" w:rsidR="00AE5D60">
        <w:t>provide for the effective coexistence of all tiers of users operating in the band.</w:t>
      </w:r>
      <w:r>
        <w:rPr>
          <w:rStyle w:val="FootnoteReference"/>
        </w:rPr>
        <w:footnoteReference w:id="21"/>
      </w:r>
      <w:r w:rsidRPr="00890410" w:rsidR="00314C45">
        <w:t xml:space="preserve">  </w:t>
      </w:r>
    </w:p>
    <w:p w:rsidR="000A020B" w:rsidP="00AE5D60" w14:paraId="35DF9161" w14:textId="17D2E998">
      <w:pPr>
        <w:pStyle w:val="ParaNum"/>
        <w:widowControl/>
        <w:numPr>
          <w:ilvl w:val="0"/>
          <w:numId w:val="2"/>
        </w:numPr>
        <w:tabs>
          <w:tab w:val="clear" w:pos="1080"/>
          <w:tab w:val="num" w:pos="1440"/>
        </w:tabs>
      </w:pPr>
      <w:r>
        <w:t xml:space="preserve">In the NFL Waiver Order, </w:t>
      </w:r>
      <w:r w:rsidR="009B19F0">
        <w:t>we</w:t>
      </w:r>
      <w:r>
        <w:t xml:space="preserve"> </w:t>
      </w:r>
      <w:r w:rsidR="004A798A">
        <w:t>concluded</w:t>
      </w:r>
      <w:r w:rsidR="005F7147">
        <w:t xml:space="preserve"> that </w:t>
      </w:r>
      <w:r w:rsidR="00A7484D">
        <w:t xml:space="preserve">neither the underlying purpose of the rule nor the public interest would be served by strict application of the requirements </w:t>
      </w:r>
      <w:r>
        <w:t>of the rule</w:t>
      </w:r>
      <w:r w:rsidRPr="008C3340">
        <w:t>.</w:t>
      </w:r>
      <w:r>
        <w:rPr>
          <w:rStyle w:val="FootnoteReference"/>
        </w:rPr>
        <w:footnoteReference w:id="22"/>
      </w:r>
      <w:r w:rsidRPr="008C3340">
        <w:t xml:space="preserve">  </w:t>
      </w:r>
      <w:r w:rsidR="00FA4053">
        <w:t>Specifically</w:t>
      </w:r>
      <w:r>
        <w:t xml:space="preserve">, the NFL Waiver Order found that </w:t>
      </w:r>
      <w:r w:rsidR="00FA4053">
        <w:t>Petitioner</w:t>
      </w:r>
      <w:r w:rsidR="002135B8">
        <w:t>’s showing</w:t>
      </w:r>
      <w:r w:rsidR="00CB459A">
        <w:t>,</w:t>
      </w:r>
      <w:r w:rsidR="00A87FE0">
        <w:t xml:space="preserve"> </w:t>
      </w:r>
      <w:r w:rsidR="00CB459A">
        <w:t xml:space="preserve">as conditioned, </w:t>
      </w:r>
      <w:r w:rsidR="00FA4053">
        <w:t xml:space="preserve">met the </w:t>
      </w:r>
      <w:r w:rsidR="00A87FE0">
        <w:t xml:space="preserve">requirements of the first waiver standard set forth in </w:t>
      </w:r>
      <w:r w:rsidR="00E007F0">
        <w:t>s</w:t>
      </w:r>
      <w:r w:rsidR="00A87FE0">
        <w:t xml:space="preserve">ection </w:t>
      </w:r>
      <w:r w:rsidR="00E007F0">
        <w:t>1.925</w:t>
      </w:r>
      <w:r w:rsidR="00CB459A">
        <w:t>.</w:t>
      </w:r>
      <w:r>
        <w:rPr>
          <w:rStyle w:val="FootnoteReference"/>
        </w:rPr>
        <w:footnoteReference w:id="23"/>
      </w:r>
      <w:r w:rsidR="00CB459A">
        <w:t xml:space="preserve">  We</w:t>
      </w:r>
      <w:r w:rsidR="00253EED">
        <w:t xml:space="preserve"> </w:t>
      </w:r>
      <w:r w:rsidR="00D96AE3">
        <w:t>stated</w:t>
      </w:r>
      <w:r w:rsidR="000B268D">
        <w:t xml:space="preserve"> that the </w:t>
      </w:r>
      <w:r w:rsidRPr="00BB3FCC" w:rsidR="000B268D">
        <w:t>operational</w:t>
      </w:r>
      <w:r w:rsidR="000B268D">
        <w:t xml:space="preserve"> parameters and technical conditions associated with the NFL’s system, </w:t>
      </w:r>
      <w:r w:rsidRPr="00BB3FCC" w:rsidR="000B268D">
        <w:t>in concert with the conditions</w:t>
      </w:r>
      <w:r w:rsidR="000B268D">
        <w:t xml:space="preserve"> we imposed, </w:t>
      </w:r>
      <w:r w:rsidRPr="00BB3FCC" w:rsidR="000B268D">
        <w:t xml:space="preserve">will </w:t>
      </w:r>
      <w:r w:rsidR="000B268D">
        <w:t>minimize the chances that</w:t>
      </w:r>
      <w:r w:rsidRPr="008C3340" w:rsidR="000B268D">
        <w:t xml:space="preserve"> Petitioner’s operations </w:t>
      </w:r>
      <w:r w:rsidR="000B268D">
        <w:t>will</w:t>
      </w:r>
      <w:r w:rsidRPr="008C3340" w:rsidR="000B268D">
        <w:t xml:space="preserve"> cause </w:t>
      </w:r>
      <w:r w:rsidR="000B268D">
        <w:t xml:space="preserve">harmful </w:t>
      </w:r>
      <w:r w:rsidRPr="008C3340" w:rsidR="000B268D">
        <w:t>interference</w:t>
      </w:r>
      <w:r w:rsidR="000B268D">
        <w:t xml:space="preserve"> to other systems operating in the band</w:t>
      </w:r>
      <w:r w:rsidR="00F85DF2">
        <w:t xml:space="preserve"> and</w:t>
      </w:r>
      <w:r w:rsidR="00253EED">
        <w:t xml:space="preserve"> </w:t>
      </w:r>
      <w:r w:rsidR="009F1305">
        <w:t xml:space="preserve">thereby </w:t>
      </w:r>
      <w:r w:rsidRPr="00EC7563">
        <w:t>ensure that the underlying purpose of the rule is served and that the grant of the waiver is in the public interest.</w:t>
      </w:r>
      <w:r>
        <w:rPr>
          <w:rStyle w:val="FootnoteReference"/>
        </w:rPr>
        <w:footnoteReference w:id="24"/>
      </w:r>
      <w:r w:rsidRPr="00EC7563">
        <w:t xml:space="preserve">  </w:t>
      </w:r>
      <w:r w:rsidR="005926F1">
        <w:t>In doing so, w</w:t>
      </w:r>
      <w:r w:rsidRPr="00EC7563">
        <w:t xml:space="preserve">e </w:t>
      </w:r>
      <w:r w:rsidR="005926F1">
        <w:t>noted</w:t>
      </w:r>
      <w:r w:rsidRPr="00EC7563">
        <w:t xml:space="preserve"> that</w:t>
      </w:r>
      <w:r w:rsidR="00794EE6">
        <w:t xml:space="preserve"> </w:t>
      </w:r>
      <w:r w:rsidRPr="00EC7563">
        <w:t xml:space="preserve">the extremely limited nature of the waiver, the short </w:t>
      </w:r>
      <w:r w:rsidR="00B3339A">
        <w:t>duration</w:t>
      </w:r>
      <w:r w:rsidRPr="00EC7563">
        <w:t xml:space="preserve"> of its applicability, and Petitioner’s ongoing compliance with all other Commission rules</w:t>
      </w:r>
      <w:r w:rsidR="00794EE6">
        <w:t xml:space="preserve"> </w:t>
      </w:r>
      <w:r>
        <w:t>justified</w:t>
      </w:r>
      <w:r w:rsidRPr="00EC7563">
        <w:t xml:space="preserve"> granting the requested conditional waiver </w:t>
      </w:r>
      <w:r w:rsidRPr="00BB3FCC" w:rsidR="00E11469">
        <w:t>of section 96.39(c)(2) of the Commission’s rules</w:t>
      </w:r>
      <w:r w:rsidRPr="00EC7563">
        <w:t>.</w:t>
      </w:r>
      <w:r>
        <w:rPr>
          <w:rStyle w:val="FootnoteReference"/>
        </w:rPr>
        <w:footnoteReference w:id="25"/>
      </w:r>
      <w:r w:rsidR="00512F51">
        <w:t xml:space="preserve">  </w:t>
      </w:r>
      <w:r w:rsidR="005926F1">
        <w:t>We stated that</w:t>
      </w:r>
      <w:r w:rsidRPr="00BB3FCC">
        <w:t xml:space="preserve"> a </w:t>
      </w:r>
      <w:r>
        <w:t xml:space="preserve">conditional </w:t>
      </w:r>
      <w:r w:rsidRPr="00BB3FCC">
        <w:t>waiver allow</w:t>
      </w:r>
      <w:r w:rsidR="005C1AE7">
        <w:t>s</w:t>
      </w:r>
      <w:r w:rsidRPr="00BB3FCC">
        <w:t xml:space="preserve"> </w:t>
      </w:r>
      <w:r>
        <w:t>Petitioner</w:t>
      </w:r>
      <w:r w:rsidRPr="00BB3FCC">
        <w:t xml:space="preserve"> to operate </w:t>
      </w:r>
      <w:r>
        <w:t xml:space="preserve">its coach-to-coach communications systems </w:t>
      </w:r>
      <w:r w:rsidRPr="00BB3FCC">
        <w:t>without connectivity to a</w:t>
      </w:r>
      <w:r>
        <w:t>n</w:t>
      </w:r>
      <w:r w:rsidRPr="00BB3FCC">
        <w:t xml:space="preserve"> SAS in the event of a localized Internet outage in an NFL stadium during an NFL football game</w:t>
      </w:r>
      <w:r>
        <w:rPr>
          <w:rStyle w:val="FootnoteReference"/>
        </w:rPr>
        <w:footnoteReference w:id="26"/>
      </w:r>
      <w:r w:rsidR="00342BDC">
        <w:t xml:space="preserve"> and</w:t>
      </w:r>
      <w:r w:rsidR="00573346">
        <w:t xml:space="preserve"> </w:t>
      </w:r>
      <w:r>
        <w:t>that t</w:t>
      </w:r>
      <w:r w:rsidRPr="00BB3FCC">
        <w:t>h</w:t>
      </w:r>
      <w:r>
        <w:t>e</w:t>
      </w:r>
      <w:r w:rsidRPr="00BB3FCC">
        <w:t xml:space="preserve"> waiver applies only to the </w:t>
      </w:r>
      <w:r w:rsidR="008F1127">
        <w:t>Citizens Broadband Radio Service</w:t>
      </w:r>
      <w:r w:rsidRPr="00BB3FCC">
        <w:t xml:space="preserve"> system used for coach-to-coach communications during, and up to two hours immediately prior to an NFL football game, in the event of a complete Internet outage that prevents </w:t>
      </w:r>
      <w:r>
        <w:t xml:space="preserve">the </w:t>
      </w:r>
      <w:r w:rsidR="00643E1E">
        <w:t xml:space="preserve">CBSDs </w:t>
      </w:r>
      <w:r>
        <w:t>that comprise this system</w:t>
      </w:r>
      <w:r w:rsidRPr="00BB3FCC">
        <w:t xml:space="preserve"> from contacting </w:t>
      </w:r>
      <w:r>
        <w:t>an</w:t>
      </w:r>
      <w:r w:rsidRPr="00BB3FCC">
        <w:t xml:space="preserve"> SAS</w:t>
      </w:r>
      <w:r w:rsidR="00342BDC">
        <w:t>.</w:t>
      </w:r>
      <w:r>
        <w:rPr>
          <w:rStyle w:val="FootnoteReference"/>
        </w:rPr>
        <w:footnoteReference w:id="27"/>
      </w:r>
      <w:r w:rsidRPr="00BB3FCC">
        <w:t xml:space="preserve">  </w:t>
      </w:r>
      <w:r w:rsidR="005C1AE7">
        <w:t>Finally, w</w:t>
      </w:r>
      <w:r w:rsidRPr="00BB3FCC">
        <w:t>e</w:t>
      </w:r>
      <w:r>
        <w:t xml:space="preserve"> required</w:t>
      </w:r>
      <w:r w:rsidRPr="00BB3FCC">
        <w:t xml:space="preserve"> </w:t>
      </w:r>
      <w:r>
        <w:t>Petitioner to</w:t>
      </w:r>
      <w:r w:rsidRPr="00BB3FCC">
        <w:t xml:space="preserve"> comply with </w:t>
      </w:r>
      <w:r>
        <w:t>a specific list of</w:t>
      </w:r>
      <w:r w:rsidRPr="00BB3FCC">
        <w:t xml:space="preserve"> conditions to operate </w:t>
      </w:r>
      <w:r>
        <w:t xml:space="preserve">its coach-to-coach </w:t>
      </w:r>
      <w:r w:rsidRPr="00512F51">
        <w:rPr>
          <w:szCs w:val="22"/>
        </w:rPr>
        <w:t>communications</w:t>
      </w:r>
      <w:r>
        <w:t xml:space="preserve"> system </w:t>
      </w:r>
      <w:r w:rsidRPr="00BB3FCC">
        <w:t>pursuant to this waiver</w:t>
      </w:r>
      <w:r>
        <w:t>.</w:t>
      </w:r>
      <w:r>
        <w:rPr>
          <w:rStyle w:val="FootnoteReference"/>
        </w:rPr>
        <w:footnoteReference w:id="28"/>
      </w:r>
    </w:p>
    <w:p w:rsidR="00905819" w:rsidP="00AE5D60" w14:paraId="108A2185" w14:textId="1C2AA611">
      <w:pPr>
        <w:pStyle w:val="ParaNum"/>
        <w:widowControl/>
        <w:numPr>
          <w:ilvl w:val="0"/>
          <w:numId w:val="2"/>
        </w:numPr>
        <w:tabs>
          <w:tab w:val="clear" w:pos="1080"/>
          <w:tab w:val="num" w:pos="1440"/>
        </w:tabs>
      </w:pPr>
      <w:r>
        <w:t xml:space="preserve">In the instant case, Petitioner filed a </w:t>
      </w:r>
      <w:r w:rsidR="00D864E2">
        <w:t>r</w:t>
      </w:r>
      <w:r w:rsidRPr="00977665">
        <w:t>equest</w:t>
      </w:r>
      <w:r>
        <w:t xml:space="preserve"> on </w:t>
      </w:r>
      <w:r w:rsidR="0033676D">
        <w:t xml:space="preserve">May 5, </w:t>
      </w:r>
      <w:r w:rsidR="002E313D">
        <w:t>2022,</w:t>
      </w:r>
      <w:r w:rsidR="0033676D">
        <w:t xml:space="preserve"> to support an extension of the authority granted by the </w:t>
      </w:r>
      <w:r w:rsidR="00303654">
        <w:t xml:space="preserve">NFL </w:t>
      </w:r>
      <w:r w:rsidR="0033676D">
        <w:t xml:space="preserve">Waiver Order.  In its </w:t>
      </w:r>
      <w:r w:rsidR="00B7737E">
        <w:t>r</w:t>
      </w:r>
      <w:r w:rsidR="0033676D">
        <w:t xml:space="preserve">equest, the NFL </w:t>
      </w:r>
      <w:r w:rsidR="00003E25">
        <w:t xml:space="preserve">indicated that operation pursuant to its waiver was never required </w:t>
      </w:r>
      <w:r w:rsidR="00DD1D08">
        <w:t xml:space="preserve">at any time </w:t>
      </w:r>
      <w:r w:rsidR="00003E25">
        <w:t>during the 2021-2022 NFL season</w:t>
      </w:r>
      <w:r w:rsidR="00997734">
        <w:t xml:space="preserve"> and that the level of ISP redundancy implemented proved sufficient to avoid operation of the </w:t>
      </w:r>
      <w:r w:rsidR="008F1127">
        <w:t>Citizens Broadband Radio Service</w:t>
      </w:r>
      <w:r w:rsidR="00997734">
        <w:t xml:space="preserve"> </w:t>
      </w:r>
      <w:r w:rsidR="00997734">
        <w:t xml:space="preserve">system </w:t>
      </w:r>
      <w:r w:rsidR="00322BB4">
        <w:t xml:space="preserve">pursuant to the waiver </w:t>
      </w:r>
      <w:r w:rsidR="00997734">
        <w:t xml:space="preserve">during the single reported incident of </w:t>
      </w:r>
      <w:r w:rsidR="00190F18">
        <w:t>ISP outage.</w:t>
      </w:r>
      <w:r>
        <w:rPr>
          <w:rStyle w:val="FootnoteReference"/>
        </w:rPr>
        <w:footnoteReference w:id="29"/>
      </w:r>
      <w:r w:rsidR="004D7C00">
        <w:t xml:space="preserve">  Nevertheless, the NFL stated that continuation of the waiver, on the same terms and conditions as set forth in the </w:t>
      </w:r>
      <w:r w:rsidR="00303654">
        <w:t xml:space="preserve">NFL </w:t>
      </w:r>
      <w:r w:rsidR="004D7C00">
        <w:t>Waiver Order, is “necessary for precisely the same reason that prompted the original waiver request.”</w:t>
      </w:r>
      <w:r>
        <w:rPr>
          <w:rStyle w:val="FootnoteReference"/>
        </w:rPr>
        <w:footnoteReference w:id="30"/>
      </w:r>
      <w:r w:rsidR="00CA082B">
        <w:t xml:space="preserve">  In addition, the NFL asserts that the one-year waiver period is insufficient to support long term planning for its </w:t>
      </w:r>
      <w:r w:rsidR="008F1127">
        <w:t>Citizens Broadband Radio Service</w:t>
      </w:r>
      <w:r w:rsidR="00CA082B">
        <w:t xml:space="preserve"> deployment</w:t>
      </w:r>
      <w:r w:rsidR="00A61B2C">
        <w:t xml:space="preserve"> and that a </w:t>
      </w:r>
      <w:r w:rsidR="000C1EC7">
        <w:t>three</w:t>
      </w:r>
      <w:r w:rsidR="00A61B2C">
        <w:t>-year period would allow it</w:t>
      </w:r>
      <w:r w:rsidR="000211CD">
        <w:t xml:space="preserve"> to</w:t>
      </w:r>
      <w:r w:rsidR="00A61B2C">
        <w:t xml:space="preserve"> assess the need for a tertiary level of ISP redundancy and for the Commission </w:t>
      </w:r>
      <w:r w:rsidR="006679D9">
        <w:t>to consider a broader solution</w:t>
      </w:r>
      <w:r w:rsidR="00CA082B">
        <w:t>.</w:t>
      </w:r>
      <w:r>
        <w:rPr>
          <w:rStyle w:val="FootnoteReference"/>
        </w:rPr>
        <w:footnoteReference w:id="31"/>
      </w:r>
      <w:r w:rsidR="006679D9">
        <w:t xml:space="preserve">  </w:t>
      </w:r>
      <w:r w:rsidR="00D94D6A">
        <w:t xml:space="preserve">The </w:t>
      </w:r>
      <w:r w:rsidR="00C20A0B">
        <w:t xml:space="preserve">NFL </w:t>
      </w:r>
      <w:r w:rsidR="00D94D6A">
        <w:t xml:space="preserve">Waiver </w:t>
      </w:r>
      <w:r w:rsidR="00EC791A">
        <w:t xml:space="preserve">Extension </w:t>
      </w:r>
      <w:r w:rsidR="00D94D6A">
        <w:t>Request also reiterates th</w:t>
      </w:r>
      <w:r w:rsidR="00B86197">
        <w:t xml:space="preserve">e points made in its original waiver request regarding the </w:t>
      </w:r>
      <w:r w:rsidR="00454361">
        <w:t xml:space="preserve">scope of the waiver being limited to only NFL football games at 30 stadiums in 23 States during the 2022-2023 season, </w:t>
      </w:r>
      <w:r w:rsidR="00492C57">
        <w:t xml:space="preserve">the </w:t>
      </w:r>
      <w:r w:rsidR="008F1127">
        <w:t>Citizens Broadband Radio Service</w:t>
      </w:r>
      <w:r w:rsidR="00492C57">
        <w:t xml:space="preserve"> system only being utilized </w:t>
      </w:r>
      <w:r w:rsidR="002464D1">
        <w:t xml:space="preserve">between August and February </w:t>
      </w:r>
      <w:r w:rsidR="00492C57">
        <w:t xml:space="preserve">during the playing of </w:t>
      </w:r>
      <w:r w:rsidR="0091478C">
        <w:t xml:space="preserve">272 </w:t>
      </w:r>
      <w:r w:rsidR="00492C57">
        <w:t>regular</w:t>
      </w:r>
      <w:r w:rsidR="0091478C">
        <w:t xml:space="preserve"> and 63</w:t>
      </w:r>
      <w:r w:rsidR="00492C57">
        <w:t xml:space="preserve"> pre- and post-season games, adding up to </w:t>
      </w:r>
      <w:r w:rsidR="002E557C">
        <w:t xml:space="preserve">approximately </w:t>
      </w:r>
      <w:r w:rsidR="00492C57">
        <w:t>66 hours</w:t>
      </w:r>
      <w:r w:rsidR="002E557C">
        <w:t xml:space="preserve"> for any particular stadium</w:t>
      </w:r>
      <w:r w:rsidR="00492C57">
        <w:t xml:space="preserve"> in a one-year period.</w:t>
      </w:r>
      <w:r>
        <w:rPr>
          <w:rStyle w:val="FootnoteReference"/>
        </w:rPr>
        <w:footnoteReference w:id="32"/>
      </w:r>
      <w:r w:rsidR="005E5DB1">
        <w:t xml:space="preserve">  The NFL </w:t>
      </w:r>
      <w:r w:rsidR="00A21A03">
        <w:t xml:space="preserve">asserts that the waiver extension can be granted with the same conditions adopted by the </w:t>
      </w:r>
      <w:r w:rsidR="000919BC">
        <w:t xml:space="preserve">NFL </w:t>
      </w:r>
      <w:r w:rsidR="00A21A03">
        <w:t>Waiver Order</w:t>
      </w:r>
      <w:r w:rsidR="008D6883">
        <w:t xml:space="preserve"> because </w:t>
      </w:r>
      <w:r w:rsidR="000E27A1">
        <w:t xml:space="preserve">the factors justifying the </w:t>
      </w:r>
      <w:r w:rsidR="00FD6F75">
        <w:t xml:space="preserve">original </w:t>
      </w:r>
      <w:r w:rsidR="000E27A1">
        <w:t>grant remain present.</w:t>
      </w:r>
      <w:r>
        <w:rPr>
          <w:rStyle w:val="FootnoteReference"/>
        </w:rPr>
        <w:footnoteReference w:id="33"/>
      </w:r>
      <w:r w:rsidR="00A21A03">
        <w:t xml:space="preserve">  </w:t>
      </w:r>
    </w:p>
    <w:p w:rsidR="00281F24" w:rsidRPr="00BB3FCC" w:rsidP="00AE5D60" w14:paraId="6AC93F3C" w14:textId="5D2CC139">
      <w:pPr>
        <w:pStyle w:val="ParaNum"/>
        <w:widowControl/>
        <w:numPr>
          <w:ilvl w:val="0"/>
          <w:numId w:val="2"/>
        </w:numPr>
        <w:tabs>
          <w:tab w:val="clear" w:pos="1080"/>
          <w:tab w:val="num" w:pos="1440"/>
        </w:tabs>
      </w:pPr>
      <w:r>
        <w:t xml:space="preserve">In the absence of any opposition in the record, </w:t>
      </w:r>
      <w:r w:rsidR="0075439B">
        <w:t xml:space="preserve">and </w:t>
      </w:r>
      <w:r>
        <w:t xml:space="preserve">the fact that </w:t>
      </w:r>
      <w:r w:rsidR="005C156B">
        <w:t xml:space="preserve">Petitioner has demonstrated that its operational parameters, </w:t>
      </w:r>
      <w:r w:rsidR="00243D7F">
        <w:t xml:space="preserve">in concert with conditions imposed by the </w:t>
      </w:r>
      <w:r w:rsidR="0091478C">
        <w:t>NFL</w:t>
      </w:r>
      <w:r w:rsidR="00826C9A">
        <w:t xml:space="preserve"> </w:t>
      </w:r>
      <w:r w:rsidR="00243D7F">
        <w:t xml:space="preserve">Waiver Order, </w:t>
      </w:r>
      <w:r w:rsidR="0075439B">
        <w:t xml:space="preserve">and </w:t>
      </w:r>
      <w:r w:rsidR="00793FD5">
        <w:t xml:space="preserve">built-in ISP redundancy </w:t>
      </w:r>
      <w:r w:rsidR="00243D7F">
        <w:t>have thus far ensured compliance with all applicable service rules</w:t>
      </w:r>
      <w:r w:rsidR="009D5EDD">
        <w:t xml:space="preserve">, minimized </w:t>
      </w:r>
      <w:r w:rsidR="003E5E8D">
        <w:t xml:space="preserve">the potential for </w:t>
      </w:r>
      <w:r w:rsidR="009D5EDD">
        <w:t xml:space="preserve">harmful interference, and </w:t>
      </w:r>
      <w:r w:rsidR="0075439B">
        <w:t>precluded the need to operate pursuant to the waiver,</w:t>
      </w:r>
      <w:r w:rsidR="00C22C41">
        <w:t xml:space="preserve"> we find that Petitioner’s showing, subject to conditions </w:t>
      </w:r>
      <w:r w:rsidR="00A35692">
        <w:t xml:space="preserve">imposed </w:t>
      </w:r>
      <w:r w:rsidR="00C22C41">
        <w:t>herein, meets the requirements of the first waiver standard set forth in section 1.925 of the Commission’s rules.  Accordingly, we grant a conditional waiver of section 96.39(c)(2)</w:t>
      </w:r>
      <w:r w:rsidR="007E647D">
        <w:t xml:space="preserve"> of the Commission’s rules to allow Petitioner to operate its coach-to-coach communications systems without connectivity to an SAS in the event of localized Internet outage in an NFL stadium during an NFL football game throughout the 202</w:t>
      </w:r>
      <w:r w:rsidR="00FD6F75">
        <w:t>2</w:t>
      </w:r>
      <w:r w:rsidR="007E647D">
        <w:t>-202</w:t>
      </w:r>
      <w:r w:rsidR="00FD6F75">
        <w:t>3</w:t>
      </w:r>
      <w:r w:rsidR="007E647D">
        <w:t xml:space="preserve"> NFL season.</w:t>
      </w:r>
      <w:r w:rsidR="001445ED">
        <w:t xml:space="preserve">  </w:t>
      </w:r>
      <w:r w:rsidRPr="00BB3FCC" w:rsidR="001445ED">
        <w:t xml:space="preserve">This waiver applies only to the Citizens Broadband Radio Service system used for coach-to-coach communications during, and up to two hours immediately prior to an NFL football game, in the event of a complete Internet outage that prevents </w:t>
      </w:r>
      <w:r w:rsidR="001445ED">
        <w:t xml:space="preserve">the </w:t>
      </w:r>
      <w:r w:rsidRPr="00BB3FCC" w:rsidR="001445ED">
        <w:t>CBSDs</w:t>
      </w:r>
      <w:r w:rsidR="001445ED">
        <w:t xml:space="preserve"> that comprise this system</w:t>
      </w:r>
      <w:r w:rsidRPr="00BB3FCC" w:rsidR="001445ED">
        <w:t xml:space="preserve"> from contacting </w:t>
      </w:r>
      <w:r w:rsidR="001445ED">
        <w:t>an</w:t>
      </w:r>
      <w:r w:rsidRPr="00BB3FCC" w:rsidR="001445ED">
        <w:t xml:space="preserve"> SAS.</w:t>
      </w:r>
      <w:r w:rsidR="001445ED">
        <w:t xml:space="preserve">  Consistent with the </w:t>
      </w:r>
      <w:r w:rsidR="0088525F">
        <w:t xml:space="preserve">NFL </w:t>
      </w:r>
      <w:r w:rsidR="001445ED">
        <w:t>Waiver Order</w:t>
      </w:r>
      <w:r w:rsidR="00FC45CF">
        <w:t xml:space="preserve">, </w:t>
      </w:r>
      <w:r w:rsidRPr="00BB3FCC" w:rsidR="00314C45">
        <w:t xml:space="preserve">we </w:t>
      </w:r>
      <w:r w:rsidR="00FC45CF">
        <w:t xml:space="preserve">will require </w:t>
      </w:r>
      <w:r w:rsidR="00314C45">
        <w:t>Petitioner</w:t>
      </w:r>
      <w:r w:rsidRPr="00BB3FCC" w:rsidR="00314C45">
        <w:t xml:space="preserve"> </w:t>
      </w:r>
      <w:r w:rsidR="00FC45CF">
        <w:t>to</w:t>
      </w:r>
      <w:r w:rsidRPr="00BB3FCC" w:rsidR="00314C45">
        <w:t xml:space="preserve"> comply with the </w:t>
      </w:r>
      <w:r w:rsidRPr="001445ED" w:rsidR="00314C45">
        <w:rPr>
          <w:szCs w:val="22"/>
        </w:rPr>
        <w:t>following</w:t>
      </w:r>
      <w:r w:rsidRPr="00BB3FCC" w:rsidR="00314C45">
        <w:t xml:space="preserve"> conditions to operate </w:t>
      </w:r>
      <w:r w:rsidR="00314C45">
        <w:t xml:space="preserve">its coach-to-coach communications system </w:t>
      </w:r>
      <w:r w:rsidRPr="00BB3FCC" w:rsidR="00314C45">
        <w:t>pursuant to this waiver:</w:t>
      </w:r>
      <w:r>
        <w:rPr>
          <w:rStyle w:val="FootnoteReference"/>
        </w:rPr>
        <w:footnoteReference w:id="34"/>
      </w:r>
    </w:p>
    <w:p w:rsidR="00281F24" w:rsidRPr="00BB3FCC" w:rsidP="00281F24" w14:paraId="458BD130" w14:textId="77777777">
      <w:pPr>
        <w:pStyle w:val="ParaNum"/>
        <w:widowControl/>
        <w:numPr>
          <w:ilvl w:val="0"/>
          <w:numId w:val="7"/>
        </w:numPr>
      </w:pPr>
      <w:r w:rsidRPr="00BB3FCC">
        <w:t>Petitioner must utilize at least two independent, unaffiliated Internet Service Providers with separate physical connections at each NFL stad</w:t>
      </w:r>
      <w:r w:rsidRPr="00890410">
        <w:t>ium thro</w:t>
      </w:r>
      <w:r w:rsidRPr="00BB3FCC">
        <w:t>ughout the season</w:t>
      </w:r>
      <w:r>
        <w:t>;</w:t>
      </w:r>
    </w:p>
    <w:p w:rsidR="00281F24" w:rsidRPr="00BB3FCC" w:rsidP="00281F24" w14:paraId="1FE509F6" w14:textId="77777777">
      <w:pPr>
        <w:pStyle w:val="ParaNum"/>
        <w:widowControl/>
        <w:numPr>
          <w:ilvl w:val="0"/>
          <w:numId w:val="7"/>
        </w:numPr>
      </w:pPr>
      <w:r w:rsidRPr="00BB3FCC">
        <w:t xml:space="preserve">Petitioner must have a valid and active </w:t>
      </w:r>
      <w:r>
        <w:t xml:space="preserve">authorization </w:t>
      </w:r>
      <w:r w:rsidRPr="00BB3FCC">
        <w:t>from an SAS for its operations</w:t>
      </w:r>
      <w:r>
        <w:t xml:space="preserve"> at the time of the outage;</w:t>
      </w:r>
    </w:p>
    <w:p w:rsidR="00281F24" w:rsidP="00281F24" w14:paraId="30BBEEF2" w14:textId="157CDC7F">
      <w:pPr>
        <w:pStyle w:val="ParaNum"/>
        <w:widowControl/>
        <w:numPr>
          <w:ilvl w:val="0"/>
          <w:numId w:val="7"/>
        </w:numPr>
      </w:pPr>
      <w:r w:rsidRPr="00BB3FCC">
        <w:t xml:space="preserve">Petitioner must </w:t>
      </w:r>
      <w:r>
        <w:t>provide the Bureau with a point of contact that will be available to receive and immediately address interference reports from federal incumbent users during NFL</w:t>
      </w:r>
      <w:r w:rsidR="009506D3">
        <w:t xml:space="preserve"> </w:t>
      </w:r>
      <w:r>
        <w:t>games;</w:t>
      </w:r>
    </w:p>
    <w:p w:rsidR="00281F24" w:rsidRPr="00BB3FCC" w:rsidP="00281F24" w14:paraId="34CA85D1" w14:textId="77777777">
      <w:pPr>
        <w:pStyle w:val="ParaNum"/>
        <w:widowControl/>
        <w:numPr>
          <w:ilvl w:val="0"/>
          <w:numId w:val="7"/>
        </w:numPr>
      </w:pPr>
      <w:r>
        <w:t xml:space="preserve">Petitioner must </w:t>
      </w:r>
      <w:r w:rsidRPr="00BB3FCC">
        <w:t xml:space="preserve">immediately shut down operations if </w:t>
      </w:r>
      <w:r>
        <w:t>any authorized Incumbent Access or Priority Access tier user reports harmful interference to their operations in the band while the NFL is operating pursuant to this waiver;</w:t>
      </w:r>
    </w:p>
    <w:p w:rsidR="00281F24" w:rsidRPr="00BB3FCC" w:rsidP="00281F24" w14:paraId="587C7CD7" w14:textId="77777777">
      <w:pPr>
        <w:pStyle w:val="ParaNum"/>
        <w:widowControl/>
        <w:numPr>
          <w:ilvl w:val="0"/>
          <w:numId w:val="7"/>
        </w:numPr>
      </w:pPr>
      <w:r w:rsidRPr="00BB3FCC">
        <w:t>Operations pursuant to this waiver are limited to the 3650-3700 MHz band segment</w:t>
      </w:r>
      <w:r>
        <w:t>;</w:t>
      </w:r>
    </w:p>
    <w:p w:rsidR="00281F24" w:rsidRPr="00BB3FCC" w:rsidP="00281F24" w14:paraId="3ACE1CBF" w14:textId="77777777">
      <w:pPr>
        <w:pStyle w:val="ParaNum"/>
        <w:widowControl/>
        <w:numPr>
          <w:ilvl w:val="0"/>
          <w:numId w:val="7"/>
        </w:numPr>
      </w:pPr>
      <w:r w:rsidRPr="00BB3FCC">
        <w:t>This waiver is limited to localized Internet outages affecting Internet connectivity to equipment within the stadium and does not apply to outages affecting the SAS itself</w:t>
      </w:r>
      <w:r>
        <w:t>;</w:t>
      </w:r>
    </w:p>
    <w:p w:rsidR="00281F24" w:rsidRPr="00BB3FCC" w:rsidP="00281F24" w14:paraId="1031A0A9" w14:textId="77777777">
      <w:pPr>
        <w:pStyle w:val="ParaNum"/>
        <w:widowControl/>
        <w:numPr>
          <w:ilvl w:val="0"/>
          <w:numId w:val="7"/>
        </w:numPr>
      </w:pPr>
      <w:r w:rsidRPr="00BB3FCC">
        <w:t xml:space="preserve">Within 24 hours of any operations pursuant to the waiver, Petitioner must submit a report </w:t>
      </w:r>
      <w:r w:rsidRPr="00890410">
        <w:t>to the Bureau</w:t>
      </w:r>
      <w:r>
        <w:t xml:space="preserve"> detailing the circumstances of the outage, including the Internet providers affected, gameday downtime for each provider, and </w:t>
      </w:r>
      <w:r w:rsidRPr="00BB3FCC">
        <w:t>any mitigation efforts undertaken by Petitioner</w:t>
      </w:r>
      <w:r>
        <w:t xml:space="preserve"> </w:t>
      </w:r>
      <w:r w:rsidRPr="00BB3FCC">
        <w:t xml:space="preserve">or </w:t>
      </w:r>
      <w:r>
        <w:t>other associated entities with responsibility for gameday operations or communications (e.g., NFL teams, stadium crews, spectrum managers, etc.)</w:t>
      </w:r>
      <w:r w:rsidRPr="00BB3FCC">
        <w:t xml:space="preserve"> </w:t>
      </w:r>
      <w:r>
        <w:t>t</w:t>
      </w:r>
      <w:r w:rsidRPr="00BB3FCC">
        <w:t>o re-establish connectivity or establish an alternate means of communicating with the SAS.</w:t>
      </w:r>
    </w:p>
    <w:p w:rsidR="00281F24" w:rsidRPr="00BB3FCC" w:rsidP="00281F24" w14:paraId="5AED1BA1" w14:textId="0AB05ED5">
      <w:pPr>
        <w:pStyle w:val="ParaNum"/>
        <w:widowControl/>
        <w:numPr>
          <w:ilvl w:val="0"/>
          <w:numId w:val="7"/>
        </w:numPr>
      </w:pPr>
      <w:r w:rsidRPr="00BB3FCC">
        <w:t>Within 30 days of Super Bowl</w:t>
      </w:r>
      <w:r>
        <w:t xml:space="preserve"> LVI</w:t>
      </w:r>
      <w:r w:rsidR="003A16AE">
        <w:t>I</w:t>
      </w:r>
      <w:r w:rsidRPr="00BB3FCC">
        <w:t xml:space="preserve">, </w:t>
      </w:r>
      <w:r>
        <w:t>Petitioner</w:t>
      </w:r>
      <w:r w:rsidRPr="00BB3FCC">
        <w:t xml:space="preserve"> must submit a full report detailing:</w:t>
      </w:r>
    </w:p>
    <w:p w:rsidR="00281F24" w:rsidRPr="00BB3FCC" w:rsidP="00281F24" w14:paraId="5549DE15" w14:textId="77777777">
      <w:pPr>
        <w:pStyle w:val="ParaNum"/>
        <w:widowControl/>
        <w:numPr>
          <w:ilvl w:val="1"/>
          <w:numId w:val="7"/>
        </w:numPr>
      </w:pPr>
      <w:r w:rsidRPr="00BB3FCC">
        <w:t>all Internet Service Providers used for CBSD connectivity at each NFL stadium;</w:t>
      </w:r>
    </w:p>
    <w:p w:rsidR="00281F24" w:rsidP="00281F24" w14:paraId="0DD9A95E" w14:textId="77777777">
      <w:pPr>
        <w:pStyle w:val="ParaNum"/>
        <w:widowControl/>
        <w:numPr>
          <w:ilvl w:val="1"/>
          <w:numId w:val="7"/>
        </w:numPr>
      </w:pPr>
      <w:r w:rsidRPr="00BB3FCC">
        <w:t>gameday downtime for each provider including specific dates and times of any and all outages</w:t>
      </w:r>
      <w:r>
        <w:t xml:space="preserve"> (including those that do not result in operations pursuant to this waiver)</w:t>
      </w:r>
      <w:r w:rsidRPr="00BB3FCC">
        <w:t xml:space="preserve">; </w:t>
      </w:r>
    </w:p>
    <w:p w:rsidR="00281F24" w:rsidRPr="00BB3FCC" w:rsidP="00281F24" w14:paraId="7243378A" w14:textId="77777777">
      <w:pPr>
        <w:pStyle w:val="ParaNum"/>
        <w:widowControl/>
        <w:numPr>
          <w:ilvl w:val="1"/>
          <w:numId w:val="7"/>
        </w:numPr>
      </w:pPr>
      <w:r>
        <w:t>details about any games in which Petitioner operated its coach-to-coach communications system pursuant to this waiver, including the specific dates and times of any such operations;</w:t>
      </w:r>
    </w:p>
    <w:p w:rsidR="00281F24" w:rsidRPr="00890410" w:rsidP="00281F24" w14:paraId="17B69269" w14:textId="3930066F">
      <w:pPr>
        <w:pStyle w:val="ParaNum"/>
        <w:widowControl/>
        <w:numPr>
          <w:ilvl w:val="1"/>
          <w:numId w:val="7"/>
        </w:numPr>
      </w:pPr>
      <w:r w:rsidRPr="00BB3FCC">
        <w:t xml:space="preserve">any mitigation efforts undertaken by Petitioner or </w:t>
      </w:r>
      <w:r>
        <w:t>other associated entities with responsibility for gameday operations or communications (e.g., NFL teams, stadium crews, spectrum managers, etc.)</w:t>
      </w:r>
      <w:r w:rsidRPr="00BB3FCC">
        <w:t xml:space="preserve"> to re-establish connectivity or establish an alternate means of communicating with the SAS</w:t>
      </w:r>
      <w:r>
        <w:t xml:space="preserve"> in the event </w:t>
      </w:r>
      <w:r w:rsidR="0085229A">
        <w:t>o</w:t>
      </w:r>
      <w:r>
        <w:t>f any Internet outage during an NFL game (including those that do not result in operations pursuant to this waiver)</w:t>
      </w:r>
      <w:r w:rsidRPr="00BB3FCC">
        <w:t xml:space="preserve">. </w:t>
      </w:r>
    </w:p>
    <w:p w:rsidR="00281F24" w:rsidRPr="008C3340" w:rsidP="00281F24" w14:paraId="521B8190" w14:textId="7C85615E">
      <w:pPr>
        <w:pStyle w:val="ParaNum"/>
        <w:widowControl/>
        <w:numPr>
          <w:ilvl w:val="0"/>
          <w:numId w:val="7"/>
        </w:numPr>
      </w:pPr>
      <w:r w:rsidRPr="00BB3FCC">
        <w:t>The waiver is limited to the duration of the 202</w:t>
      </w:r>
      <w:r w:rsidR="00B57119">
        <w:t>2</w:t>
      </w:r>
      <w:r w:rsidRPr="00BB3FCC">
        <w:t>-202</w:t>
      </w:r>
      <w:r w:rsidR="00B57119">
        <w:t>3</w:t>
      </w:r>
      <w:r w:rsidRPr="00BB3FCC">
        <w:t xml:space="preserve"> </w:t>
      </w:r>
      <w:r w:rsidR="009506D3">
        <w:t xml:space="preserve">NFL </w:t>
      </w:r>
      <w:r w:rsidRPr="00BB3FCC">
        <w:t xml:space="preserve">season and expires after Super Bowl </w:t>
      </w:r>
      <w:r>
        <w:t>LVI</w:t>
      </w:r>
      <w:r w:rsidR="00B57119">
        <w:t xml:space="preserve">I </w:t>
      </w:r>
      <w:r w:rsidRPr="00BB3FCC">
        <w:t xml:space="preserve">(currently scheduled for February </w:t>
      </w:r>
      <w:r>
        <w:t>1</w:t>
      </w:r>
      <w:r w:rsidR="001D2034">
        <w:t>2</w:t>
      </w:r>
      <w:r w:rsidRPr="00BB3FCC">
        <w:t>, 202</w:t>
      </w:r>
      <w:r w:rsidR="001D2034">
        <w:t>3</w:t>
      </w:r>
      <w:r w:rsidRPr="00BB3FCC">
        <w:t>).</w:t>
      </w:r>
    </w:p>
    <w:p w:rsidR="00DF21FD" w:rsidP="00DF21FD" w14:paraId="4AF4CD8D" w14:textId="5156DE69">
      <w:pPr>
        <w:pStyle w:val="ParaNum"/>
        <w:widowControl/>
        <w:numPr>
          <w:ilvl w:val="0"/>
          <w:numId w:val="2"/>
        </w:numPr>
        <w:tabs>
          <w:tab w:val="clear" w:pos="1080"/>
          <w:tab w:val="num" w:pos="1440"/>
        </w:tabs>
      </w:pPr>
      <w:r w:rsidRPr="00BB3FCC">
        <w:t>We find that,</w:t>
      </w:r>
      <w:r w:rsidRPr="008C3340">
        <w:t xml:space="preserve"> as </w:t>
      </w:r>
      <w:r w:rsidR="00270F80">
        <w:t>before</w:t>
      </w:r>
      <w:r w:rsidRPr="008C3340">
        <w:t>,</w:t>
      </w:r>
      <w:r w:rsidR="00270F80">
        <w:t xml:space="preserve"> these conditions will </w:t>
      </w:r>
      <w:r w:rsidR="003C0A96">
        <w:t>minimize the risk that Petitioner’s operations</w:t>
      </w:r>
      <w:r w:rsidRPr="008C3340">
        <w:t xml:space="preserve"> </w:t>
      </w:r>
      <w:r w:rsidR="003C0A96">
        <w:t xml:space="preserve">will </w:t>
      </w:r>
      <w:r w:rsidRPr="008C3340">
        <w:t>cause</w:t>
      </w:r>
      <w:r w:rsidR="000D4F0C">
        <w:t xml:space="preserve"> harmful</w:t>
      </w:r>
      <w:r w:rsidRPr="008C3340">
        <w:t xml:space="preserve"> </w:t>
      </w:r>
      <w:r w:rsidRPr="0056553A">
        <w:rPr>
          <w:szCs w:val="22"/>
        </w:rPr>
        <w:t>interference</w:t>
      </w:r>
      <w:r w:rsidRPr="008C3340">
        <w:t xml:space="preserve"> to other </w:t>
      </w:r>
      <w:r w:rsidR="00CD606B">
        <w:t xml:space="preserve">Citizens Broadband Radio Service </w:t>
      </w:r>
      <w:r w:rsidR="005648B0">
        <w:t>operators</w:t>
      </w:r>
      <w:r w:rsidRPr="008C3340">
        <w:t xml:space="preserve"> or meaningfully impede the SAS’s ability to coordinate operations in the band an</w:t>
      </w:r>
      <w:r>
        <w:t>d, as such,</w:t>
      </w:r>
      <w:r w:rsidRPr="008C3340">
        <w:t xml:space="preserve"> strictly applying the requirements of </w:t>
      </w:r>
      <w:r w:rsidR="00051B56">
        <w:t xml:space="preserve">section </w:t>
      </w:r>
      <w:r w:rsidRPr="008C3340">
        <w:t>96.39</w:t>
      </w:r>
      <w:r w:rsidR="001C6328">
        <w:t>(c)</w:t>
      </w:r>
      <w:r w:rsidRPr="008C3340">
        <w:t>(2) would not serve the purpose</w:t>
      </w:r>
      <w:r>
        <w:t xml:space="preserve"> of the rule</w:t>
      </w:r>
      <w:r w:rsidRPr="008C3340">
        <w:t xml:space="preserve">.  </w:t>
      </w:r>
      <w:r w:rsidR="00270F80">
        <w:t>As we noted in the NFL Waiver Order,</w:t>
      </w:r>
      <w:r w:rsidRPr="0056553A">
        <w:rPr>
          <w:i/>
          <w:iCs/>
        </w:rPr>
        <w:t xml:space="preserve"> </w:t>
      </w:r>
      <w:r w:rsidRPr="00761878">
        <w:t>the underlying purpose of the rule</w:t>
      </w:r>
      <w:r>
        <w:t xml:space="preserve"> is </w:t>
      </w:r>
      <w:r w:rsidRPr="00761878">
        <w:t>to ensure operations in the band are properly authorized</w:t>
      </w:r>
      <w:r w:rsidR="00B7731D">
        <w:t>,</w:t>
      </w:r>
      <w:r w:rsidRPr="00505E2B">
        <w:t xml:space="preserve"> prevent interference</w:t>
      </w:r>
      <w:r>
        <w:t xml:space="preserve"> to other authorized users</w:t>
      </w:r>
      <w:r w:rsidR="00B7731D">
        <w:t>, and ensure effective coexistence of all tiers of users in the band</w:t>
      </w:r>
      <w:r>
        <w:t>.</w:t>
      </w:r>
      <w:r>
        <w:rPr>
          <w:rStyle w:val="FootnoteReference"/>
        </w:rPr>
        <w:footnoteReference w:id="35"/>
      </w:r>
      <w:r>
        <w:t xml:space="preserve"> </w:t>
      </w:r>
      <w:r w:rsidRPr="00890410">
        <w:t xml:space="preserve"> </w:t>
      </w:r>
      <w:r>
        <w:t xml:space="preserve">We believe that the </w:t>
      </w:r>
      <w:r w:rsidRPr="00BB3FCC">
        <w:t>operational</w:t>
      </w:r>
      <w:r>
        <w:t xml:space="preserve"> parameters </w:t>
      </w:r>
      <w:r w:rsidR="00181B97">
        <w:t>in combination with</w:t>
      </w:r>
      <w:r w:rsidRPr="00BB3FCC">
        <w:t xml:space="preserve"> the conditions imposed herein</w:t>
      </w:r>
      <w:r>
        <w:t xml:space="preserve"> </w:t>
      </w:r>
      <w:r w:rsidRPr="00BB3FCC">
        <w:t xml:space="preserve">will </w:t>
      </w:r>
      <w:r>
        <w:t>minimize the chances that</w:t>
      </w:r>
      <w:r w:rsidRPr="008C3340">
        <w:t xml:space="preserve"> Petitioner’s operations </w:t>
      </w:r>
      <w:r>
        <w:t>will</w:t>
      </w:r>
      <w:r w:rsidRPr="008C3340">
        <w:t xml:space="preserve"> cause </w:t>
      </w:r>
      <w:r>
        <w:t xml:space="preserve">harmful </w:t>
      </w:r>
      <w:r w:rsidRPr="008C3340">
        <w:t>interference</w:t>
      </w:r>
      <w:r>
        <w:t xml:space="preserve"> thus</w:t>
      </w:r>
      <w:r w:rsidRPr="008338A3">
        <w:t xml:space="preserve"> ensur</w:t>
      </w:r>
      <w:r w:rsidR="009B1B05">
        <w:t>ing</w:t>
      </w:r>
      <w:r w:rsidRPr="008338A3">
        <w:t xml:space="preserve"> that the underlying purpose of the rule is served and that the grant of the waiver is in the public </w:t>
      </w:r>
      <w:r w:rsidRPr="005C0517">
        <w:t>interest.</w:t>
      </w:r>
      <w:r>
        <w:t xml:space="preserve">  </w:t>
      </w:r>
      <w:r w:rsidRPr="00FE702D">
        <w:t xml:space="preserve">We </w:t>
      </w:r>
      <w:r w:rsidRPr="0056553A">
        <w:rPr>
          <w:szCs w:val="22"/>
        </w:rPr>
        <w:t>find</w:t>
      </w:r>
      <w:r w:rsidRPr="00FE702D">
        <w:t xml:space="preserve"> that due to the extremely limited nature of the waiver</w:t>
      </w:r>
      <w:r w:rsidRPr="0065015D">
        <w:t xml:space="preserve">, the short length of its applicability, and Petitioner’s ongoing compliance with all </w:t>
      </w:r>
      <w:r w:rsidR="00AC452E">
        <w:t xml:space="preserve">applicable </w:t>
      </w:r>
      <w:r w:rsidRPr="0065015D">
        <w:t xml:space="preserve">Commission rules, there are unique circumstances in favor of granting the requested </w:t>
      </w:r>
      <w:r>
        <w:t xml:space="preserve">conditional </w:t>
      </w:r>
      <w:r w:rsidRPr="0065015D">
        <w:t xml:space="preserve">waiver and that doing so would advance the public interest.  </w:t>
      </w:r>
    </w:p>
    <w:p w:rsidR="009B1B05" w:rsidP="007379AE" w14:paraId="7163692D" w14:textId="226A01DF">
      <w:pPr>
        <w:pStyle w:val="ParaNum"/>
        <w:widowControl/>
        <w:numPr>
          <w:ilvl w:val="0"/>
          <w:numId w:val="2"/>
        </w:numPr>
        <w:tabs>
          <w:tab w:val="clear" w:pos="1080"/>
          <w:tab w:val="num" w:pos="1440"/>
        </w:tabs>
      </w:pPr>
      <w:r>
        <w:t xml:space="preserve">While we find that a grant of a conditional waiver </w:t>
      </w:r>
      <w:r w:rsidR="00D5732D">
        <w:t>would</w:t>
      </w:r>
      <w:r>
        <w:t xml:space="preserve"> be consistent </w:t>
      </w:r>
      <w:r w:rsidR="009B1302">
        <w:t xml:space="preserve">with the underlying purpose of the rule and </w:t>
      </w:r>
      <w:r w:rsidR="00F904E0">
        <w:t>serve</w:t>
      </w:r>
      <w:r w:rsidR="009B1302">
        <w:t xml:space="preserve"> the public interest, we decline to grant </w:t>
      </w:r>
      <w:r w:rsidR="001C6328">
        <w:t>the waiver</w:t>
      </w:r>
      <w:r w:rsidR="009B1302">
        <w:t xml:space="preserve"> for the requested three-year period</w:t>
      </w:r>
      <w:r w:rsidR="00D5732D">
        <w:t xml:space="preserve">. </w:t>
      </w:r>
      <w:r w:rsidR="00D53DB7">
        <w:t xml:space="preserve"> </w:t>
      </w:r>
      <w:r w:rsidR="00D5732D">
        <w:t>We</w:t>
      </w:r>
      <w:r w:rsidR="009B1302">
        <w:t xml:space="preserve"> will instead restrict it to a period</w:t>
      </w:r>
      <w:r w:rsidR="001B3F5F">
        <w:t xml:space="preserve"> </w:t>
      </w:r>
      <w:r w:rsidR="000C1EC7">
        <w:t xml:space="preserve">of one NFL season </w:t>
      </w:r>
      <w:r w:rsidR="001B3F5F">
        <w:t xml:space="preserve">as Petitioner has not </w:t>
      </w:r>
      <w:r w:rsidR="001B3F5F">
        <w:t>demonstrated a need for a longer waiver period</w:t>
      </w:r>
      <w:r w:rsidR="009B1302">
        <w:t>.</w:t>
      </w:r>
      <w:r>
        <w:rPr>
          <w:rStyle w:val="FootnoteReference"/>
        </w:rPr>
        <w:footnoteReference w:id="36"/>
      </w:r>
      <w:r w:rsidR="009B1302">
        <w:t xml:space="preserve">  </w:t>
      </w:r>
      <w:r w:rsidR="00D5732D">
        <w:t xml:space="preserve">Although </w:t>
      </w:r>
      <w:r w:rsidRPr="00B7731D" w:rsidR="0072112E">
        <w:t>Petitioner</w:t>
      </w:r>
      <w:r w:rsidR="00D5732D">
        <w:t xml:space="preserve"> asserts that </w:t>
      </w:r>
      <w:r w:rsidR="008419C4">
        <w:t xml:space="preserve">the </w:t>
      </w:r>
      <w:r w:rsidR="001C6328">
        <w:t xml:space="preserve">three-year </w:t>
      </w:r>
      <w:r w:rsidR="008419C4">
        <w:t>period would permit it to explore different technologies</w:t>
      </w:r>
      <w:r w:rsidR="00772E1E">
        <w:t xml:space="preserve">, assess whether a tertiary level of </w:t>
      </w:r>
      <w:r w:rsidR="00EC1117">
        <w:t xml:space="preserve">ISP </w:t>
      </w:r>
      <w:r w:rsidR="00772E1E">
        <w:t>redundancy is needed,</w:t>
      </w:r>
      <w:r w:rsidR="008419C4">
        <w:t xml:space="preserve"> and relieve Commission staff from having to review multiple requests</w:t>
      </w:r>
      <w:r w:rsidR="002872B0">
        <w:t xml:space="preserve"> in a short window</w:t>
      </w:r>
      <w:r w:rsidR="008419C4">
        <w:t>,</w:t>
      </w:r>
      <w:r>
        <w:rPr>
          <w:rStyle w:val="FootnoteReference"/>
        </w:rPr>
        <w:footnoteReference w:id="37"/>
      </w:r>
      <w:r w:rsidR="008419C4">
        <w:t xml:space="preserve"> it also concede</w:t>
      </w:r>
      <w:r w:rsidR="002872B0">
        <w:t>s</w:t>
      </w:r>
      <w:r w:rsidR="008419C4">
        <w:t xml:space="preserve"> that the level of ISP redundancy implemented in each stadium </w:t>
      </w:r>
      <w:r w:rsidR="00541D3B">
        <w:t>i</w:t>
      </w:r>
      <w:r w:rsidR="008419C4">
        <w:t>s sufficient to make it “highly improbable”</w:t>
      </w:r>
      <w:r w:rsidR="002872B0">
        <w:t xml:space="preserve"> that its </w:t>
      </w:r>
      <w:r w:rsidR="008F1127">
        <w:t>Citizens Broadband Radio Service</w:t>
      </w:r>
      <w:r w:rsidR="002872B0">
        <w:t xml:space="preserve"> system would be operated pursuant to the waiver and that “</w:t>
      </w:r>
      <w:r w:rsidRPr="004626DF" w:rsidR="002872B0">
        <w:t>pending further experience, it has not been deemed necessary to implement any tertiary backup ISP system in any stadium</w:t>
      </w:r>
      <w:r w:rsidR="002872B0">
        <w:t>.”</w:t>
      </w:r>
      <w:r>
        <w:rPr>
          <w:rStyle w:val="FootnoteReference"/>
        </w:rPr>
        <w:footnoteReference w:id="38"/>
      </w:r>
      <w:r w:rsidR="002872B0">
        <w:t xml:space="preserve">  </w:t>
      </w:r>
      <w:r w:rsidR="000A0BD9">
        <w:t xml:space="preserve">Despite </w:t>
      </w:r>
      <w:r w:rsidR="002A0D78">
        <w:t xml:space="preserve">stating </w:t>
      </w:r>
      <w:r w:rsidR="000A0BD9">
        <w:t xml:space="preserve">that </w:t>
      </w:r>
      <w:r w:rsidR="008E43D9">
        <w:t>“</w:t>
      </w:r>
      <w:r w:rsidRPr="004626DF" w:rsidR="008E43D9">
        <w:t>there is not currently any evidence of that additional need</w:t>
      </w:r>
      <w:r w:rsidR="008E43D9">
        <w:t>,</w:t>
      </w:r>
      <w:r w:rsidR="000A0BD9">
        <w:t>”</w:t>
      </w:r>
      <w:r w:rsidR="008E43D9">
        <w:t xml:space="preserve"> </w:t>
      </w:r>
      <w:r w:rsidR="002872B0">
        <w:t>the NFL suggest</w:t>
      </w:r>
      <w:r w:rsidR="00500F87">
        <w:t>s</w:t>
      </w:r>
      <w:r w:rsidR="002872B0">
        <w:t xml:space="preserve"> that an </w:t>
      </w:r>
      <w:r w:rsidRPr="004626DF" w:rsidR="002872B0">
        <w:t>exten</w:t>
      </w:r>
      <w:r w:rsidR="002872B0">
        <w:t xml:space="preserve">sion of </w:t>
      </w:r>
      <w:r w:rsidRPr="004626DF" w:rsidR="002872B0">
        <w:t>the granted waiver</w:t>
      </w:r>
      <w:r w:rsidR="002872B0">
        <w:t xml:space="preserve"> would “reveal </w:t>
      </w:r>
      <w:r w:rsidRPr="004626DF" w:rsidR="002872B0">
        <w:t>any weaknesses in the ISP redundancy or the switching mechanism</w:t>
      </w:r>
      <w:r w:rsidR="002872B0">
        <w:t xml:space="preserve">” </w:t>
      </w:r>
      <w:r w:rsidR="004C293A">
        <w:t>and help</w:t>
      </w:r>
      <w:r w:rsidR="002872B0">
        <w:t xml:space="preserve"> determine if there is a need for</w:t>
      </w:r>
      <w:r w:rsidRPr="004626DF" w:rsidR="002872B0">
        <w:t xml:space="preserve"> </w:t>
      </w:r>
      <w:r w:rsidR="002872B0">
        <w:t>“</w:t>
      </w:r>
      <w:r w:rsidRPr="004626DF" w:rsidR="002872B0">
        <w:t>additional layers of redundancy</w:t>
      </w:r>
      <w:r w:rsidR="000A0BD9">
        <w:t>.</w:t>
      </w:r>
      <w:r w:rsidR="002872B0">
        <w:t>”</w:t>
      </w:r>
      <w:r>
        <w:rPr>
          <w:rStyle w:val="FootnoteReference"/>
        </w:rPr>
        <w:footnoteReference w:id="39"/>
      </w:r>
      <w:r w:rsidR="002872B0">
        <w:t xml:space="preserve">  </w:t>
      </w:r>
      <w:r w:rsidR="003D7DBC">
        <w:t>Given</w:t>
      </w:r>
      <w:r w:rsidR="00EF1EB1">
        <w:t xml:space="preserve"> that the </w:t>
      </w:r>
      <w:r w:rsidR="00B34177">
        <w:t xml:space="preserve">NFL reported only one isolated incident </w:t>
      </w:r>
      <w:r w:rsidR="00A2334B">
        <w:t xml:space="preserve">at </w:t>
      </w:r>
      <w:r w:rsidR="00B34177">
        <w:t>one of its games</w:t>
      </w:r>
      <w:r w:rsidR="00EF1EB1">
        <w:t xml:space="preserve"> </w:t>
      </w:r>
      <w:r w:rsidR="00B34177">
        <w:t>during the 2021-2022 season</w:t>
      </w:r>
      <w:r w:rsidR="00036160">
        <w:t xml:space="preserve">, and </w:t>
      </w:r>
      <w:r w:rsidR="008F2479">
        <w:t xml:space="preserve">considering </w:t>
      </w:r>
      <w:r w:rsidR="00CC460A">
        <w:t xml:space="preserve">the fact that </w:t>
      </w:r>
      <w:r w:rsidR="00036160">
        <w:t>a</w:t>
      </w:r>
      <w:r w:rsidR="003D7DBC">
        <w:t xml:space="preserve"> typical</w:t>
      </w:r>
      <w:r w:rsidR="00036160">
        <w:t xml:space="preserve"> NFL season involves 272 regular season games and 63 pre- and post-season games,</w:t>
      </w:r>
      <w:r>
        <w:rPr>
          <w:rStyle w:val="FootnoteReference"/>
        </w:rPr>
        <w:footnoteReference w:id="40"/>
      </w:r>
      <w:r w:rsidR="00036160">
        <w:t xml:space="preserve"> and</w:t>
      </w:r>
      <w:r w:rsidR="003D7DBC">
        <w:t xml:space="preserve"> the </w:t>
      </w:r>
      <w:r w:rsidR="008E686E">
        <w:t>NFL</w:t>
      </w:r>
      <w:r w:rsidR="00AE61AB">
        <w:t xml:space="preserve"> Report </w:t>
      </w:r>
      <w:r w:rsidR="00CC460A">
        <w:t xml:space="preserve">confirms </w:t>
      </w:r>
      <w:r w:rsidR="00D14E18">
        <w:t>that the</w:t>
      </w:r>
      <w:r w:rsidR="003732B4">
        <w:t xml:space="preserve"> existing</w:t>
      </w:r>
      <w:r w:rsidR="00EF1EB1">
        <w:t xml:space="preserve"> </w:t>
      </w:r>
      <w:r w:rsidR="00832701">
        <w:t xml:space="preserve">level of </w:t>
      </w:r>
      <w:r w:rsidR="00EF1EB1">
        <w:t>ISP redundancy</w:t>
      </w:r>
      <w:r w:rsidR="00610301">
        <w:t xml:space="preserve"> </w:t>
      </w:r>
      <w:r w:rsidR="00CC460A">
        <w:t>w</w:t>
      </w:r>
      <w:r w:rsidR="00D14E18">
        <w:t>as</w:t>
      </w:r>
      <w:r w:rsidR="00610301">
        <w:t xml:space="preserve"> </w:t>
      </w:r>
      <w:r w:rsidR="003D7DBC">
        <w:t xml:space="preserve">sufficient to </w:t>
      </w:r>
      <w:r w:rsidR="00EF1EB1">
        <w:t>address th</w:t>
      </w:r>
      <w:r w:rsidR="00610301">
        <w:t>at solitary event</w:t>
      </w:r>
      <w:r w:rsidR="00832701">
        <w:t xml:space="preserve">, </w:t>
      </w:r>
      <w:r w:rsidR="00610301">
        <w:t>prevent</w:t>
      </w:r>
      <w:r w:rsidR="00832701">
        <w:t xml:space="preserve">ing any loss of communication with the SAS and </w:t>
      </w:r>
      <w:r w:rsidR="00776721">
        <w:t xml:space="preserve">avoiding </w:t>
      </w:r>
      <w:r w:rsidR="00832701">
        <w:t>the need to operate pursuant to the waiver,</w:t>
      </w:r>
      <w:r>
        <w:rPr>
          <w:rStyle w:val="FootnoteReference"/>
        </w:rPr>
        <w:footnoteReference w:id="41"/>
      </w:r>
      <w:r w:rsidR="00832701">
        <w:t xml:space="preserve"> we find that an additional </w:t>
      </w:r>
      <w:r w:rsidR="002A0D78">
        <w:t xml:space="preserve">season </w:t>
      </w:r>
      <w:r w:rsidR="00832701">
        <w:t xml:space="preserve">should be sufficient for </w:t>
      </w:r>
      <w:r w:rsidR="00467851">
        <w:t>Petitioner</w:t>
      </w:r>
      <w:r w:rsidR="00832701">
        <w:t xml:space="preserve"> to determine if circumstances warrant </w:t>
      </w:r>
      <w:r w:rsidR="00D53DB7">
        <w:t>an additional level of ISP redundancy</w:t>
      </w:r>
      <w:r w:rsidR="007379AE">
        <w:t xml:space="preserve"> </w:t>
      </w:r>
      <w:r w:rsidRPr="00B7731D" w:rsidR="00086D25">
        <w:t>or</w:t>
      </w:r>
      <w:r w:rsidR="007379AE">
        <w:t xml:space="preserve"> if</w:t>
      </w:r>
      <w:r w:rsidRPr="00B7731D" w:rsidR="00086D25">
        <w:t xml:space="preserve"> new technologies will become available</w:t>
      </w:r>
      <w:r w:rsidRPr="00B7731D" w:rsidR="00FF7ACD">
        <w:t xml:space="preserve">.  </w:t>
      </w:r>
    </w:p>
    <w:p w:rsidR="0079526B" w:rsidP="0079526B" w14:paraId="338E9647" w14:textId="0CC417FA">
      <w:pPr>
        <w:pStyle w:val="ParaNum"/>
        <w:widowControl/>
        <w:numPr>
          <w:ilvl w:val="0"/>
          <w:numId w:val="2"/>
        </w:numPr>
        <w:tabs>
          <w:tab w:val="clear" w:pos="1080"/>
          <w:tab w:val="num" w:pos="1440"/>
        </w:tabs>
      </w:pPr>
      <w:r w:rsidRPr="00351A35">
        <w:t>We note Petitioner’s system has not been needed to operate pursuant to the waiver previously granted because its level of ISP redundancy has been sufficient to prevent an outage that would negatively impact connectivity between its otherwise rules-compliant Part 96 system and the SAS.  Nonetheless, th</w:t>
      </w:r>
      <w:r w:rsidRPr="00E504E9">
        <w:rPr>
          <w:shd w:val="clear" w:color="auto" w:fill="FFFFFF"/>
        </w:rPr>
        <w:t>e Bureau is granting an additional conditional waiver for the </w:t>
      </w:r>
      <w:r>
        <w:rPr>
          <w:shd w:val="clear" w:color="auto" w:fill="FFFFFF"/>
        </w:rPr>
        <w:t>2022-2023</w:t>
      </w:r>
      <w:r w:rsidRPr="00E504E9">
        <w:rPr>
          <w:shd w:val="clear" w:color="auto" w:fill="FFFFFF"/>
        </w:rPr>
        <w:t xml:space="preserve"> NFL season to allow Petitioner to determine if a tertiary </w:t>
      </w:r>
      <w:r w:rsidRPr="00351A35">
        <w:t>level</w:t>
      </w:r>
      <w:r w:rsidRPr="00E504E9">
        <w:rPr>
          <w:shd w:val="clear" w:color="auto" w:fill="FFFFFF"/>
        </w:rPr>
        <w:t xml:space="preserve"> of ISP redundancy is a necessary contingency for long-term planning purposes.</w:t>
      </w:r>
      <w:r>
        <w:rPr>
          <w:shd w:val="clear" w:color="auto" w:fill="FFFFFF"/>
        </w:rPr>
        <w:t xml:space="preserve"> </w:t>
      </w:r>
      <w:r w:rsidRPr="00E504E9">
        <w:rPr>
          <w:shd w:val="clear" w:color="auto" w:fill="FFFFFF"/>
        </w:rPr>
        <w:t xml:space="preserve"> </w:t>
      </w:r>
      <w:r w:rsidRPr="00BD7E76">
        <w:rPr>
          <w:shd w:val="clear" w:color="auto" w:fill="FFFFFF"/>
        </w:rPr>
        <w:t>Going forward, the burden rests on Petitioner to provide</w:t>
      </w:r>
      <w:r>
        <w:rPr>
          <w:shd w:val="clear" w:color="auto" w:fill="FFFFFF"/>
        </w:rPr>
        <w:t xml:space="preserve"> substantial additional support</w:t>
      </w:r>
      <w:r w:rsidRPr="00BD7E76">
        <w:rPr>
          <w:shd w:val="clear" w:color="auto" w:fill="FFFFFF"/>
        </w:rPr>
        <w:t xml:space="preserve"> for a</w:t>
      </w:r>
      <w:r w:rsidRPr="00351A35">
        <w:t xml:space="preserve"> </w:t>
      </w:r>
      <w:r w:rsidRPr="00BD7E76">
        <w:rPr>
          <w:shd w:val="clear" w:color="auto" w:fill="FFFFFF"/>
        </w:rPr>
        <w:t>​further extension of the</w:t>
      </w:r>
      <w:r w:rsidRPr="00351A35">
        <w:t xml:space="preserve"> </w:t>
      </w:r>
      <w:r w:rsidRPr="00BD7E76">
        <w:rPr>
          <w:shd w:val="clear" w:color="auto" w:fill="FFFFFF"/>
        </w:rPr>
        <w:t>waiver, particularly where the underlying circumstances have not changed significantly.</w:t>
      </w:r>
      <w:r>
        <w:rPr>
          <w:sz w:val="20"/>
          <w:vertAlign w:val="superscript"/>
        </w:rPr>
        <w:footnoteReference w:id="42"/>
      </w:r>
      <w:r w:rsidRPr="00BD7E76">
        <w:rPr>
          <w:shd w:val="clear" w:color="auto" w:fill="FFFFFF"/>
        </w:rPr>
        <w:t xml:space="preserve">  While Petitioner has the right to pursue appropriate administrative measures now and in the future, the Commission must avoid granting exceptions that are not narrowly tailored or </w:t>
      </w:r>
      <w:r w:rsidRPr="00BD7E76">
        <w:rPr>
          <w:shd w:val="clear" w:color="auto" w:fill="FFFFFF"/>
        </w:rPr>
        <w:t xml:space="preserve">temporary in nature lest they effectively swallow the rule in question nor can it do so in perpetuity if granting multiple waivers will </w:t>
      </w:r>
      <w:r w:rsidRPr="00BD7E76">
        <w:rPr>
          <w:szCs w:val="22"/>
        </w:rPr>
        <w:t>eviscerate</w:t>
      </w:r>
      <w:r w:rsidRPr="00BD7E76">
        <w:rPr>
          <w:shd w:val="clear" w:color="auto" w:fill="FFFFFF"/>
        </w:rPr>
        <w:t xml:space="preserve"> the rule itself.</w:t>
      </w:r>
      <w:r>
        <w:rPr>
          <w:sz w:val="20"/>
          <w:vertAlign w:val="superscript"/>
        </w:rPr>
        <w:footnoteReference w:id="43"/>
      </w:r>
    </w:p>
    <w:p w:rsidR="00281F24" w:rsidRPr="009F703A" w:rsidP="00AE5D60" w14:paraId="59FD3C30" w14:textId="73BB8F26">
      <w:pPr>
        <w:pStyle w:val="ParaNum"/>
        <w:widowControl/>
        <w:numPr>
          <w:ilvl w:val="0"/>
          <w:numId w:val="2"/>
        </w:numPr>
        <w:tabs>
          <w:tab w:val="clear" w:pos="1080"/>
          <w:tab w:val="num" w:pos="1440"/>
        </w:tabs>
      </w:pPr>
      <w:r w:rsidRPr="0065015D">
        <w:t xml:space="preserve">Therefore, we find it is in the public </w:t>
      </w:r>
      <w:r w:rsidRPr="00AE5D60">
        <w:rPr>
          <w:szCs w:val="22"/>
        </w:rPr>
        <w:t>interest</w:t>
      </w:r>
      <w:r w:rsidRPr="0065015D">
        <w:t xml:space="preserve"> to conditionally grant Petitioner’s request for a waiver of section 96.39(c)(2), on a time-limited basis</w:t>
      </w:r>
      <w:r w:rsidR="000C1EC7">
        <w:t xml:space="preserve"> for the 2022-2023 NFL season</w:t>
      </w:r>
      <w:r w:rsidRPr="0065015D">
        <w:t xml:space="preserve"> and subject to the conditions described herein.</w:t>
      </w:r>
    </w:p>
    <w:p w:rsidR="00281F24" w:rsidRPr="00BB3FCC" w:rsidP="00281F24" w14:paraId="62FAE031" w14:textId="4AA8FD5A">
      <w:pPr>
        <w:pStyle w:val="Heading1"/>
      </w:pPr>
      <w:bookmarkStart w:id="9" w:name="_Toc58853848"/>
      <w:bookmarkStart w:id="10" w:name="_Toc58853901"/>
      <w:bookmarkStart w:id="11" w:name="_Toc61528493"/>
      <w:r w:rsidRPr="00890410">
        <w:t>ORDERING CLAUSES</w:t>
      </w:r>
      <w:bookmarkEnd w:id="9"/>
      <w:bookmarkEnd w:id="10"/>
      <w:bookmarkEnd w:id="11"/>
    </w:p>
    <w:p w:rsidR="00281F24" w:rsidP="00AE5D60" w14:paraId="4D77A113" w14:textId="79AB56DF">
      <w:pPr>
        <w:pStyle w:val="ParaNum"/>
        <w:widowControl/>
        <w:numPr>
          <w:ilvl w:val="0"/>
          <w:numId w:val="2"/>
        </w:numPr>
        <w:tabs>
          <w:tab w:val="clear" w:pos="1080"/>
          <w:tab w:val="num" w:pos="1440"/>
        </w:tabs>
      </w:pPr>
      <w:r w:rsidRPr="00BB3FCC">
        <w:t>Accordingly, IT IS ORDERED, pursuant to Section 4(</w:t>
      </w:r>
      <w:r w:rsidRPr="00BB3FCC">
        <w:t>i</w:t>
      </w:r>
      <w:r w:rsidRPr="00BB3FCC">
        <w:t xml:space="preserve">) of the Communications Act of 1934, as </w:t>
      </w:r>
      <w:r w:rsidRPr="008C3340">
        <w:t>amended, 47 U.S.C. § 154(</w:t>
      </w:r>
      <w:r w:rsidRPr="008C3340">
        <w:t>i</w:t>
      </w:r>
      <w:r w:rsidRPr="008C3340">
        <w:t>),</w:t>
      </w:r>
      <w:r w:rsidRPr="008338A3">
        <w:rPr>
          <w:i/>
        </w:rPr>
        <w:t xml:space="preserve"> </w:t>
      </w:r>
      <w:r w:rsidRPr="005C0517">
        <w:t>and section</w:t>
      </w:r>
      <w:r>
        <w:t xml:space="preserve"> </w:t>
      </w:r>
      <w:r w:rsidRPr="00505E2B">
        <w:t>1.925 of the Commission’s rules, 47 CFR §</w:t>
      </w:r>
      <w:r>
        <w:t xml:space="preserve"> </w:t>
      </w:r>
      <w:r w:rsidRPr="00FE702D">
        <w:t>1.925, that the reque</w:t>
      </w:r>
      <w:r w:rsidRPr="0065015D">
        <w:t xml:space="preserve">st filed by </w:t>
      </w:r>
      <w:r w:rsidRPr="009F703A">
        <w:rPr>
          <w:spacing w:val="-2"/>
        </w:rPr>
        <w:t xml:space="preserve">the National Football League </w:t>
      </w:r>
      <w:r w:rsidRPr="009F703A">
        <w:t>for waiver of section 96.39(c)(2) of the Commission’s rules, 47 CFR § 96.39(c)(2), is GRANTED to the extent described, and with the conditions specified, herein.</w:t>
      </w:r>
    </w:p>
    <w:p w:rsidR="00281F24" w:rsidRPr="00505E2B" w:rsidP="00AE5D60" w14:paraId="016B379D" w14:textId="77777777">
      <w:pPr>
        <w:pStyle w:val="ParaNum"/>
        <w:widowControl/>
        <w:numPr>
          <w:ilvl w:val="0"/>
          <w:numId w:val="2"/>
        </w:numPr>
        <w:tabs>
          <w:tab w:val="clear" w:pos="1080"/>
          <w:tab w:val="num" w:pos="1440"/>
        </w:tabs>
      </w:pPr>
      <w:r w:rsidRPr="00890410">
        <w:t>Th</w:t>
      </w:r>
      <w:r w:rsidRPr="00BB3FCC">
        <w:t xml:space="preserve">is action </w:t>
      </w:r>
      <w:r w:rsidRPr="008C3340">
        <w:t>is</w:t>
      </w:r>
      <w:r w:rsidRPr="008338A3">
        <w:t xml:space="preserve"> taken under delegated authority pursua</w:t>
      </w:r>
      <w:r w:rsidRPr="005C0517">
        <w:t>nt to sections 0.131</w:t>
      </w:r>
      <w:r>
        <w:t xml:space="preserve"> </w:t>
      </w:r>
      <w:r w:rsidRPr="005C0517">
        <w:t>and 0.331 of the Commission’s rules, 47 CFR §§ 0.131 and 0.331.</w:t>
      </w:r>
    </w:p>
    <w:p w:rsidR="00281F24" w:rsidRPr="00505E2B" w:rsidP="00281F24" w14:paraId="0941301F" w14:textId="77777777">
      <w:pPr>
        <w:ind w:left="4320"/>
        <w:rPr>
          <w:szCs w:val="22"/>
        </w:rPr>
      </w:pPr>
    </w:p>
    <w:p w:rsidR="00281F24" w:rsidRPr="00FE702D" w:rsidP="00281F24" w14:paraId="24DFBD94" w14:textId="77777777">
      <w:pPr>
        <w:ind w:left="4320"/>
        <w:rPr>
          <w:szCs w:val="22"/>
        </w:rPr>
      </w:pPr>
      <w:r w:rsidRPr="00FE702D">
        <w:rPr>
          <w:szCs w:val="22"/>
        </w:rPr>
        <w:t>FEDERAL COMMUNICATIONS COMMISSION</w:t>
      </w:r>
    </w:p>
    <w:p w:rsidR="00281F24" w:rsidRPr="00FE702D" w:rsidP="00281F24" w14:paraId="36788B1B" w14:textId="77777777">
      <w:pPr>
        <w:keepNext/>
        <w:keepLines/>
        <w:tabs>
          <w:tab w:val="left" w:pos="-1440"/>
          <w:tab w:val="left" w:pos="-720"/>
          <w:tab w:val="left" w:pos="0"/>
          <w:tab w:val="left" w:pos="720"/>
          <w:tab w:val="left" w:pos="1080"/>
          <w:tab w:val="left" w:pos="1440"/>
        </w:tabs>
        <w:suppressAutoHyphens/>
        <w:ind w:left="720"/>
        <w:rPr>
          <w:szCs w:val="22"/>
        </w:rPr>
      </w:pPr>
      <w:r w:rsidRPr="00FE702D">
        <w:rPr>
          <w:szCs w:val="22"/>
        </w:rPr>
        <w:tab/>
      </w:r>
      <w:r w:rsidRPr="00FE702D">
        <w:rPr>
          <w:szCs w:val="22"/>
        </w:rPr>
        <w:tab/>
      </w:r>
      <w:r w:rsidRPr="00FE702D">
        <w:rPr>
          <w:szCs w:val="22"/>
        </w:rPr>
        <w:tab/>
      </w:r>
      <w:r w:rsidRPr="00FE702D">
        <w:rPr>
          <w:szCs w:val="22"/>
        </w:rPr>
        <w:tab/>
      </w:r>
    </w:p>
    <w:p w:rsidR="00281F24" w:rsidRPr="009F703A" w:rsidP="00281F24" w14:paraId="497D4CB5" w14:textId="77777777">
      <w:pPr>
        <w:keepNext/>
        <w:keepLines/>
        <w:tabs>
          <w:tab w:val="left" w:pos="-1440"/>
          <w:tab w:val="left" w:pos="-720"/>
          <w:tab w:val="left" w:pos="0"/>
          <w:tab w:val="left" w:pos="720"/>
          <w:tab w:val="left" w:pos="1080"/>
          <w:tab w:val="left" w:pos="1440"/>
        </w:tabs>
        <w:suppressAutoHyphens/>
        <w:ind w:left="720"/>
        <w:rPr>
          <w:szCs w:val="22"/>
        </w:rPr>
      </w:pPr>
    </w:p>
    <w:p w:rsidR="00281F24" w:rsidRPr="009F703A" w:rsidP="00281F24" w14:paraId="66F49F42" w14:textId="77777777">
      <w:pPr>
        <w:keepNext/>
        <w:keepLines/>
        <w:tabs>
          <w:tab w:val="left" w:pos="-1440"/>
          <w:tab w:val="left" w:pos="-720"/>
          <w:tab w:val="left" w:pos="0"/>
          <w:tab w:val="left" w:pos="720"/>
          <w:tab w:val="left" w:pos="1080"/>
          <w:tab w:val="left" w:pos="1440"/>
        </w:tabs>
        <w:suppressAutoHyphens/>
        <w:ind w:left="720"/>
        <w:rPr>
          <w:szCs w:val="22"/>
        </w:rPr>
      </w:pPr>
    </w:p>
    <w:p w:rsidR="00281F24" w:rsidRPr="009F703A" w:rsidP="00281F24" w14:paraId="518E8935" w14:textId="77777777">
      <w:pPr>
        <w:keepNext/>
        <w:keepLines/>
        <w:tabs>
          <w:tab w:val="left" w:pos="-1440"/>
          <w:tab w:val="left" w:pos="-720"/>
          <w:tab w:val="left" w:pos="0"/>
          <w:tab w:val="left" w:pos="720"/>
          <w:tab w:val="left" w:pos="1080"/>
          <w:tab w:val="left" w:pos="1440"/>
        </w:tabs>
        <w:suppressAutoHyphens/>
        <w:ind w:left="720"/>
        <w:rPr>
          <w:szCs w:val="22"/>
        </w:rPr>
      </w:pPr>
    </w:p>
    <w:p w:rsidR="00281F24" w:rsidRPr="009F703A" w:rsidP="00281F24" w14:paraId="6432951C" w14:textId="77777777">
      <w:pPr>
        <w:keepNext/>
        <w:keepLines/>
        <w:tabs>
          <w:tab w:val="left" w:pos="-1440"/>
          <w:tab w:val="left" w:pos="-720"/>
          <w:tab w:val="left" w:pos="0"/>
          <w:tab w:val="left" w:pos="720"/>
          <w:tab w:val="left" w:pos="1080"/>
          <w:tab w:val="left" w:pos="1440"/>
        </w:tabs>
        <w:suppressAutoHyphens/>
        <w:ind w:left="720"/>
        <w:rPr>
          <w:szCs w:val="22"/>
        </w:rPr>
      </w:pP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Pr>
          <w:szCs w:val="22"/>
        </w:rPr>
        <w:t>Joel Taubenblatt</w:t>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Pr>
          <w:szCs w:val="22"/>
        </w:rPr>
        <w:t xml:space="preserve">Acting </w:t>
      </w:r>
      <w:r w:rsidRPr="009F703A">
        <w:rPr>
          <w:szCs w:val="22"/>
        </w:rPr>
        <w:t>Chief</w:t>
      </w:r>
    </w:p>
    <w:p w:rsidR="00281F24" w:rsidRPr="009F703A" w:rsidP="00281F24" w14:paraId="038F51BB" w14:textId="77777777">
      <w:pPr>
        <w:keepNext/>
        <w:keepLines/>
        <w:tabs>
          <w:tab w:val="left" w:pos="-1440"/>
          <w:tab w:val="left" w:pos="-720"/>
          <w:tab w:val="left" w:pos="0"/>
          <w:tab w:val="left" w:pos="720"/>
          <w:tab w:val="left" w:pos="1080"/>
          <w:tab w:val="left" w:pos="1440"/>
        </w:tabs>
        <w:suppressAutoHyphens/>
        <w:ind w:left="720"/>
        <w:rPr>
          <w:szCs w:val="22"/>
        </w:rPr>
      </w:pP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t>Wireless Telecommunications Bureau</w:t>
      </w:r>
    </w:p>
    <w:p w:rsidR="00281F24" w:rsidRPr="009F703A" w:rsidP="00281F24" w14:paraId="2C3F1E65" w14:textId="77777777">
      <w:pPr>
        <w:keepNext/>
        <w:keepLines/>
        <w:tabs>
          <w:tab w:val="left" w:pos="-1440"/>
          <w:tab w:val="left" w:pos="-720"/>
          <w:tab w:val="left" w:pos="0"/>
          <w:tab w:val="left" w:pos="720"/>
          <w:tab w:val="left" w:pos="1080"/>
          <w:tab w:val="left" w:pos="1440"/>
        </w:tabs>
        <w:suppressAutoHyphens/>
        <w:rPr>
          <w:snapToGrid/>
          <w:kern w:val="0"/>
          <w:szCs w:val="22"/>
        </w:rPr>
      </w:pPr>
      <w:r w:rsidRPr="009F703A">
        <w:rPr>
          <w:snapToGrid/>
          <w:kern w:val="0"/>
          <w:szCs w:val="22"/>
        </w:rPr>
        <w:t xml:space="preserve"> </w:t>
      </w:r>
    </w:p>
    <w:p w:rsidR="00412FC5" w:rsidP="00281F24" w14:paraId="1B383EBE" w14:textId="0A746727"/>
    <w:p w:rsidR="00281F24" w:rsidRPr="00281F24" w:rsidP="00281F24" w14:paraId="2EA5F539" w14:textId="2FBD4C12"/>
    <w:p w:rsidR="00281F24" w:rsidRPr="00281F24" w:rsidP="00281F24" w14:paraId="0C1C2981" w14:textId="2F7100F9"/>
    <w:p w:rsidR="00281F24" w:rsidRPr="00281F24" w:rsidP="00281F24" w14:paraId="1D3F1265" w14:textId="17B1808A"/>
    <w:p w:rsidR="00281F24" w:rsidRPr="00281F24" w:rsidP="00281F24" w14:paraId="0F9CEB6D" w14:textId="12007E68"/>
    <w:p w:rsidR="00281F24" w:rsidRPr="00281F24" w:rsidP="00281F24" w14:paraId="37FE0C09" w14:textId="28208E36"/>
    <w:p w:rsidR="00281F24" w:rsidRPr="00281F24" w:rsidP="00281F24" w14:paraId="03FC7866" w14:textId="07A39F2D"/>
    <w:p w:rsidR="00281F24" w:rsidP="00281F24" w14:paraId="2B1E24B7" w14:textId="3E735021"/>
    <w:p w:rsidR="00EC7563" w:rsidP="00281F24" w14:paraId="68D5DF0C" w14:textId="7F589C08">
      <w:pPr>
        <w:tabs>
          <w:tab w:val="left" w:pos="5507"/>
        </w:tabs>
      </w:pPr>
      <w:r>
        <w:tab/>
      </w:r>
    </w:p>
    <w:p w:rsidR="00EC7563" w14:paraId="0566D692" w14:textId="39623C98">
      <w:pPr>
        <w:widowControl/>
      </w:pPr>
    </w:p>
    <w:sectPr w:rsidSect="00FD27C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9B02C8" w14:textId="77777777">
    <w:pPr>
      <w:pStyle w:val="Footer"/>
      <w:framePr w:wrap="around" w:vAnchor="text" w:hAnchor="margin" w:xAlign="center" w:y="1"/>
    </w:pPr>
    <w:r>
      <w:fldChar w:fldCharType="begin"/>
    </w:r>
    <w:r>
      <w:instrText xml:space="preserve">PAGE  </w:instrText>
    </w:r>
    <w:r w:rsidR="00F06433">
      <w:fldChar w:fldCharType="separate"/>
    </w:r>
    <w:r>
      <w:fldChar w:fldCharType="end"/>
    </w:r>
  </w:p>
  <w:p w:rsidR="00D25FB5" w14:paraId="07C696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AEFB7B" w14:textId="31FCAB4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0D4" w14:paraId="76A34607" w14:textId="19037B9D">
    <w:pPr>
      <w:pStyle w:val="Footer"/>
      <w:jc w:val="center"/>
    </w:pPr>
  </w:p>
  <w:p w:rsidR="00D25FB5" w14:paraId="2BFB07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1F24" w14:paraId="57CBCC0C" w14:textId="77777777">
      <w:r>
        <w:separator/>
      </w:r>
    </w:p>
  </w:footnote>
  <w:footnote w:type="continuationSeparator" w:id="1">
    <w:p w:rsidR="00281F24" w:rsidP="00C721AC" w14:paraId="38D74017" w14:textId="77777777">
      <w:pPr>
        <w:spacing w:before="120"/>
        <w:rPr>
          <w:sz w:val="20"/>
        </w:rPr>
      </w:pPr>
      <w:r>
        <w:rPr>
          <w:sz w:val="20"/>
        </w:rPr>
        <w:t xml:space="preserve">(Continued from previous page)  </w:t>
      </w:r>
      <w:r>
        <w:rPr>
          <w:sz w:val="20"/>
        </w:rPr>
        <w:separator/>
      </w:r>
    </w:p>
  </w:footnote>
  <w:footnote w:type="continuationNotice" w:id="2">
    <w:p w:rsidR="00281F24" w:rsidP="00C721AC" w14:paraId="26B16A07" w14:textId="77777777">
      <w:pPr>
        <w:jc w:val="right"/>
        <w:rPr>
          <w:sz w:val="20"/>
        </w:rPr>
      </w:pPr>
      <w:r>
        <w:rPr>
          <w:sz w:val="20"/>
        </w:rPr>
        <w:t>(continued….)</w:t>
      </w:r>
    </w:p>
  </w:footnote>
  <w:footnote w:id="3">
    <w:p w:rsidR="0092239B" w:rsidRPr="004269D0" w:rsidP="0092239B" w14:paraId="014AEB8C" w14:textId="77777777">
      <w:pPr>
        <w:pStyle w:val="FootnoteText"/>
      </w:pPr>
      <w:r>
        <w:rPr>
          <w:rStyle w:val="FootnoteReference"/>
        </w:rPr>
        <w:footnoteRef/>
      </w:r>
      <w:r>
        <w:t xml:space="preserve"> </w:t>
      </w:r>
      <w:r w:rsidRPr="004269D0">
        <w:t xml:space="preserve">Request of The National Football League for Extension of Waiver Grant, WT Docket No. 21-111 (filed May 5, 2022), </w:t>
      </w:r>
      <w:hyperlink r:id="rId1" w:history="1">
        <w:r w:rsidRPr="004269D0">
          <w:rPr>
            <w:rStyle w:val="Hyperlink"/>
          </w:rPr>
          <w:t>https://files.fcc.gov/ecfs/download/abf2d9c8-f474-4e9e-96ab-76b9b0d2d641?orig=true&amp;pk=cb77b2ec-1a58-dbc6-139b-ad192cfd5d9b</w:t>
        </w:r>
      </w:hyperlink>
      <w:r w:rsidRPr="004269D0">
        <w:t xml:space="preserve"> (</w:t>
      </w:r>
      <w:r w:rsidRPr="004269D0">
        <w:rPr>
          <w:i/>
          <w:iCs/>
        </w:rPr>
        <w:t>NFL Waiver Extension Request</w:t>
      </w:r>
      <w:r w:rsidRPr="004269D0">
        <w:t>).</w:t>
      </w:r>
    </w:p>
  </w:footnote>
  <w:footnote w:id="4">
    <w:p w:rsidR="0029181A" w:rsidRPr="004269D0" w14:paraId="11486A29" w14:textId="7660F813">
      <w:pPr>
        <w:pStyle w:val="FootnoteText"/>
      </w:pPr>
      <w:r w:rsidRPr="004269D0">
        <w:rPr>
          <w:rStyle w:val="FootnoteReference"/>
        </w:rPr>
        <w:footnoteRef/>
      </w:r>
      <w:r w:rsidRPr="004269D0">
        <w:t xml:space="preserve"> </w:t>
      </w:r>
      <w:r w:rsidRPr="004269D0" w:rsidR="008013A6">
        <w:rPr>
          <w:i/>
          <w:iCs/>
        </w:rPr>
        <w:t>The National Football League Request for Waiver of Section 96.39(c) of the Commission’s Rules</w:t>
      </w:r>
      <w:r w:rsidRPr="004269D0" w:rsidR="008013A6">
        <w:t xml:space="preserve">, WT Docket No. 21-111, Order, 36 FCC </w:t>
      </w:r>
      <w:r w:rsidRPr="004269D0" w:rsidR="008013A6">
        <w:t>Rcd</w:t>
      </w:r>
      <w:r w:rsidRPr="004269D0" w:rsidR="008013A6">
        <w:t xml:space="preserve"> 10489 (WTB 2021) (</w:t>
      </w:r>
      <w:r w:rsidRPr="004269D0" w:rsidR="008013A6">
        <w:rPr>
          <w:i/>
          <w:iCs/>
        </w:rPr>
        <w:t>NFL Waiver Order</w:t>
      </w:r>
      <w:r w:rsidRPr="004269D0" w:rsidR="008013A6">
        <w:t>).</w:t>
      </w:r>
    </w:p>
  </w:footnote>
  <w:footnote w:id="5">
    <w:p w:rsidR="00AF0BF9" w:rsidRPr="004269D0" w:rsidP="00AF0BF9" w14:paraId="60CDE03C" w14:textId="21E23878">
      <w:pPr>
        <w:pStyle w:val="FootnoteText"/>
      </w:pPr>
      <w:r w:rsidRPr="004269D0">
        <w:rPr>
          <w:rStyle w:val="FootnoteReference"/>
        </w:rPr>
        <w:footnoteRef/>
      </w:r>
      <w:r w:rsidRPr="004269D0">
        <w:t xml:space="preserve"> 47 CFR § 96.39(c)</w:t>
      </w:r>
      <w:r w:rsidRPr="004269D0" w:rsidR="00A4380F">
        <w:t>(2)</w:t>
      </w:r>
      <w:r w:rsidRPr="004269D0">
        <w:t>.</w:t>
      </w:r>
    </w:p>
  </w:footnote>
  <w:footnote w:id="6">
    <w:p w:rsidR="004C30CB" w:rsidRPr="004269D0" w:rsidP="004C30CB" w14:paraId="76926994" w14:textId="77777777">
      <w:pPr>
        <w:pStyle w:val="FootnoteText"/>
      </w:pPr>
      <w:r w:rsidRPr="004269D0">
        <w:rPr>
          <w:rStyle w:val="FootnoteReference"/>
        </w:rPr>
        <w:footnoteRef/>
      </w:r>
      <w:r w:rsidRPr="004269D0">
        <w:t xml:space="preserve"> </w:t>
      </w:r>
      <w:r w:rsidRPr="004269D0">
        <w:rPr>
          <w:i/>
          <w:iCs/>
        </w:rPr>
        <w:t>NFL Waiver Order</w:t>
      </w:r>
      <w:r w:rsidRPr="004269D0">
        <w:t xml:space="preserve"> at 1.</w:t>
      </w:r>
    </w:p>
  </w:footnote>
  <w:footnote w:id="7">
    <w:p w:rsidR="004C30CB" w:rsidRPr="004269D0" w:rsidP="004C30CB" w14:paraId="69E94208" w14:textId="77777777">
      <w:pPr>
        <w:pStyle w:val="FootnoteText"/>
      </w:pPr>
      <w:r w:rsidRPr="004269D0">
        <w:rPr>
          <w:rStyle w:val="FootnoteReference"/>
        </w:rPr>
        <w:footnoteRef/>
      </w:r>
      <w:r w:rsidRPr="004269D0">
        <w:t xml:space="preserve"> </w:t>
      </w:r>
      <w:r w:rsidRPr="004269D0">
        <w:rPr>
          <w:i/>
          <w:iCs/>
        </w:rPr>
        <w:t>Id</w:t>
      </w:r>
      <w:r w:rsidRPr="004269D0">
        <w:t>. at 3.</w:t>
      </w:r>
    </w:p>
  </w:footnote>
  <w:footnote w:id="8">
    <w:p w:rsidR="00862A64" w:rsidRPr="004269D0" w14:paraId="1302624B" w14:textId="2290BE5B">
      <w:pPr>
        <w:pStyle w:val="FootnoteText"/>
      </w:pPr>
      <w:r w:rsidRPr="004269D0">
        <w:rPr>
          <w:rStyle w:val="FootnoteReference"/>
        </w:rPr>
        <w:footnoteRef/>
      </w:r>
      <w:r w:rsidRPr="004269D0">
        <w:t xml:space="preserve"> </w:t>
      </w:r>
      <w:r w:rsidRPr="004269D0">
        <w:rPr>
          <w:i/>
          <w:iCs/>
        </w:rPr>
        <w:t xml:space="preserve">NFL Waiver Extension Request </w:t>
      </w:r>
      <w:r w:rsidRPr="004269D0">
        <w:t xml:space="preserve">at </w:t>
      </w:r>
      <w:r w:rsidRPr="004269D0" w:rsidR="0003152B">
        <w:t>1.</w:t>
      </w:r>
    </w:p>
  </w:footnote>
  <w:footnote w:id="9">
    <w:p w:rsidR="00B30C0D" w:rsidRPr="004269D0" w:rsidP="00B30C0D" w14:paraId="1673C711" w14:textId="39ECD203">
      <w:pPr>
        <w:pStyle w:val="FootnoteText"/>
      </w:pPr>
      <w:r w:rsidRPr="004269D0">
        <w:rPr>
          <w:rStyle w:val="FootnoteReference"/>
        </w:rPr>
        <w:footnoteRef/>
      </w:r>
      <w:r w:rsidRPr="004269D0">
        <w:t xml:space="preserve"> </w:t>
      </w:r>
      <w:r w:rsidRPr="004269D0">
        <w:rPr>
          <w:i/>
          <w:iCs/>
        </w:rPr>
        <w:t>See</w:t>
      </w:r>
      <w:r w:rsidRPr="004269D0">
        <w:t xml:space="preserve"> </w:t>
      </w:r>
      <w:r w:rsidRPr="004269D0">
        <w:rPr>
          <w:i/>
          <w:iCs/>
        </w:rPr>
        <w:t>NFL Waiver Extension Request</w:t>
      </w:r>
      <w:r w:rsidRPr="004269D0">
        <w:t xml:space="preserve"> at 2.  The NFL</w:t>
      </w:r>
      <w:r w:rsidRPr="004269D0" w:rsidR="008D4A41">
        <w:t xml:space="preserve"> acknowledges</w:t>
      </w:r>
      <w:r w:rsidRPr="004269D0">
        <w:rPr>
          <w:szCs w:val="22"/>
        </w:rPr>
        <w:t xml:space="preserve"> that it was able to operate its coach-to-coach communications system without resorting to the authority conferred by the conditional waiver during the 2021-</w:t>
      </w:r>
      <w:r w:rsidR="00900E3D">
        <w:rPr>
          <w:szCs w:val="22"/>
        </w:rPr>
        <w:t>20</w:t>
      </w:r>
      <w:r w:rsidRPr="004269D0">
        <w:rPr>
          <w:szCs w:val="22"/>
        </w:rPr>
        <w:t xml:space="preserve">22 NFL season.  </w:t>
      </w:r>
      <w:r w:rsidRPr="004269D0">
        <w:rPr>
          <w:i/>
          <w:iCs/>
          <w:szCs w:val="22"/>
        </w:rPr>
        <w:t xml:space="preserve">See NFL Waiver Extension Request </w:t>
      </w:r>
      <w:r w:rsidRPr="004269D0">
        <w:rPr>
          <w:szCs w:val="22"/>
        </w:rPr>
        <w:t>at 4.</w:t>
      </w:r>
    </w:p>
  </w:footnote>
  <w:footnote w:id="10">
    <w:p w:rsidR="005360C7" w:rsidRPr="004269D0" w14:paraId="60C7FD8C" w14:textId="6616F8FE">
      <w:pPr>
        <w:pStyle w:val="FootnoteText"/>
        <w:rPr>
          <w:i/>
          <w:iCs/>
        </w:rPr>
      </w:pPr>
      <w:r w:rsidRPr="004269D0">
        <w:rPr>
          <w:rStyle w:val="FootnoteReference"/>
        </w:rPr>
        <w:footnoteRef/>
      </w:r>
      <w:r w:rsidRPr="004269D0">
        <w:t xml:space="preserve"> </w:t>
      </w:r>
      <w:r w:rsidR="00900E3D">
        <w:t>Letter from Gerard J. Waldron, Counsel to the NFL, to Marlene H. Dortch, Secretary, FCC, WT Docket No. 21-111 (filed Mar. 11, 2022) (</w:t>
      </w:r>
      <w:r w:rsidR="00900E3D">
        <w:rPr>
          <w:i/>
          <w:iCs/>
        </w:rPr>
        <w:t>NFL Report</w:t>
      </w:r>
      <w:r w:rsidR="00900E3D">
        <w:t xml:space="preserve">).  </w:t>
      </w:r>
      <w:r w:rsidRPr="004269D0" w:rsidR="00643E1E">
        <w:t xml:space="preserve">Pursuant to the conditions set forth in the </w:t>
      </w:r>
      <w:r w:rsidRPr="004269D0" w:rsidR="000B6DA5">
        <w:rPr>
          <w:i/>
          <w:iCs/>
        </w:rPr>
        <w:t>NFL Waiver Order</w:t>
      </w:r>
      <w:r w:rsidRPr="004269D0" w:rsidR="000B6DA5">
        <w:t>, the NFL filed an end-of-the-season report on</w:t>
      </w:r>
      <w:r w:rsidRPr="004269D0">
        <w:t xml:space="preserve"> March 11, </w:t>
      </w:r>
      <w:r w:rsidRPr="004269D0" w:rsidR="00826C9A">
        <w:t>2022,</w:t>
      </w:r>
      <w:r w:rsidRPr="004269D0">
        <w:t xml:space="preserve"> </w:t>
      </w:r>
      <w:r w:rsidRPr="004269D0" w:rsidR="000B6DA5">
        <w:t xml:space="preserve">which </w:t>
      </w:r>
      <w:r w:rsidRPr="004269D0" w:rsidR="00613EFA">
        <w:t>indic</w:t>
      </w:r>
      <w:r w:rsidRPr="004269D0">
        <w:t xml:space="preserve">ated that </w:t>
      </w:r>
      <w:r w:rsidRPr="004269D0" w:rsidR="00613EFA">
        <w:t xml:space="preserve">at each </w:t>
      </w:r>
      <w:r w:rsidRPr="004269D0" w:rsidR="00CA261A">
        <w:t xml:space="preserve">NFL </w:t>
      </w:r>
      <w:r w:rsidRPr="004269D0" w:rsidR="00613EFA">
        <w:t xml:space="preserve">stadium </w:t>
      </w:r>
      <w:r w:rsidRPr="004269D0">
        <w:t>it used a Lumen hardwired internet connection and Verizon LTE service as a backup internet connection with a Cisco Meraki switching system to</w:t>
      </w:r>
      <w:r w:rsidRPr="004269D0" w:rsidR="00E65FE2">
        <w:t xml:space="preserve"> provide automatic rollover from the Lumen connection to Verizon LTE in the event of a hardwired Lumen connection failure.  While operation pursuant to the waiver was never required at any time during the 2021-2022</w:t>
      </w:r>
      <w:r w:rsidRPr="004269D0" w:rsidR="00613EFA">
        <w:t xml:space="preserve"> season</w:t>
      </w:r>
      <w:r w:rsidRPr="004269D0" w:rsidR="00E65FE2">
        <w:t xml:space="preserve">, </w:t>
      </w:r>
      <w:r w:rsidR="00900E3D">
        <w:t>the NFL</w:t>
      </w:r>
      <w:r w:rsidRPr="004269D0" w:rsidR="00E65FE2">
        <w:t xml:space="preserve"> reported a single incident on November 18, 2021</w:t>
      </w:r>
      <w:r w:rsidR="00FA0299">
        <w:t>,</w:t>
      </w:r>
      <w:r w:rsidRPr="004269D0" w:rsidR="00E65FE2">
        <w:t xml:space="preserve"> in Atlanta, Georgia when a fiber cut took down the Lumen ISP connection but the Verizon LTE was automatically switched in so there was never any loss of communication with the SAS.  Noting that there were no games in which the NFL</w:t>
      </w:r>
      <w:r w:rsidRPr="004269D0" w:rsidR="004626DF">
        <w:t xml:space="preserve"> operated the </w:t>
      </w:r>
      <w:r w:rsidRPr="004269D0" w:rsidR="008F1127">
        <w:t>Citizens Broadband Radio Service</w:t>
      </w:r>
      <w:r w:rsidRPr="004269D0" w:rsidR="004626DF">
        <w:t xml:space="preserve"> coach-to-coach communications system pursuant to the granted waiver, </w:t>
      </w:r>
      <w:r w:rsidRPr="004269D0" w:rsidR="00613EFA">
        <w:t>Petitioner</w:t>
      </w:r>
      <w:r w:rsidRPr="004269D0" w:rsidR="004626DF">
        <w:t xml:space="preserve"> stated that the level of ISP redundancy implemented in each stadium is sufficient to make it </w:t>
      </w:r>
      <w:r w:rsidRPr="004269D0" w:rsidR="00882736">
        <w:t>“</w:t>
      </w:r>
      <w:r w:rsidRPr="004269D0" w:rsidR="004626DF">
        <w:t>highly improbable</w:t>
      </w:r>
      <w:r w:rsidRPr="004269D0" w:rsidR="00882736">
        <w:t>”</w:t>
      </w:r>
      <w:r w:rsidRPr="004269D0" w:rsidR="004626DF">
        <w:t xml:space="preserve"> that the </w:t>
      </w:r>
      <w:r w:rsidRPr="004269D0" w:rsidR="008F1127">
        <w:t>Citizens Broadband Radio Service</w:t>
      </w:r>
      <w:r w:rsidRPr="004269D0" w:rsidR="004626DF">
        <w:t xml:space="preserve"> system will be operated pursuant to the waiver</w:t>
      </w:r>
      <w:r w:rsidRPr="004269D0" w:rsidR="00882736">
        <w:t xml:space="preserve"> so “</w:t>
      </w:r>
      <w:r w:rsidRPr="004269D0" w:rsidR="004626DF">
        <w:t>pending further experience, it has not been deemed necessary to implement any tertiary backup ISP system in any stadium</w:t>
      </w:r>
      <w:r w:rsidRPr="004269D0" w:rsidR="00882736">
        <w:t xml:space="preserve">.”  </w:t>
      </w:r>
      <w:r w:rsidRPr="004269D0" w:rsidR="002A2A7E">
        <w:rPr>
          <w:i/>
          <w:iCs/>
        </w:rPr>
        <w:t>See</w:t>
      </w:r>
      <w:r w:rsidRPr="004269D0" w:rsidR="002A2A7E">
        <w:t xml:space="preserve"> </w:t>
      </w:r>
      <w:r w:rsidRPr="00A12A70" w:rsidR="002A2A7E">
        <w:rPr>
          <w:i/>
          <w:iCs/>
        </w:rPr>
        <w:t>NFL</w:t>
      </w:r>
      <w:r w:rsidR="00900E3D">
        <w:rPr>
          <w:i/>
          <w:iCs/>
        </w:rPr>
        <w:t xml:space="preserve"> R</w:t>
      </w:r>
      <w:r w:rsidRPr="00A12A70" w:rsidR="002A2A7E">
        <w:rPr>
          <w:i/>
          <w:iCs/>
        </w:rPr>
        <w:t>eport</w:t>
      </w:r>
      <w:r w:rsidRPr="004269D0" w:rsidR="002A2A7E">
        <w:t xml:space="preserve"> at 2.  </w:t>
      </w:r>
      <w:r w:rsidRPr="004269D0" w:rsidR="001447EA">
        <w:t>However</w:t>
      </w:r>
      <w:r w:rsidRPr="004269D0" w:rsidR="00882736">
        <w:t xml:space="preserve">, the NFL </w:t>
      </w:r>
      <w:r w:rsidRPr="004269D0" w:rsidR="002A2A7E">
        <w:t>goes on to</w:t>
      </w:r>
      <w:r w:rsidRPr="004269D0" w:rsidR="006A329D">
        <w:t xml:space="preserve"> </w:t>
      </w:r>
      <w:r w:rsidRPr="004269D0" w:rsidR="001447EA">
        <w:t>suggest that</w:t>
      </w:r>
      <w:r w:rsidRPr="004269D0" w:rsidR="006A329D">
        <w:t xml:space="preserve"> an </w:t>
      </w:r>
      <w:r w:rsidRPr="004269D0" w:rsidR="004626DF">
        <w:t>exten</w:t>
      </w:r>
      <w:r w:rsidRPr="004269D0" w:rsidR="006A329D">
        <w:t xml:space="preserve">sion of </w:t>
      </w:r>
      <w:r w:rsidRPr="004269D0" w:rsidR="004626DF">
        <w:t>the granted waiver</w:t>
      </w:r>
      <w:r w:rsidRPr="004269D0" w:rsidR="006A329D">
        <w:t xml:space="preserve"> </w:t>
      </w:r>
      <w:r w:rsidRPr="004269D0" w:rsidR="00BD4652">
        <w:t xml:space="preserve">would “reveal </w:t>
      </w:r>
      <w:r w:rsidRPr="004269D0" w:rsidR="004626DF">
        <w:t>any weaknesses in the ISP redundancy or the switching mechanism</w:t>
      </w:r>
      <w:r w:rsidRPr="004269D0" w:rsidR="00001975">
        <w:t xml:space="preserve">” </w:t>
      </w:r>
      <w:r w:rsidR="004C293A">
        <w:t>and help</w:t>
      </w:r>
      <w:r w:rsidRPr="004269D0" w:rsidR="00001975">
        <w:t xml:space="preserve"> determine if there is a need for</w:t>
      </w:r>
      <w:r w:rsidRPr="004269D0" w:rsidR="004626DF">
        <w:t xml:space="preserve"> </w:t>
      </w:r>
      <w:r w:rsidRPr="004269D0" w:rsidR="00001975">
        <w:t>“</w:t>
      </w:r>
      <w:r w:rsidRPr="004269D0" w:rsidR="004626DF">
        <w:t>additional layers of redundancy</w:t>
      </w:r>
      <w:r w:rsidRPr="004269D0" w:rsidR="004307D9">
        <w:t xml:space="preserve">” </w:t>
      </w:r>
      <w:r w:rsidRPr="004269D0" w:rsidR="000211CD">
        <w:t>even though</w:t>
      </w:r>
      <w:r w:rsidRPr="004269D0" w:rsidR="004307D9">
        <w:t xml:space="preserve"> “</w:t>
      </w:r>
      <w:r w:rsidRPr="004269D0" w:rsidR="004626DF">
        <w:t>there is not currently any evidence of that additional need.</w:t>
      </w:r>
      <w:r w:rsidRPr="004269D0" w:rsidR="00882736">
        <w:t>”</w:t>
      </w:r>
      <w:r w:rsidRPr="004269D0" w:rsidR="00E65FE2">
        <w:t xml:space="preserve"> </w:t>
      </w:r>
      <w:r w:rsidRPr="004269D0" w:rsidR="00882736">
        <w:t xml:space="preserve"> </w:t>
      </w:r>
      <w:r w:rsidRPr="004269D0" w:rsidR="00CB16A5">
        <w:rPr>
          <w:i/>
          <w:iCs/>
        </w:rPr>
        <w:t>Id.</w:t>
      </w:r>
    </w:p>
  </w:footnote>
  <w:footnote w:id="11">
    <w:p w:rsidR="00B30C0D" w:rsidRPr="004269D0" w:rsidP="00B30C0D" w14:paraId="72A8A7CC" w14:textId="58DABABC">
      <w:pPr>
        <w:pStyle w:val="FootnoteText"/>
      </w:pPr>
      <w:r w:rsidRPr="004269D0">
        <w:rPr>
          <w:rStyle w:val="FootnoteReference"/>
        </w:rPr>
        <w:footnoteRef/>
      </w:r>
      <w:r w:rsidRPr="004269D0">
        <w:t xml:space="preserve"> </w:t>
      </w:r>
      <w:r w:rsidRPr="004269D0" w:rsidR="00882736">
        <w:rPr>
          <w:i/>
          <w:iCs/>
          <w:szCs w:val="22"/>
        </w:rPr>
        <w:t xml:space="preserve">See NFL Waiver Extension Request </w:t>
      </w:r>
      <w:r w:rsidRPr="004269D0">
        <w:t>at 5-6.</w:t>
      </w:r>
    </w:p>
  </w:footnote>
  <w:footnote w:id="12">
    <w:p w:rsidR="00281F24" w:rsidRPr="004269D0" w:rsidP="00281F24" w14:paraId="2129D6F3" w14:textId="78BD2610">
      <w:pPr>
        <w:pStyle w:val="FootnoteText"/>
        <w:rPr>
          <w:color w:val="FF0000"/>
        </w:rPr>
      </w:pPr>
      <w:r w:rsidRPr="004269D0">
        <w:rPr>
          <w:rStyle w:val="FootnoteReference"/>
        </w:rPr>
        <w:footnoteRef/>
      </w:r>
      <w:r w:rsidRPr="004269D0">
        <w:t xml:space="preserve"> </w:t>
      </w:r>
      <w:r w:rsidRPr="004269D0">
        <w:rPr>
          <w:i/>
          <w:iCs/>
        </w:rPr>
        <w:t xml:space="preserve">Wireless Telecommunications Bureau Seeks Comment on the National Football League’s Request </w:t>
      </w:r>
      <w:r w:rsidRPr="004269D0" w:rsidR="00C23404">
        <w:rPr>
          <w:i/>
          <w:iCs/>
        </w:rPr>
        <w:t xml:space="preserve">to </w:t>
      </w:r>
      <w:r w:rsidRPr="004269D0" w:rsidR="009C4FFF">
        <w:rPr>
          <w:i/>
          <w:iCs/>
        </w:rPr>
        <w:t>E</w:t>
      </w:r>
      <w:r w:rsidRPr="004269D0" w:rsidR="00C23404">
        <w:rPr>
          <w:i/>
          <w:iCs/>
        </w:rPr>
        <w:t>xtend</w:t>
      </w:r>
      <w:r w:rsidRPr="004269D0">
        <w:rPr>
          <w:i/>
          <w:iCs/>
        </w:rPr>
        <w:t xml:space="preserve"> Waiver of Section 96.39(c)(2) of the Commission’s Rules</w:t>
      </w:r>
      <w:r w:rsidRPr="004269D0">
        <w:t>, DA 2</w:t>
      </w:r>
      <w:r w:rsidRPr="004269D0" w:rsidR="00C23404">
        <w:t>2</w:t>
      </w:r>
      <w:r w:rsidRPr="004269D0">
        <w:t>-</w:t>
      </w:r>
      <w:r w:rsidRPr="004269D0" w:rsidR="00C23404">
        <w:t>683</w:t>
      </w:r>
      <w:r w:rsidRPr="004269D0">
        <w:t xml:space="preserve"> (WTB </w:t>
      </w:r>
      <w:r w:rsidRPr="004269D0" w:rsidR="00C23404">
        <w:t>June 30, 2022</w:t>
      </w:r>
      <w:r w:rsidRPr="004269D0">
        <w:t xml:space="preserve">).  Comments were due </w:t>
      </w:r>
      <w:r w:rsidRPr="004269D0" w:rsidR="00C23404">
        <w:t>July 11</w:t>
      </w:r>
      <w:r w:rsidRPr="004269D0">
        <w:t>, 202</w:t>
      </w:r>
      <w:r w:rsidRPr="004269D0" w:rsidR="00C23404">
        <w:t>2</w:t>
      </w:r>
      <w:r w:rsidR="00303654">
        <w:t>,</w:t>
      </w:r>
      <w:r w:rsidRPr="004269D0">
        <w:t xml:space="preserve"> and reply comments were due </w:t>
      </w:r>
      <w:r w:rsidRPr="004269D0" w:rsidR="00C23404">
        <w:t>July 18</w:t>
      </w:r>
      <w:r w:rsidRPr="004269D0">
        <w:t>, 202</w:t>
      </w:r>
      <w:r w:rsidRPr="004269D0" w:rsidR="00C23404">
        <w:t>2</w:t>
      </w:r>
      <w:r w:rsidRPr="004269D0">
        <w:t>.</w:t>
      </w:r>
    </w:p>
  </w:footnote>
  <w:footnote w:id="13">
    <w:p w:rsidR="00700028" w:rsidRPr="004269D0" w14:paraId="2C346D21" w14:textId="7BC78E74">
      <w:pPr>
        <w:pStyle w:val="FootnoteText"/>
      </w:pPr>
      <w:r w:rsidRPr="004269D0">
        <w:rPr>
          <w:rStyle w:val="FootnoteReference"/>
        </w:rPr>
        <w:footnoteRef/>
      </w:r>
      <w:r w:rsidRPr="004269D0">
        <w:t xml:space="preserve"> NCTA Comments at 1.</w:t>
      </w:r>
    </w:p>
  </w:footnote>
  <w:footnote w:id="14">
    <w:p w:rsidR="00683F17" w:rsidRPr="004269D0" w14:paraId="2C42ECD6" w14:textId="5FF8B1A9">
      <w:pPr>
        <w:pStyle w:val="FootnoteText"/>
      </w:pPr>
      <w:r w:rsidRPr="004269D0">
        <w:rPr>
          <w:rStyle w:val="FootnoteReference"/>
        </w:rPr>
        <w:footnoteRef/>
      </w:r>
      <w:r w:rsidRPr="004269D0">
        <w:t xml:space="preserve"> NCTA Comments at 1, 4</w:t>
      </w:r>
      <w:r w:rsidRPr="004269D0" w:rsidR="009C2156">
        <w:t>-5.</w:t>
      </w:r>
    </w:p>
  </w:footnote>
  <w:footnote w:id="15">
    <w:p w:rsidR="00E47C8C" w:rsidRPr="004269D0" w14:paraId="30B091E8" w14:textId="4066756B">
      <w:pPr>
        <w:pStyle w:val="FootnoteText"/>
      </w:pPr>
      <w:r w:rsidRPr="004269D0">
        <w:rPr>
          <w:rStyle w:val="FootnoteReference"/>
        </w:rPr>
        <w:footnoteRef/>
      </w:r>
      <w:r w:rsidRPr="004269D0">
        <w:t xml:space="preserve"> NFL Reply Comments at 3.</w:t>
      </w:r>
    </w:p>
  </w:footnote>
  <w:footnote w:id="16">
    <w:p w:rsidR="00281F24" w:rsidRPr="004269D0" w:rsidP="00281F24" w14:paraId="74DEFD69" w14:textId="77777777">
      <w:pPr>
        <w:pStyle w:val="FootnoteText"/>
        <w:rPr>
          <w:color w:val="FF0000"/>
        </w:rPr>
      </w:pPr>
      <w:r w:rsidRPr="004269D0">
        <w:rPr>
          <w:rStyle w:val="FootnoteReference"/>
        </w:rPr>
        <w:footnoteRef/>
      </w:r>
      <w:r w:rsidRPr="004269D0">
        <w:t xml:space="preserve"> 47 CFR § 1.925(b)(3).</w:t>
      </w:r>
    </w:p>
  </w:footnote>
  <w:footnote w:id="17">
    <w:p w:rsidR="00AE5D60" w:rsidRPr="004269D0" w:rsidP="00AE5D60" w14:paraId="195E8951" w14:textId="77777777">
      <w:pPr>
        <w:pStyle w:val="FootnoteText"/>
      </w:pPr>
      <w:r w:rsidRPr="004269D0">
        <w:rPr>
          <w:rStyle w:val="FootnoteReference"/>
        </w:rPr>
        <w:footnoteRef/>
      </w:r>
      <w:r w:rsidRPr="004269D0">
        <w:t xml:space="preserve"> 47 CFR § 96.39(c).</w:t>
      </w:r>
    </w:p>
  </w:footnote>
  <w:footnote w:id="18">
    <w:p w:rsidR="00AE5D60" w:rsidRPr="004269D0" w:rsidP="00AE5D60" w14:paraId="5AC6A3C5" w14:textId="77777777">
      <w:pPr>
        <w:pStyle w:val="FootnoteText"/>
      </w:pPr>
      <w:r w:rsidRPr="004269D0">
        <w:rPr>
          <w:rStyle w:val="FootnoteReference"/>
        </w:rPr>
        <w:footnoteRef/>
      </w:r>
      <w:r w:rsidRPr="004269D0">
        <w:t xml:space="preserve"> </w:t>
      </w:r>
      <w:r w:rsidRPr="004269D0">
        <w:rPr>
          <w:i/>
          <w:iCs/>
        </w:rPr>
        <w:t>Id.</w:t>
      </w:r>
    </w:p>
  </w:footnote>
  <w:footnote w:id="19">
    <w:p w:rsidR="00AE5D60" w:rsidRPr="004269D0" w:rsidP="00AE5D60" w14:paraId="11859104" w14:textId="77777777">
      <w:pPr>
        <w:pStyle w:val="FootnoteText"/>
      </w:pPr>
      <w:r w:rsidRPr="004269D0">
        <w:rPr>
          <w:rStyle w:val="FootnoteReference"/>
        </w:rPr>
        <w:footnoteRef/>
      </w:r>
      <w:r w:rsidRPr="004269D0">
        <w:t xml:space="preserve"> 47 CFR § 96.39(c)(2).</w:t>
      </w:r>
    </w:p>
  </w:footnote>
  <w:footnote w:id="20">
    <w:p w:rsidR="00AE5D60" w:rsidRPr="004269D0" w:rsidP="00AE5D60" w14:paraId="4C18EEC4" w14:textId="2966B57A">
      <w:pPr>
        <w:pStyle w:val="FootnoteText"/>
      </w:pPr>
      <w:r w:rsidRPr="004269D0">
        <w:rPr>
          <w:rStyle w:val="FootnoteReference"/>
        </w:rPr>
        <w:footnoteRef/>
      </w:r>
      <w:r w:rsidRPr="004269D0">
        <w:t xml:space="preserve"> </w:t>
      </w:r>
      <w:r w:rsidRPr="004269D0">
        <w:rPr>
          <w:i/>
          <w:iCs/>
        </w:rPr>
        <w:t>Id.</w:t>
      </w:r>
    </w:p>
  </w:footnote>
  <w:footnote w:id="21">
    <w:p w:rsidR="00AE5D60" w:rsidRPr="004269D0" w:rsidP="00AE5D60" w14:paraId="738CA466" w14:textId="7171DF82">
      <w:pPr>
        <w:pStyle w:val="FootnoteText"/>
      </w:pPr>
      <w:r w:rsidRPr="004269D0">
        <w:rPr>
          <w:rStyle w:val="FootnoteReference"/>
        </w:rPr>
        <w:footnoteRef/>
      </w:r>
      <w:r w:rsidRPr="004269D0">
        <w:t xml:space="preserve"> </w:t>
      </w:r>
      <w:r w:rsidRPr="004269D0" w:rsidR="00B4636C">
        <w:rPr>
          <w:i/>
          <w:iCs/>
        </w:rPr>
        <w:t>See</w:t>
      </w:r>
      <w:r w:rsidRPr="004269D0" w:rsidR="00B4636C">
        <w:t xml:space="preserve"> </w:t>
      </w:r>
      <w:r w:rsidRPr="004269D0" w:rsidR="00B4636C">
        <w:rPr>
          <w:i/>
          <w:iCs/>
        </w:rPr>
        <w:t>In the Matter of Amendment of the Commission’s Rules with Regard to Commercial Operations in the 3550-3650 MHz Band</w:t>
      </w:r>
      <w:r w:rsidRPr="004269D0" w:rsidR="00B4636C">
        <w:t xml:space="preserve">, GN Docket No. 12-354, Report and Order and Second Further Notice of Proposed Rulemaking, 30 FCC </w:t>
      </w:r>
      <w:r w:rsidRPr="004269D0" w:rsidR="00B4636C">
        <w:t>Rcd</w:t>
      </w:r>
      <w:r w:rsidRPr="004269D0" w:rsidR="00B4636C">
        <w:t xml:space="preserve"> 3959, 4032, para. 233 (2015) (</w:t>
      </w:r>
      <w:r w:rsidRPr="004269D0" w:rsidR="00B4636C">
        <w:rPr>
          <w:i/>
          <w:iCs/>
        </w:rPr>
        <w:t>2015 Report and Order</w:t>
      </w:r>
      <w:r w:rsidRPr="004269D0" w:rsidR="00B4636C">
        <w:t xml:space="preserve">).  </w:t>
      </w:r>
    </w:p>
  </w:footnote>
  <w:footnote w:id="22">
    <w:p w:rsidR="00807547" w:rsidRPr="004269D0" w14:paraId="1077CD0E" w14:textId="68C53EB0">
      <w:pPr>
        <w:pStyle w:val="FootnoteText"/>
      </w:pPr>
      <w:r w:rsidRPr="004269D0">
        <w:rPr>
          <w:rStyle w:val="FootnoteReference"/>
        </w:rPr>
        <w:footnoteRef/>
      </w:r>
      <w:r w:rsidRPr="004269D0">
        <w:t xml:space="preserve"> </w:t>
      </w:r>
      <w:r w:rsidRPr="004269D0">
        <w:rPr>
          <w:i/>
          <w:iCs/>
        </w:rPr>
        <w:t>NFL Waiver Order</w:t>
      </w:r>
      <w:r w:rsidRPr="004269D0">
        <w:t xml:space="preserve"> at </w:t>
      </w:r>
      <w:r w:rsidRPr="004269D0" w:rsidR="00A7484D">
        <w:t>4</w:t>
      </w:r>
      <w:r w:rsidRPr="004269D0" w:rsidR="004A798A">
        <w:t>.</w:t>
      </w:r>
    </w:p>
  </w:footnote>
  <w:footnote w:id="23">
    <w:p w:rsidR="00CB459A" w:rsidRPr="004269D0" w14:paraId="105327F9" w14:textId="4E25BEC2">
      <w:pPr>
        <w:pStyle w:val="FootnoteText"/>
      </w:pPr>
      <w:r w:rsidRPr="004269D0">
        <w:rPr>
          <w:rStyle w:val="FootnoteReference"/>
        </w:rPr>
        <w:footnoteRef/>
      </w:r>
      <w:r w:rsidRPr="004269D0">
        <w:t xml:space="preserve"> </w:t>
      </w:r>
      <w:r w:rsidRPr="004269D0">
        <w:rPr>
          <w:i/>
          <w:iCs/>
        </w:rPr>
        <w:t>NFL Waiver Order</w:t>
      </w:r>
      <w:r w:rsidRPr="004269D0">
        <w:t xml:space="preserve"> at 2.</w:t>
      </w:r>
    </w:p>
  </w:footnote>
  <w:footnote w:id="24">
    <w:p w:rsidR="00120029" w:rsidRPr="004269D0" w:rsidP="00120029" w14:paraId="405927CF" w14:textId="30E5FE9B">
      <w:pPr>
        <w:pStyle w:val="FootnoteText"/>
      </w:pPr>
      <w:r w:rsidRPr="004269D0">
        <w:rPr>
          <w:rStyle w:val="FootnoteReference"/>
        </w:rPr>
        <w:footnoteRef/>
      </w:r>
      <w:r w:rsidRPr="004269D0">
        <w:t xml:space="preserve"> </w:t>
      </w:r>
      <w:r w:rsidRPr="004269D0">
        <w:rPr>
          <w:i/>
          <w:iCs/>
        </w:rPr>
        <w:t>NFL Waiver Order</w:t>
      </w:r>
      <w:r w:rsidRPr="004269D0">
        <w:t xml:space="preserve"> at </w:t>
      </w:r>
      <w:r w:rsidRPr="004269D0" w:rsidR="009F1305">
        <w:t>2-4</w:t>
      </w:r>
      <w:r w:rsidRPr="004269D0">
        <w:t>.</w:t>
      </w:r>
    </w:p>
  </w:footnote>
  <w:footnote w:id="25">
    <w:p w:rsidR="0003092A" w:rsidRPr="004269D0" w14:paraId="2CF912E3" w14:textId="5078831D">
      <w:pPr>
        <w:pStyle w:val="FootnoteText"/>
      </w:pPr>
      <w:r w:rsidRPr="004269D0">
        <w:rPr>
          <w:rStyle w:val="FootnoteReference"/>
        </w:rPr>
        <w:footnoteRef/>
      </w:r>
      <w:r w:rsidRPr="004269D0">
        <w:t xml:space="preserve"> </w:t>
      </w:r>
      <w:r w:rsidRPr="004269D0">
        <w:rPr>
          <w:i/>
          <w:iCs/>
        </w:rPr>
        <w:t>NFL Waiver Order</w:t>
      </w:r>
      <w:r w:rsidRPr="004269D0">
        <w:t xml:space="preserve"> at </w:t>
      </w:r>
      <w:r w:rsidRPr="004269D0" w:rsidR="00E11469">
        <w:t>4.</w:t>
      </w:r>
    </w:p>
  </w:footnote>
  <w:footnote w:id="26">
    <w:p w:rsidR="000A020B" w:rsidRPr="004269D0" w:rsidP="000A020B" w14:paraId="0F86D2B7" w14:textId="77777777">
      <w:pPr>
        <w:pStyle w:val="FootnoteText"/>
      </w:pPr>
      <w:r w:rsidRPr="004269D0">
        <w:rPr>
          <w:rStyle w:val="FootnoteReference"/>
        </w:rPr>
        <w:footnoteRef/>
      </w:r>
      <w:r w:rsidRPr="004269D0">
        <w:t xml:space="preserve"> </w:t>
      </w:r>
      <w:r w:rsidRPr="004269D0">
        <w:rPr>
          <w:i/>
          <w:iCs/>
        </w:rPr>
        <w:t xml:space="preserve">NFL Waiver Order </w:t>
      </w:r>
      <w:r w:rsidRPr="004269D0">
        <w:t>at 2.</w:t>
      </w:r>
    </w:p>
  </w:footnote>
  <w:footnote w:id="27">
    <w:p w:rsidR="000A020B" w:rsidRPr="004269D0" w:rsidP="000A020B" w14:paraId="424E708D" w14:textId="77777777">
      <w:pPr>
        <w:pStyle w:val="FootnoteText"/>
      </w:pPr>
      <w:r w:rsidRPr="004269D0">
        <w:rPr>
          <w:rStyle w:val="FootnoteReference"/>
        </w:rPr>
        <w:footnoteRef/>
      </w:r>
      <w:r w:rsidRPr="004269D0">
        <w:t xml:space="preserve"> </w:t>
      </w:r>
      <w:r w:rsidRPr="004269D0">
        <w:rPr>
          <w:i/>
          <w:iCs/>
        </w:rPr>
        <w:t xml:space="preserve">NFL Waiver Order </w:t>
      </w:r>
      <w:r w:rsidRPr="004269D0">
        <w:t>at 3.</w:t>
      </w:r>
    </w:p>
  </w:footnote>
  <w:footnote w:id="28">
    <w:p w:rsidR="000A020B" w:rsidRPr="004269D0" w:rsidP="000A020B" w14:paraId="5640A24B" w14:textId="77777777">
      <w:pPr>
        <w:pStyle w:val="FootnoteText"/>
      </w:pPr>
      <w:r w:rsidRPr="004269D0">
        <w:rPr>
          <w:rStyle w:val="FootnoteReference"/>
        </w:rPr>
        <w:footnoteRef/>
      </w:r>
      <w:r w:rsidRPr="004269D0">
        <w:t xml:space="preserve"> </w:t>
      </w:r>
      <w:r w:rsidRPr="004269D0">
        <w:rPr>
          <w:i/>
          <w:iCs/>
        </w:rPr>
        <w:t xml:space="preserve">NFL Waiver Order </w:t>
      </w:r>
      <w:r w:rsidRPr="004269D0">
        <w:t>at 3.</w:t>
      </w:r>
    </w:p>
  </w:footnote>
  <w:footnote w:id="29">
    <w:p w:rsidR="00190F18" w:rsidRPr="004269D0" w14:paraId="5790BAB8" w14:textId="48F29B46">
      <w:pPr>
        <w:pStyle w:val="FootnoteText"/>
      </w:pPr>
      <w:r w:rsidRPr="004269D0">
        <w:rPr>
          <w:rStyle w:val="FootnoteReference"/>
        </w:rPr>
        <w:footnoteRef/>
      </w:r>
      <w:r w:rsidRPr="004269D0">
        <w:t xml:space="preserve"> </w:t>
      </w:r>
      <w:r w:rsidRPr="004269D0">
        <w:rPr>
          <w:i/>
          <w:iCs/>
        </w:rPr>
        <w:t xml:space="preserve">NFL Waiver </w:t>
      </w:r>
      <w:r w:rsidR="00EC791A">
        <w:rPr>
          <w:i/>
          <w:iCs/>
        </w:rPr>
        <w:t xml:space="preserve">Extension </w:t>
      </w:r>
      <w:r w:rsidRPr="004269D0">
        <w:rPr>
          <w:i/>
          <w:iCs/>
        </w:rPr>
        <w:t>Request</w:t>
      </w:r>
      <w:r w:rsidRPr="004269D0">
        <w:t xml:space="preserve"> </w:t>
      </w:r>
      <w:r w:rsidRPr="004269D0" w:rsidR="00D864E2">
        <w:t xml:space="preserve">at </w:t>
      </w:r>
      <w:r w:rsidRPr="004269D0" w:rsidR="008B1284">
        <w:t>4-5</w:t>
      </w:r>
      <w:r w:rsidRPr="004269D0" w:rsidR="00D864E2">
        <w:t>.</w:t>
      </w:r>
    </w:p>
  </w:footnote>
  <w:footnote w:id="30">
    <w:p w:rsidR="004D7C00" w:rsidRPr="004269D0" w14:paraId="397B11B3" w14:textId="4BEE3DF5">
      <w:pPr>
        <w:pStyle w:val="FootnoteText"/>
      </w:pPr>
      <w:r w:rsidRPr="004269D0">
        <w:rPr>
          <w:rStyle w:val="FootnoteReference"/>
        </w:rPr>
        <w:footnoteRef/>
      </w:r>
      <w:r w:rsidRPr="004269D0">
        <w:t xml:space="preserve"> </w:t>
      </w:r>
      <w:r w:rsidRPr="004269D0">
        <w:rPr>
          <w:i/>
          <w:iCs/>
        </w:rPr>
        <w:t xml:space="preserve">NFL Waiver </w:t>
      </w:r>
      <w:r w:rsidR="00EC791A">
        <w:rPr>
          <w:i/>
          <w:iCs/>
        </w:rPr>
        <w:t xml:space="preserve">Extension </w:t>
      </w:r>
      <w:r w:rsidRPr="004269D0">
        <w:rPr>
          <w:i/>
          <w:iCs/>
        </w:rPr>
        <w:t>Request</w:t>
      </w:r>
      <w:r w:rsidRPr="004269D0">
        <w:t xml:space="preserve"> at </w:t>
      </w:r>
      <w:r w:rsidRPr="004269D0" w:rsidR="00CA082B">
        <w:t xml:space="preserve">5, citing para. 6 of its </w:t>
      </w:r>
      <w:r w:rsidR="00EC791A">
        <w:t>original</w:t>
      </w:r>
      <w:r w:rsidRPr="004269D0" w:rsidR="00EC791A">
        <w:t xml:space="preserve"> </w:t>
      </w:r>
      <w:r w:rsidR="00EC791A">
        <w:t>w</w:t>
      </w:r>
      <w:r w:rsidRPr="004269D0" w:rsidR="00CA082B">
        <w:t xml:space="preserve">aiver </w:t>
      </w:r>
      <w:r w:rsidR="00EC791A">
        <w:t>r</w:t>
      </w:r>
      <w:r w:rsidRPr="004269D0" w:rsidR="00CA082B">
        <w:t>equest.</w:t>
      </w:r>
    </w:p>
  </w:footnote>
  <w:footnote w:id="31">
    <w:p w:rsidR="00CA082B" w:rsidRPr="004269D0" w14:paraId="36D4F783" w14:textId="0DCBB4C0">
      <w:pPr>
        <w:pStyle w:val="FootnoteText"/>
      </w:pPr>
      <w:r w:rsidRPr="004269D0">
        <w:rPr>
          <w:rStyle w:val="FootnoteReference"/>
        </w:rPr>
        <w:footnoteRef/>
      </w:r>
      <w:r w:rsidRPr="004269D0">
        <w:t xml:space="preserve"> </w:t>
      </w:r>
      <w:r w:rsidRPr="004269D0" w:rsidR="00A61B2C">
        <w:rPr>
          <w:i/>
          <w:iCs/>
        </w:rPr>
        <w:t xml:space="preserve">NFL Waiver </w:t>
      </w:r>
      <w:r w:rsidR="00EC791A">
        <w:rPr>
          <w:i/>
          <w:iCs/>
        </w:rPr>
        <w:t xml:space="preserve">Extension </w:t>
      </w:r>
      <w:r w:rsidRPr="004269D0" w:rsidR="00A61B2C">
        <w:rPr>
          <w:i/>
          <w:iCs/>
        </w:rPr>
        <w:t>Request</w:t>
      </w:r>
      <w:r w:rsidRPr="004269D0" w:rsidR="00A61B2C">
        <w:t xml:space="preserve"> at 5-6.</w:t>
      </w:r>
      <w:r w:rsidRPr="004269D0" w:rsidR="006679D9">
        <w:t xml:space="preserve">  In its reply comments, the NFL expands on this in stating that </w:t>
      </w:r>
      <w:r w:rsidRPr="004269D0" w:rsidR="002D7FA0">
        <w:t xml:space="preserve">a </w:t>
      </w:r>
      <w:r w:rsidR="000C1EC7">
        <w:t>three</w:t>
      </w:r>
      <w:r w:rsidRPr="004269D0" w:rsidR="002D7FA0">
        <w:t>-year period</w:t>
      </w:r>
      <w:r w:rsidRPr="004269D0" w:rsidR="006679D9">
        <w:t xml:space="preserve"> enable</w:t>
      </w:r>
      <w:r w:rsidRPr="004269D0" w:rsidR="002D7FA0">
        <w:t>s</w:t>
      </w:r>
      <w:r w:rsidRPr="004269D0" w:rsidR="006679D9">
        <w:t xml:space="preserve"> the NFL to plan for the short-term as it continues to explore different technology </w:t>
      </w:r>
      <w:r w:rsidRPr="004269D0" w:rsidR="002D7FA0">
        <w:t xml:space="preserve">solutions and affords the Commission an opportunity to manage resources as a longer period avoids burdening Commission staff with </w:t>
      </w:r>
      <w:r w:rsidRPr="004269D0" w:rsidR="00D94D6A">
        <w:t xml:space="preserve">having </w:t>
      </w:r>
      <w:r w:rsidRPr="004269D0" w:rsidR="00036C16">
        <w:t xml:space="preserve">to </w:t>
      </w:r>
      <w:r w:rsidRPr="004269D0" w:rsidR="00D94D6A">
        <w:t>process “identical requests multiple times in a short window.”  NFL Reply Comments at 3.</w:t>
      </w:r>
      <w:r w:rsidRPr="004269D0" w:rsidR="002D7FA0">
        <w:t xml:space="preserve"> </w:t>
      </w:r>
    </w:p>
  </w:footnote>
  <w:footnote w:id="32">
    <w:p w:rsidR="00492C57" w:rsidRPr="004269D0" w14:paraId="096FFCA9" w14:textId="51A096C7">
      <w:pPr>
        <w:pStyle w:val="FootnoteText"/>
      </w:pPr>
      <w:r w:rsidRPr="004269D0">
        <w:rPr>
          <w:rStyle w:val="FootnoteReference"/>
        </w:rPr>
        <w:footnoteRef/>
      </w:r>
      <w:r w:rsidRPr="004269D0">
        <w:t xml:space="preserve"> </w:t>
      </w:r>
      <w:r w:rsidRPr="004269D0" w:rsidR="005E5DB1">
        <w:rPr>
          <w:i/>
          <w:iCs/>
        </w:rPr>
        <w:t xml:space="preserve">NFL Waiver </w:t>
      </w:r>
      <w:r w:rsidR="00EC791A">
        <w:rPr>
          <w:i/>
          <w:iCs/>
        </w:rPr>
        <w:t xml:space="preserve">Extension </w:t>
      </w:r>
      <w:r w:rsidRPr="004269D0" w:rsidR="005E5DB1">
        <w:rPr>
          <w:i/>
          <w:iCs/>
        </w:rPr>
        <w:t>Request</w:t>
      </w:r>
      <w:r w:rsidRPr="004269D0" w:rsidR="005E5DB1">
        <w:t xml:space="preserve"> at 6.</w:t>
      </w:r>
    </w:p>
  </w:footnote>
  <w:footnote w:id="33">
    <w:p w:rsidR="00A21A03" w:rsidRPr="004269D0" w14:paraId="312884A1" w14:textId="7A51A205">
      <w:pPr>
        <w:pStyle w:val="FootnoteText"/>
      </w:pPr>
      <w:r w:rsidRPr="004269D0">
        <w:rPr>
          <w:rStyle w:val="FootnoteReference"/>
        </w:rPr>
        <w:footnoteRef/>
      </w:r>
      <w:r w:rsidRPr="004269D0">
        <w:t xml:space="preserve"> </w:t>
      </w:r>
      <w:r w:rsidRPr="004269D0" w:rsidR="008F7BA5">
        <w:t>Consistent with its original waiver request, t</w:t>
      </w:r>
      <w:r w:rsidRPr="004269D0" w:rsidR="000E27A1">
        <w:t xml:space="preserve">he NFL pointed out that its operations </w:t>
      </w:r>
      <w:r w:rsidRPr="004269D0" w:rsidR="008F7BA5">
        <w:t xml:space="preserve">are unlikely to cause interference to other </w:t>
      </w:r>
      <w:r w:rsidRPr="004269D0" w:rsidR="008F1127">
        <w:t>Citizens Broadband Radio Service</w:t>
      </w:r>
      <w:r w:rsidRPr="004269D0" w:rsidR="008F7BA5">
        <w:t xml:space="preserve"> users because its system will only operate at low power, inside NFL stadiums w</w:t>
      </w:r>
      <w:r w:rsidRPr="004269D0" w:rsidR="00D761A7">
        <w:t xml:space="preserve">ith </w:t>
      </w:r>
      <w:r w:rsidRPr="004269D0" w:rsidR="00F629DE">
        <w:t xml:space="preserve">“uniquely </w:t>
      </w:r>
      <w:r w:rsidRPr="004269D0" w:rsidR="00D761A7">
        <w:t>high levels of building attenuation,</w:t>
      </w:r>
      <w:r w:rsidRPr="004269D0" w:rsidR="00F629DE">
        <w:t>”</w:t>
      </w:r>
      <w:r w:rsidRPr="004269D0" w:rsidR="00D761A7">
        <w:t xml:space="preserve"> for a limited amount of time</w:t>
      </w:r>
      <w:r w:rsidRPr="004269D0" w:rsidR="00F629DE">
        <w:t xml:space="preserve">.  </w:t>
      </w:r>
      <w:r w:rsidRPr="004269D0" w:rsidR="00F629DE">
        <w:rPr>
          <w:i/>
          <w:iCs/>
        </w:rPr>
        <w:t xml:space="preserve">NFL Waiver </w:t>
      </w:r>
      <w:r w:rsidR="00EC791A">
        <w:rPr>
          <w:i/>
          <w:iCs/>
        </w:rPr>
        <w:t xml:space="preserve">Extension </w:t>
      </w:r>
      <w:r w:rsidRPr="004269D0" w:rsidR="00F629DE">
        <w:rPr>
          <w:i/>
          <w:iCs/>
        </w:rPr>
        <w:t>Request</w:t>
      </w:r>
      <w:r w:rsidRPr="004269D0" w:rsidR="00F629DE">
        <w:t xml:space="preserve"> at 6</w:t>
      </w:r>
      <w:r w:rsidRPr="004269D0" w:rsidR="008E686E">
        <w:t>-7</w:t>
      </w:r>
      <w:r w:rsidRPr="004269D0" w:rsidR="00F629DE">
        <w:t xml:space="preserve">, citing para. </w:t>
      </w:r>
      <w:r w:rsidRPr="004269D0" w:rsidR="00196E50">
        <w:t>8</w:t>
      </w:r>
      <w:r w:rsidRPr="004269D0" w:rsidR="00F629DE">
        <w:t xml:space="preserve"> of the </w:t>
      </w:r>
      <w:r w:rsidRPr="004269D0" w:rsidR="00F629DE">
        <w:rPr>
          <w:i/>
          <w:iCs/>
        </w:rPr>
        <w:t>NFL Waiver Order</w:t>
      </w:r>
      <w:r w:rsidRPr="004269D0" w:rsidR="00F629DE">
        <w:t>.</w:t>
      </w:r>
    </w:p>
  </w:footnote>
  <w:footnote w:id="34">
    <w:p w:rsidR="00C45108" w:rsidRPr="004269D0" w14:paraId="7C73F080" w14:textId="69441AA8">
      <w:pPr>
        <w:pStyle w:val="FootnoteText"/>
      </w:pPr>
      <w:r w:rsidRPr="004269D0">
        <w:rPr>
          <w:rStyle w:val="FootnoteReference"/>
        </w:rPr>
        <w:footnoteRef/>
      </w:r>
      <w:r w:rsidRPr="004269D0">
        <w:t xml:space="preserve"> </w:t>
      </w:r>
      <w:r w:rsidRPr="004269D0" w:rsidR="00CD606B">
        <w:t xml:space="preserve">The NFL, and its serving SAS, must comply with all applicable rules governing Citizens Broadband Radio Service operations, including incumbent protection, except as specifically waived herein. </w:t>
      </w:r>
    </w:p>
  </w:footnote>
  <w:footnote w:id="35">
    <w:p w:rsidR="00281F24" w:rsidRPr="004269D0" w:rsidP="00281F24" w14:paraId="15EC5F95" w14:textId="2871CEE7">
      <w:pPr>
        <w:pStyle w:val="FootnoteText"/>
      </w:pPr>
      <w:r w:rsidRPr="004269D0">
        <w:rPr>
          <w:rStyle w:val="FootnoteReference"/>
        </w:rPr>
        <w:footnoteRef/>
      </w:r>
      <w:r w:rsidRPr="004269D0">
        <w:t xml:space="preserve"> </w:t>
      </w:r>
      <w:r w:rsidRPr="00A12A70" w:rsidR="004A787C">
        <w:rPr>
          <w:i/>
          <w:iCs/>
        </w:rPr>
        <w:t>NFL Waiver Order</w:t>
      </w:r>
      <w:r w:rsidR="004A787C">
        <w:t xml:space="preserve"> at </w:t>
      </w:r>
      <w:r w:rsidR="006C6AA4">
        <w:t>4.</w:t>
      </w:r>
    </w:p>
  </w:footnote>
  <w:footnote w:id="36">
    <w:p w:rsidR="00AC452E" w:rsidRPr="004269D0" w14:paraId="28BB52EB" w14:textId="311B4F08">
      <w:pPr>
        <w:pStyle w:val="FootnoteText"/>
      </w:pPr>
      <w:r w:rsidRPr="004269D0">
        <w:rPr>
          <w:rStyle w:val="FootnoteReference"/>
        </w:rPr>
        <w:footnoteRef/>
      </w:r>
      <w:r w:rsidRPr="004269D0">
        <w:t xml:space="preserve"> </w:t>
      </w:r>
      <w:r w:rsidRPr="004269D0" w:rsidR="00646911">
        <w:t>T</w:t>
      </w:r>
      <w:r w:rsidRPr="004269D0">
        <w:t xml:space="preserve">he burden to support a waiver is on the </w:t>
      </w:r>
      <w:r w:rsidR="000C1EC7">
        <w:t>p</w:t>
      </w:r>
      <w:r w:rsidRPr="004269D0">
        <w:t xml:space="preserve">etitioner and it </w:t>
      </w:r>
      <w:r w:rsidRPr="004269D0" w:rsidR="00646911">
        <w:t>must</w:t>
      </w:r>
      <w:r w:rsidRPr="004269D0">
        <w:t xml:space="preserve"> </w:t>
      </w:r>
      <w:r w:rsidRPr="004269D0" w:rsidR="00FA067C">
        <w:t xml:space="preserve">state with clarity the </w:t>
      </w:r>
      <w:r w:rsidRPr="004269D0" w:rsidR="00FA067C">
        <w:rPr>
          <w:color w:val="000000"/>
        </w:rPr>
        <w:t>facts and circumstances which warrant such action and</w:t>
      </w:r>
      <w:r w:rsidRPr="004269D0" w:rsidR="00FA067C">
        <w:t xml:space="preserve"> </w:t>
      </w:r>
      <w:r w:rsidRPr="004269D0">
        <w:t xml:space="preserve">provide substantial support for </w:t>
      </w:r>
      <w:r w:rsidRPr="004269D0" w:rsidR="00646911">
        <w:t xml:space="preserve">a </w:t>
      </w:r>
      <w:r w:rsidRPr="004269D0">
        <w:t xml:space="preserve">waiver.  </w:t>
      </w:r>
      <w:r w:rsidRPr="004269D0">
        <w:rPr>
          <w:i/>
          <w:iCs/>
        </w:rPr>
        <w:t xml:space="preserve">See </w:t>
      </w:r>
      <w:r w:rsidRPr="004269D0" w:rsidR="00646911">
        <w:rPr>
          <w:i/>
          <w:iCs/>
        </w:rPr>
        <w:t xml:space="preserve">WAIT Radio v. FCC, </w:t>
      </w:r>
      <w:r w:rsidRPr="004269D0" w:rsidR="00646911">
        <w:t xml:space="preserve">135 </w:t>
      </w:r>
      <w:r w:rsidRPr="004269D0" w:rsidR="00646911">
        <w:t>U.S.App.D.C</w:t>
      </w:r>
      <w:r w:rsidRPr="004269D0" w:rsidR="00646911">
        <w:t>. 317,</w:t>
      </w:r>
      <w:r w:rsidRPr="004269D0" w:rsidR="007E0CBC">
        <w:t xml:space="preserve"> 321,</w:t>
      </w:r>
      <w:r w:rsidRPr="004269D0" w:rsidR="00646911">
        <w:t xml:space="preserve"> 418 F.2d 1153, 115</w:t>
      </w:r>
      <w:r w:rsidRPr="004269D0" w:rsidR="007E0CBC">
        <w:t>7</w:t>
      </w:r>
      <w:r w:rsidRPr="004269D0" w:rsidR="00646911">
        <w:t xml:space="preserve"> (1969)</w:t>
      </w:r>
      <w:r w:rsidRPr="004269D0" w:rsidR="00646911">
        <w:rPr>
          <w:i/>
          <w:iCs/>
        </w:rPr>
        <w:t>.</w:t>
      </w:r>
      <w:r w:rsidRPr="004269D0" w:rsidR="00C9130E">
        <w:rPr>
          <w:i/>
          <w:iCs/>
        </w:rPr>
        <w:t xml:space="preserve">  See also</w:t>
      </w:r>
      <w:r w:rsidRPr="004269D0" w:rsidR="00ED20C8">
        <w:rPr>
          <w:i/>
          <w:iCs/>
        </w:rPr>
        <w:t xml:space="preserve"> Rio Grande Radio Fellowship Inc. v. FCC, </w:t>
      </w:r>
      <w:r w:rsidRPr="00031BCF" w:rsidR="00ED20C8">
        <w:t xml:space="preserve">132 </w:t>
      </w:r>
      <w:r w:rsidRPr="00031BCF" w:rsidR="00ED20C8">
        <w:t>U.S.App.D.C</w:t>
      </w:r>
      <w:r w:rsidRPr="00031BCF" w:rsidR="00ED20C8">
        <w:t>. 128</w:t>
      </w:r>
      <w:r w:rsidRPr="004269D0" w:rsidR="00ED20C8">
        <w:t>, 130</w:t>
      </w:r>
      <w:r w:rsidRPr="00031BCF" w:rsidR="00ED20C8">
        <w:t>, 406 F.2d 664</w:t>
      </w:r>
      <w:r w:rsidRPr="004269D0" w:rsidR="00ED20C8">
        <w:t>, 666</w:t>
      </w:r>
      <w:r w:rsidRPr="004269D0" w:rsidR="00ED20C8">
        <w:rPr>
          <w:i/>
          <w:iCs/>
        </w:rPr>
        <w:t xml:space="preserve"> </w:t>
      </w:r>
      <w:r w:rsidRPr="00031BCF" w:rsidR="00ED20C8">
        <w:t>(1968)</w:t>
      </w:r>
      <w:r w:rsidRPr="004269D0" w:rsidR="00ED20C8">
        <w:rPr>
          <w:i/>
          <w:iCs/>
        </w:rPr>
        <w:t xml:space="preserve"> </w:t>
      </w:r>
      <w:r w:rsidRPr="004269D0" w:rsidR="00D97E21">
        <w:t>(t</w:t>
      </w:r>
      <w:r w:rsidRPr="00031BCF" w:rsidR="00283A5A">
        <w:t>he Commission need not grant a waiver of its Rules unless an application sets out adequate reasons why the Rules should be waived</w:t>
      </w:r>
      <w:r w:rsidRPr="004269D0" w:rsidR="00D97E21">
        <w:t>);</w:t>
      </w:r>
      <w:r w:rsidRPr="004269D0" w:rsidR="00743E10">
        <w:t xml:space="preserve"> </w:t>
      </w:r>
      <w:r w:rsidRPr="00031BCF" w:rsidR="00743E10">
        <w:rPr>
          <w:i/>
          <w:iCs/>
        </w:rPr>
        <w:t>United States v. Storer Broadcasting Co.</w:t>
      </w:r>
      <w:r w:rsidRPr="004269D0" w:rsidR="00743E10">
        <w:t xml:space="preserve">,351 U.S. 192, 205, 76 </w:t>
      </w:r>
      <w:r w:rsidRPr="004269D0" w:rsidR="00743E10">
        <w:t>S.Ct</w:t>
      </w:r>
      <w:r w:rsidRPr="004269D0" w:rsidR="00743E10">
        <w:t xml:space="preserve">. 763, 771, 100 </w:t>
      </w:r>
      <w:r w:rsidRPr="004269D0" w:rsidR="00743E10">
        <w:t>L.Ed</w:t>
      </w:r>
      <w:r w:rsidRPr="004269D0" w:rsidR="00743E10">
        <w:t>. 1081 (1956).</w:t>
      </w:r>
      <w:r w:rsidRPr="004269D0" w:rsidR="00C9130E">
        <w:rPr>
          <w:i/>
          <w:iCs/>
        </w:rPr>
        <w:t xml:space="preserve"> </w:t>
      </w:r>
      <w:r w:rsidRPr="004269D0" w:rsidR="00743E10">
        <w:t>(</w:t>
      </w:r>
      <w:r w:rsidRPr="004269D0" w:rsidR="00CC71F8">
        <w:t>applicant</w:t>
      </w:r>
      <w:r w:rsidRPr="004269D0" w:rsidR="00743E10">
        <w:t xml:space="preserve"> must s</w:t>
      </w:r>
      <w:r w:rsidRPr="00031BCF" w:rsidR="00743E10">
        <w:t xml:space="preserve">et out adequate reasons </w:t>
      </w:r>
      <w:r w:rsidRPr="004269D0" w:rsidR="00CC71F8">
        <w:t xml:space="preserve">justifying </w:t>
      </w:r>
      <w:r w:rsidRPr="00031BCF" w:rsidR="00743E10">
        <w:t>why the Rules should be waived or amended</w:t>
      </w:r>
      <w:r w:rsidRPr="004269D0" w:rsidR="00CC71F8">
        <w:t>)</w:t>
      </w:r>
      <w:r w:rsidRPr="004269D0" w:rsidR="00743E10">
        <w:t xml:space="preserve">; </w:t>
      </w:r>
      <w:r w:rsidRPr="004269D0" w:rsidR="00C9130E">
        <w:rPr>
          <w:i/>
          <w:iCs/>
        </w:rPr>
        <w:t xml:space="preserve">Indus. Broad. Co. v. FCC, </w:t>
      </w:r>
      <w:r w:rsidRPr="004269D0" w:rsidR="00C9130E">
        <w:t>437 F.2d 680, 683 (D.C. Cir. 1970) (applicant bears heavy burden to demonstrate that his arguments for waiver are substantially different from those that have been carefully considered in rulemaking proceeding).</w:t>
      </w:r>
    </w:p>
  </w:footnote>
  <w:footnote w:id="37">
    <w:p w:rsidR="00772E1E" w:rsidRPr="004269D0" w14:paraId="10589A6D" w14:textId="2D17DC56">
      <w:pPr>
        <w:pStyle w:val="FootnoteText"/>
      </w:pPr>
      <w:r w:rsidRPr="004269D0">
        <w:rPr>
          <w:rStyle w:val="FootnoteReference"/>
        </w:rPr>
        <w:footnoteRef/>
      </w:r>
      <w:r w:rsidRPr="004269D0">
        <w:t xml:space="preserve"> See </w:t>
      </w:r>
      <w:r w:rsidRPr="00A12A70">
        <w:rPr>
          <w:i/>
          <w:iCs/>
        </w:rPr>
        <w:t xml:space="preserve">NFL Waiver </w:t>
      </w:r>
      <w:r w:rsidRPr="00A12A70" w:rsidR="00EC791A">
        <w:rPr>
          <w:i/>
          <w:iCs/>
        </w:rPr>
        <w:t xml:space="preserve">Extension </w:t>
      </w:r>
      <w:r w:rsidRPr="00A12A70">
        <w:rPr>
          <w:i/>
          <w:iCs/>
        </w:rPr>
        <w:t>Request</w:t>
      </w:r>
      <w:r w:rsidRPr="004269D0">
        <w:t xml:space="preserve"> at 5-6</w:t>
      </w:r>
      <w:r w:rsidRPr="004269D0" w:rsidR="00407C51">
        <w:t xml:space="preserve">, NFL Reply Comments at </w:t>
      </w:r>
      <w:r w:rsidRPr="004269D0" w:rsidR="00EC1117">
        <w:t>3,</w:t>
      </w:r>
      <w:r w:rsidRPr="004269D0" w:rsidR="00407C51">
        <w:t xml:space="preserve"> and </w:t>
      </w:r>
      <w:r w:rsidRPr="00A12A70" w:rsidR="00407C51">
        <w:rPr>
          <w:i/>
          <w:iCs/>
        </w:rPr>
        <w:t>NFL</w:t>
      </w:r>
      <w:r w:rsidRPr="004269D0" w:rsidR="00407C51">
        <w:t xml:space="preserve"> </w:t>
      </w:r>
      <w:r w:rsidRPr="00A12A70" w:rsidR="00902FB0">
        <w:rPr>
          <w:i/>
          <w:iCs/>
        </w:rPr>
        <w:t>R</w:t>
      </w:r>
      <w:r w:rsidRPr="00A12A70" w:rsidR="00407C51">
        <w:rPr>
          <w:i/>
          <w:iCs/>
        </w:rPr>
        <w:t>eport</w:t>
      </w:r>
      <w:r w:rsidRPr="004269D0" w:rsidR="00407C51">
        <w:t xml:space="preserve"> at 2.</w:t>
      </w:r>
    </w:p>
  </w:footnote>
  <w:footnote w:id="38">
    <w:p w:rsidR="00500F87" w:rsidRPr="004269D0" w14:paraId="5B1BB555" w14:textId="076CA3FD">
      <w:pPr>
        <w:pStyle w:val="FootnoteText"/>
      </w:pPr>
      <w:r w:rsidRPr="004269D0">
        <w:rPr>
          <w:rStyle w:val="FootnoteReference"/>
        </w:rPr>
        <w:footnoteRef/>
      </w:r>
      <w:r w:rsidRPr="004269D0">
        <w:t xml:space="preserve"> </w:t>
      </w:r>
      <w:r w:rsidRPr="004269D0">
        <w:rPr>
          <w:i/>
          <w:iCs/>
        </w:rPr>
        <w:t>See</w:t>
      </w:r>
      <w:r w:rsidRPr="004269D0">
        <w:t xml:space="preserve"> </w:t>
      </w:r>
      <w:r w:rsidRPr="00A12A70">
        <w:rPr>
          <w:i/>
          <w:iCs/>
        </w:rPr>
        <w:t>NFL</w:t>
      </w:r>
      <w:r w:rsidRPr="00A12A70" w:rsidR="00EC791A">
        <w:rPr>
          <w:i/>
          <w:iCs/>
        </w:rPr>
        <w:t xml:space="preserve"> R</w:t>
      </w:r>
      <w:r w:rsidRPr="00A12A70">
        <w:rPr>
          <w:i/>
          <w:iCs/>
        </w:rPr>
        <w:t>eport</w:t>
      </w:r>
      <w:r w:rsidRPr="004269D0">
        <w:t xml:space="preserve"> at 2.  </w:t>
      </w:r>
    </w:p>
  </w:footnote>
  <w:footnote w:id="39">
    <w:p w:rsidR="00EC1117" w:rsidRPr="004269D0" w14:paraId="02A26B2D" w14:textId="1143966D">
      <w:pPr>
        <w:pStyle w:val="FootnoteText"/>
      </w:pPr>
      <w:r w:rsidRPr="004269D0">
        <w:rPr>
          <w:rStyle w:val="FootnoteReference"/>
        </w:rPr>
        <w:footnoteRef/>
      </w:r>
      <w:r w:rsidRPr="004269D0">
        <w:t xml:space="preserve"> </w:t>
      </w:r>
      <w:r w:rsidRPr="004269D0" w:rsidR="008E43D9">
        <w:rPr>
          <w:i/>
          <w:iCs/>
        </w:rPr>
        <w:t>Id.</w:t>
      </w:r>
    </w:p>
  </w:footnote>
  <w:footnote w:id="40">
    <w:p w:rsidR="00C9292B" w:rsidRPr="004269D0" w14:paraId="55D59605" w14:textId="444B0459">
      <w:pPr>
        <w:pStyle w:val="FootnoteText"/>
      </w:pPr>
      <w:r w:rsidRPr="004269D0">
        <w:rPr>
          <w:rStyle w:val="FootnoteReference"/>
        </w:rPr>
        <w:footnoteRef/>
      </w:r>
      <w:r w:rsidRPr="004269D0">
        <w:t xml:space="preserve"> </w:t>
      </w:r>
      <w:r w:rsidRPr="004269D0">
        <w:rPr>
          <w:i/>
          <w:iCs/>
        </w:rPr>
        <w:t>See</w:t>
      </w:r>
      <w:r w:rsidRPr="004269D0">
        <w:t xml:space="preserve"> </w:t>
      </w:r>
      <w:r w:rsidRPr="00A12A70">
        <w:rPr>
          <w:i/>
          <w:iCs/>
        </w:rPr>
        <w:t xml:space="preserve">NFL Waiver </w:t>
      </w:r>
      <w:r w:rsidRPr="00A12A70" w:rsidR="00EC791A">
        <w:rPr>
          <w:i/>
          <w:iCs/>
        </w:rPr>
        <w:t xml:space="preserve">Extension </w:t>
      </w:r>
      <w:r w:rsidRPr="00A12A70">
        <w:rPr>
          <w:i/>
          <w:iCs/>
        </w:rPr>
        <w:t>Request</w:t>
      </w:r>
      <w:r w:rsidRPr="004269D0">
        <w:t xml:space="preserve"> at 6.</w:t>
      </w:r>
    </w:p>
  </w:footnote>
  <w:footnote w:id="41">
    <w:p w:rsidR="007B669A" w14:paraId="69F66B50" w14:textId="1E729388">
      <w:pPr>
        <w:pStyle w:val="FootnoteText"/>
      </w:pPr>
      <w:r>
        <w:rPr>
          <w:rStyle w:val="FootnoteReference"/>
        </w:rPr>
        <w:footnoteRef/>
      </w:r>
      <w:r>
        <w:t xml:space="preserve"> </w:t>
      </w:r>
      <w:r w:rsidRPr="00A12A70" w:rsidR="000E1281">
        <w:rPr>
          <w:i/>
          <w:iCs/>
        </w:rPr>
        <w:t xml:space="preserve">See </w:t>
      </w:r>
      <w:r w:rsidRPr="00A12A70">
        <w:rPr>
          <w:i/>
          <w:iCs/>
        </w:rPr>
        <w:t>NFL Report</w:t>
      </w:r>
      <w:r>
        <w:t xml:space="preserve"> at 2.</w:t>
      </w:r>
    </w:p>
  </w:footnote>
  <w:footnote w:id="42">
    <w:p w:rsidR="0079526B" w:rsidRPr="004269D0" w:rsidP="0079526B" w14:paraId="0027FB09" w14:textId="77777777">
      <w:pPr>
        <w:pStyle w:val="FootnoteText"/>
      </w:pPr>
      <w:r w:rsidRPr="004269D0">
        <w:rPr>
          <w:rStyle w:val="FootnoteReference"/>
        </w:rPr>
        <w:footnoteRef/>
      </w:r>
      <w:r w:rsidRPr="004269D0">
        <w:t xml:space="preserve"> </w:t>
      </w:r>
      <w:r w:rsidRPr="004269D0">
        <w:rPr>
          <w:i/>
          <w:iCs/>
        </w:rPr>
        <w:t xml:space="preserve">See WAIT Radio v. FCC, </w:t>
      </w:r>
      <w:r w:rsidRPr="004269D0">
        <w:t xml:space="preserve">135 </w:t>
      </w:r>
      <w:r w:rsidRPr="004269D0">
        <w:t>U.S.App.D.C</w:t>
      </w:r>
      <w:r w:rsidRPr="004269D0">
        <w:t xml:space="preserve">. at 321, 418 F.2d at 1157 (an applicant for waiver faces a high hurdle and must plead with particularity the facts and circumstances which warrant such action); </w:t>
      </w:r>
      <w:r w:rsidRPr="004269D0">
        <w:rPr>
          <w:i/>
          <w:iCs/>
          <w:color w:val="000000"/>
        </w:rPr>
        <w:t>see also</w:t>
      </w:r>
      <w:r w:rsidRPr="004269D0">
        <w:rPr>
          <w:color w:val="0E568C"/>
        </w:rPr>
        <w:t xml:space="preserve"> </w:t>
      </w:r>
      <w:r w:rsidRPr="00A12A70">
        <w:rPr>
          <w:i/>
          <w:iCs/>
        </w:rPr>
        <w:t>Family Stations, Inc. v. Direc</w:t>
      </w:r>
      <w:r>
        <w:rPr>
          <w:i/>
          <w:iCs/>
        </w:rPr>
        <w:t>t</w:t>
      </w:r>
      <w:r w:rsidRPr="00A12A70">
        <w:rPr>
          <w:i/>
          <w:iCs/>
        </w:rPr>
        <w:t>TV, Inc.</w:t>
      </w:r>
      <w:r w:rsidRPr="000253FE">
        <w:t xml:space="preserve">, </w:t>
      </w:r>
      <w:r>
        <w:rPr>
          <w:spacing w:val="-2"/>
        </w:rPr>
        <w:t>CSR-5772-M</w:t>
      </w:r>
      <w:r w:rsidRPr="000253FE">
        <w:t xml:space="preserve">, </w:t>
      </w:r>
      <w:r w:rsidRPr="00A12A70">
        <w:t>Order on Reconsideration</w:t>
      </w:r>
      <w:r w:rsidRPr="000253FE">
        <w:t xml:space="preserve">, 19 FCC </w:t>
      </w:r>
      <w:r w:rsidRPr="000253FE">
        <w:t>Rcd</w:t>
      </w:r>
      <w:r w:rsidRPr="000253FE">
        <w:t xml:space="preserve"> 14777, 14780</w:t>
      </w:r>
      <w:r>
        <w:t>,</w:t>
      </w:r>
      <w:r w:rsidRPr="000253FE">
        <w:t xml:space="preserve"> </w:t>
      </w:r>
      <w:r>
        <w:t>at para</w:t>
      </w:r>
      <w:r w:rsidRPr="000253FE">
        <w:t xml:space="preserve"> 7 (</w:t>
      </w:r>
      <w:r>
        <w:t xml:space="preserve">MB </w:t>
      </w:r>
      <w:r w:rsidRPr="000253FE">
        <w:t xml:space="preserve">2004) </w:t>
      </w:r>
      <w:r w:rsidRPr="004269D0">
        <w:t xml:space="preserve">(besides facing the high hurdle of pleading with particularity facts and circumstances warranting a waiver, an applicant for waiver must also articulate a specific public interest benefit that justifies its request); </w:t>
      </w:r>
      <w:r w:rsidRPr="00A12A70">
        <w:rPr>
          <w:i/>
          <w:iCs/>
        </w:rPr>
        <w:t>Section 68.4(A) of the Commission’s rules governing Hearing Aid-Compatible Telephones</w:t>
      </w:r>
      <w:r w:rsidRPr="004269D0">
        <w:t xml:space="preserve">, WT Docket 01-309, </w:t>
      </w:r>
      <w:r w:rsidRPr="00A12A70">
        <w:t>Memorandum Opinion and Order</w:t>
      </w:r>
      <w:r w:rsidRPr="004269D0">
        <w:t xml:space="preserve">, </w:t>
      </w:r>
      <w:r w:rsidRPr="00031BCF">
        <w:rPr>
          <w:color w:val="000000"/>
        </w:rPr>
        <w:t xml:space="preserve">22 FCC </w:t>
      </w:r>
      <w:r w:rsidRPr="00031BCF">
        <w:rPr>
          <w:color w:val="000000"/>
        </w:rPr>
        <w:t>Rcd</w:t>
      </w:r>
      <w:r w:rsidRPr="00031BCF">
        <w:rPr>
          <w:color w:val="000000"/>
        </w:rPr>
        <w:t>. 7171, 7176</w:t>
      </w:r>
      <w:r>
        <w:rPr>
          <w:color w:val="000000"/>
        </w:rPr>
        <w:t>, at para</w:t>
      </w:r>
      <w:r w:rsidRPr="00031BCF">
        <w:rPr>
          <w:color w:val="000000"/>
        </w:rPr>
        <w:t xml:space="preserve"> 9 (2007) </w:t>
      </w:r>
      <w:r w:rsidRPr="004269D0">
        <w:t>(if our hard look at a waiver request reveals only inadequate, conflicting, and inconsistent information, then our inquiry need go no further because the petitioner has failed in its obligation to plead with particularity the facts and circumstances warranting its requested relief).</w:t>
      </w:r>
    </w:p>
  </w:footnote>
  <w:footnote w:id="43">
    <w:p w:rsidR="0079526B" w:rsidRPr="004269D0" w:rsidP="0079526B" w14:paraId="18D64890" w14:textId="77777777">
      <w:pPr>
        <w:pStyle w:val="FootnoteText"/>
      </w:pPr>
      <w:r w:rsidRPr="004269D0">
        <w:rPr>
          <w:rStyle w:val="FootnoteReference"/>
        </w:rPr>
        <w:footnoteRef/>
      </w:r>
      <w:r w:rsidRPr="004269D0">
        <w:t xml:space="preserve"> </w:t>
      </w:r>
      <w:r w:rsidRPr="004269D0">
        <w:rPr>
          <w:i/>
          <w:iCs/>
        </w:rPr>
        <w:t xml:space="preserve">See WAIT Radio v. FCC, </w:t>
      </w:r>
      <w:r w:rsidRPr="004269D0">
        <w:t xml:space="preserve">135 </w:t>
      </w:r>
      <w:r w:rsidRPr="004269D0">
        <w:t>U.S.App.D.C</w:t>
      </w:r>
      <w:r w:rsidRPr="004269D0">
        <w:t xml:space="preserve">. at 323, 418 F.2d at 1159.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39CF" w14:paraId="344783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7304ED" w14:textId="2DA3CCE9">
    <w:pPr>
      <w:pStyle w:val="Header"/>
      <w:rPr>
        <w:b w:val="0"/>
      </w:rPr>
    </w:pPr>
    <w:r>
      <w:tab/>
      <w:t>Federal Communications Commission</w:t>
    </w:r>
    <w:r>
      <w:tab/>
    </w:r>
    <w:r w:rsidR="00281F24">
      <w:t>DA 2</w:t>
    </w:r>
    <w:r w:rsidR="007945CE">
      <w:t>2</w:t>
    </w:r>
    <w:r w:rsidR="00281F24">
      <w:t>-</w:t>
    </w:r>
    <w:r w:rsidR="007639CF">
      <w:t>927</w:t>
    </w:r>
  </w:p>
  <w:p w:rsidR="00D25FB5" w14:paraId="0A90E2B9" w14:textId="24FBC4B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35698E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30183" w14:textId="5FCEA1D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C626D">
      <w:rPr>
        <w:spacing w:val="-2"/>
      </w:rPr>
      <w:t>DA 2</w:t>
    </w:r>
    <w:r w:rsidR="005347B1">
      <w:rPr>
        <w:spacing w:val="-2"/>
      </w:rPr>
      <w:t>2</w:t>
    </w:r>
    <w:r w:rsidR="00FC626D">
      <w:rPr>
        <w:spacing w:val="-2"/>
      </w:rPr>
      <w:t>-</w:t>
    </w:r>
    <w:r w:rsidR="007639CF">
      <w:rPr>
        <w:spacing w:val="-2"/>
      </w:rPr>
      <w:t>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31304E"/>
    <w:multiLevelType w:val="singleLevel"/>
    <w:tmpl w:val="A9EE9842"/>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0E00994"/>
    <w:multiLevelType w:val="singleLevel"/>
    <w:tmpl w:val="A9EE9842"/>
    <w:lvl w:ilvl="0">
      <w:start w:val="1"/>
      <w:numFmt w:val="decimal"/>
      <w:lvlText w:val="%1."/>
      <w:lvlJc w:val="left"/>
      <w:pPr>
        <w:tabs>
          <w:tab w:val="num" w:pos="1080"/>
        </w:tabs>
        <w:ind w:left="0" w:firstLine="72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0A2358"/>
    <w:multiLevelType w:val="hybridMultilevel"/>
    <w:tmpl w:val="1F44F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24"/>
    <w:rsid w:val="00001975"/>
    <w:rsid w:val="00003E25"/>
    <w:rsid w:val="00005C57"/>
    <w:rsid w:val="000076CB"/>
    <w:rsid w:val="000211CD"/>
    <w:rsid w:val="000253FE"/>
    <w:rsid w:val="0003092A"/>
    <w:rsid w:val="0003152B"/>
    <w:rsid w:val="00031BCF"/>
    <w:rsid w:val="00036039"/>
    <w:rsid w:val="00036160"/>
    <w:rsid w:val="00036C16"/>
    <w:rsid w:val="00037E36"/>
    <w:rsid w:val="00037F90"/>
    <w:rsid w:val="0004312A"/>
    <w:rsid w:val="00051B56"/>
    <w:rsid w:val="0005384A"/>
    <w:rsid w:val="000641AA"/>
    <w:rsid w:val="0006480B"/>
    <w:rsid w:val="000657E1"/>
    <w:rsid w:val="00073828"/>
    <w:rsid w:val="000845F5"/>
    <w:rsid w:val="00086D25"/>
    <w:rsid w:val="000875BF"/>
    <w:rsid w:val="000919BC"/>
    <w:rsid w:val="00096D8C"/>
    <w:rsid w:val="000A020B"/>
    <w:rsid w:val="000A09AF"/>
    <w:rsid w:val="000A0BD9"/>
    <w:rsid w:val="000B268D"/>
    <w:rsid w:val="000B6DA5"/>
    <w:rsid w:val="000C0B65"/>
    <w:rsid w:val="000C1EC7"/>
    <w:rsid w:val="000D4F0C"/>
    <w:rsid w:val="000E05FE"/>
    <w:rsid w:val="000E1281"/>
    <w:rsid w:val="000E27A1"/>
    <w:rsid w:val="000E3D42"/>
    <w:rsid w:val="00100756"/>
    <w:rsid w:val="00114956"/>
    <w:rsid w:val="001156CE"/>
    <w:rsid w:val="00120029"/>
    <w:rsid w:val="00122BD5"/>
    <w:rsid w:val="001238FF"/>
    <w:rsid w:val="00124BFD"/>
    <w:rsid w:val="00127B67"/>
    <w:rsid w:val="00133F79"/>
    <w:rsid w:val="00135283"/>
    <w:rsid w:val="001445ED"/>
    <w:rsid w:val="001447EA"/>
    <w:rsid w:val="001734B6"/>
    <w:rsid w:val="00177DA0"/>
    <w:rsid w:val="00181B97"/>
    <w:rsid w:val="00184D96"/>
    <w:rsid w:val="00190F18"/>
    <w:rsid w:val="00194A66"/>
    <w:rsid w:val="00196E50"/>
    <w:rsid w:val="00196F60"/>
    <w:rsid w:val="001B0A41"/>
    <w:rsid w:val="001B0E5B"/>
    <w:rsid w:val="001B3F5F"/>
    <w:rsid w:val="001C00C3"/>
    <w:rsid w:val="001C6328"/>
    <w:rsid w:val="001D2034"/>
    <w:rsid w:val="001D6BCF"/>
    <w:rsid w:val="001E01CA"/>
    <w:rsid w:val="001F2162"/>
    <w:rsid w:val="001F7C55"/>
    <w:rsid w:val="002043B1"/>
    <w:rsid w:val="002104B9"/>
    <w:rsid w:val="002135B8"/>
    <w:rsid w:val="00214BB3"/>
    <w:rsid w:val="00243D7F"/>
    <w:rsid w:val="002464D1"/>
    <w:rsid w:val="00251F52"/>
    <w:rsid w:val="00253EED"/>
    <w:rsid w:val="00264BA2"/>
    <w:rsid w:val="00270F80"/>
    <w:rsid w:val="0027504A"/>
    <w:rsid w:val="00275CF5"/>
    <w:rsid w:val="00281F24"/>
    <w:rsid w:val="0028301F"/>
    <w:rsid w:val="00283A5A"/>
    <w:rsid w:val="00285017"/>
    <w:rsid w:val="0028530C"/>
    <w:rsid w:val="002872B0"/>
    <w:rsid w:val="0029181A"/>
    <w:rsid w:val="002A0D78"/>
    <w:rsid w:val="002A2A7E"/>
    <w:rsid w:val="002A2D2E"/>
    <w:rsid w:val="002A3221"/>
    <w:rsid w:val="002A57A0"/>
    <w:rsid w:val="002C00E8"/>
    <w:rsid w:val="002D4895"/>
    <w:rsid w:val="002D499C"/>
    <w:rsid w:val="002D7FA0"/>
    <w:rsid w:val="002E313D"/>
    <w:rsid w:val="002E557C"/>
    <w:rsid w:val="00303654"/>
    <w:rsid w:val="00313225"/>
    <w:rsid w:val="00314C45"/>
    <w:rsid w:val="00322BB4"/>
    <w:rsid w:val="003265F8"/>
    <w:rsid w:val="0033676D"/>
    <w:rsid w:val="00342BDC"/>
    <w:rsid w:val="00343749"/>
    <w:rsid w:val="00351A35"/>
    <w:rsid w:val="00354124"/>
    <w:rsid w:val="003660ED"/>
    <w:rsid w:val="0037317C"/>
    <w:rsid w:val="003732B4"/>
    <w:rsid w:val="003A16AE"/>
    <w:rsid w:val="003B0550"/>
    <w:rsid w:val="003B694F"/>
    <w:rsid w:val="003C0A96"/>
    <w:rsid w:val="003C3AA8"/>
    <w:rsid w:val="003D521B"/>
    <w:rsid w:val="003D7DBC"/>
    <w:rsid w:val="003E5010"/>
    <w:rsid w:val="003E5E8D"/>
    <w:rsid w:val="003F171C"/>
    <w:rsid w:val="00405370"/>
    <w:rsid w:val="00407505"/>
    <w:rsid w:val="00407C51"/>
    <w:rsid w:val="00412FC5"/>
    <w:rsid w:val="00420675"/>
    <w:rsid w:val="00422276"/>
    <w:rsid w:val="004242F1"/>
    <w:rsid w:val="00424ED5"/>
    <w:rsid w:val="004269D0"/>
    <w:rsid w:val="004305B0"/>
    <w:rsid w:val="004307D9"/>
    <w:rsid w:val="00445A00"/>
    <w:rsid w:val="00451B0F"/>
    <w:rsid w:val="00454361"/>
    <w:rsid w:val="004626DF"/>
    <w:rsid w:val="004654C6"/>
    <w:rsid w:val="00467851"/>
    <w:rsid w:val="00470B07"/>
    <w:rsid w:val="00490E65"/>
    <w:rsid w:val="00492C57"/>
    <w:rsid w:val="004A260A"/>
    <w:rsid w:val="004A787C"/>
    <w:rsid w:val="004A798A"/>
    <w:rsid w:val="004C1D24"/>
    <w:rsid w:val="004C293A"/>
    <w:rsid w:val="004C2EE3"/>
    <w:rsid w:val="004C30CB"/>
    <w:rsid w:val="004D4C5E"/>
    <w:rsid w:val="004D52F4"/>
    <w:rsid w:val="004D6992"/>
    <w:rsid w:val="004D7C00"/>
    <w:rsid w:val="004E4A22"/>
    <w:rsid w:val="004F5C1F"/>
    <w:rsid w:val="00500F87"/>
    <w:rsid w:val="00505E2B"/>
    <w:rsid w:val="00511968"/>
    <w:rsid w:val="00512F51"/>
    <w:rsid w:val="005238BD"/>
    <w:rsid w:val="00533A7B"/>
    <w:rsid w:val="005347B1"/>
    <w:rsid w:val="00535E41"/>
    <w:rsid w:val="005360C7"/>
    <w:rsid w:val="00541D3B"/>
    <w:rsid w:val="00543CE7"/>
    <w:rsid w:val="005533A4"/>
    <w:rsid w:val="0055614C"/>
    <w:rsid w:val="005648B0"/>
    <w:rsid w:val="0056553A"/>
    <w:rsid w:val="00566D06"/>
    <w:rsid w:val="00573346"/>
    <w:rsid w:val="00580660"/>
    <w:rsid w:val="00592196"/>
    <w:rsid w:val="005926F1"/>
    <w:rsid w:val="005A3110"/>
    <w:rsid w:val="005A5468"/>
    <w:rsid w:val="005B29B6"/>
    <w:rsid w:val="005C0517"/>
    <w:rsid w:val="005C156B"/>
    <w:rsid w:val="005C1AE7"/>
    <w:rsid w:val="005C449F"/>
    <w:rsid w:val="005D0709"/>
    <w:rsid w:val="005D1204"/>
    <w:rsid w:val="005D5988"/>
    <w:rsid w:val="005E14C2"/>
    <w:rsid w:val="005E5DB1"/>
    <w:rsid w:val="005F432D"/>
    <w:rsid w:val="005F7147"/>
    <w:rsid w:val="006035F1"/>
    <w:rsid w:val="00607BA5"/>
    <w:rsid w:val="00610301"/>
    <w:rsid w:val="0061180A"/>
    <w:rsid w:val="00613EFA"/>
    <w:rsid w:val="00626EB6"/>
    <w:rsid w:val="0063005F"/>
    <w:rsid w:val="00643E1E"/>
    <w:rsid w:val="00646911"/>
    <w:rsid w:val="0065015D"/>
    <w:rsid w:val="00653B29"/>
    <w:rsid w:val="00654745"/>
    <w:rsid w:val="00655D03"/>
    <w:rsid w:val="006636DF"/>
    <w:rsid w:val="00667459"/>
    <w:rsid w:val="006679D9"/>
    <w:rsid w:val="00672019"/>
    <w:rsid w:val="006762B9"/>
    <w:rsid w:val="00683388"/>
    <w:rsid w:val="00683F17"/>
    <w:rsid w:val="00683F84"/>
    <w:rsid w:val="00691B7C"/>
    <w:rsid w:val="006A329D"/>
    <w:rsid w:val="006A6A81"/>
    <w:rsid w:val="006B0CF7"/>
    <w:rsid w:val="006B4A03"/>
    <w:rsid w:val="006C25CF"/>
    <w:rsid w:val="006C6AA4"/>
    <w:rsid w:val="006E1F67"/>
    <w:rsid w:val="006F64C9"/>
    <w:rsid w:val="006F7393"/>
    <w:rsid w:val="00700028"/>
    <w:rsid w:val="00700B6D"/>
    <w:rsid w:val="00700D35"/>
    <w:rsid w:val="0070224F"/>
    <w:rsid w:val="007115F7"/>
    <w:rsid w:val="0072112E"/>
    <w:rsid w:val="007317C6"/>
    <w:rsid w:val="007379AE"/>
    <w:rsid w:val="00743E10"/>
    <w:rsid w:val="00744DCE"/>
    <w:rsid w:val="0075439B"/>
    <w:rsid w:val="00761878"/>
    <w:rsid w:val="007639CF"/>
    <w:rsid w:val="00771391"/>
    <w:rsid w:val="00772E1E"/>
    <w:rsid w:val="00773666"/>
    <w:rsid w:val="00776721"/>
    <w:rsid w:val="00785689"/>
    <w:rsid w:val="007917B8"/>
    <w:rsid w:val="00793FD5"/>
    <w:rsid w:val="007945CE"/>
    <w:rsid w:val="00794EE6"/>
    <w:rsid w:val="0079526B"/>
    <w:rsid w:val="0079754B"/>
    <w:rsid w:val="007A17F2"/>
    <w:rsid w:val="007A1E6D"/>
    <w:rsid w:val="007B0EB2"/>
    <w:rsid w:val="007B560E"/>
    <w:rsid w:val="007B669A"/>
    <w:rsid w:val="007C17B0"/>
    <w:rsid w:val="007C19E1"/>
    <w:rsid w:val="007E0CBC"/>
    <w:rsid w:val="007E647D"/>
    <w:rsid w:val="008013A6"/>
    <w:rsid w:val="00807547"/>
    <w:rsid w:val="00810B6F"/>
    <w:rsid w:val="008158D0"/>
    <w:rsid w:val="00816C7D"/>
    <w:rsid w:val="00822CE0"/>
    <w:rsid w:val="00826C9A"/>
    <w:rsid w:val="00832701"/>
    <w:rsid w:val="008338A3"/>
    <w:rsid w:val="008419C4"/>
    <w:rsid w:val="00841AB1"/>
    <w:rsid w:val="00847AB3"/>
    <w:rsid w:val="0085229A"/>
    <w:rsid w:val="00862A64"/>
    <w:rsid w:val="00862E7B"/>
    <w:rsid w:val="00866B80"/>
    <w:rsid w:val="008754FD"/>
    <w:rsid w:val="00882736"/>
    <w:rsid w:val="008830D4"/>
    <w:rsid w:val="008840E7"/>
    <w:rsid w:val="0088525F"/>
    <w:rsid w:val="00886813"/>
    <w:rsid w:val="00890410"/>
    <w:rsid w:val="00897B14"/>
    <w:rsid w:val="008B087A"/>
    <w:rsid w:val="008B1284"/>
    <w:rsid w:val="008B7A5F"/>
    <w:rsid w:val="008C25BB"/>
    <w:rsid w:val="008C3340"/>
    <w:rsid w:val="008C68F1"/>
    <w:rsid w:val="008D4A41"/>
    <w:rsid w:val="008D67C8"/>
    <w:rsid w:val="008D6883"/>
    <w:rsid w:val="008D71B1"/>
    <w:rsid w:val="008E43D9"/>
    <w:rsid w:val="008E5E14"/>
    <w:rsid w:val="008E686E"/>
    <w:rsid w:val="008F00F7"/>
    <w:rsid w:val="008F1127"/>
    <w:rsid w:val="008F2479"/>
    <w:rsid w:val="008F7BA5"/>
    <w:rsid w:val="00900E3D"/>
    <w:rsid w:val="00902FB0"/>
    <w:rsid w:val="00905819"/>
    <w:rsid w:val="00905CF8"/>
    <w:rsid w:val="0091478C"/>
    <w:rsid w:val="00915AE1"/>
    <w:rsid w:val="00921803"/>
    <w:rsid w:val="0092239B"/>
    <w:rsid w:val="00926503"/>
    <w:rsid w:val="00944FDB"/>
    <w:rsid w:val="009506D3"/>
    <w:rsid w:val="009726D8"/>
    <w:rsid w:val="00977665"/>
    <w:rsid w:val="00984BC0"/>
    <w:rsid w:val="00985B8E"/>
    <w:rsid w:val="00997734"/>
    <w:rsid w:val="009A1B15"/>
    <w:rsid w:val="009A3B6A"/>
    <w:rsid w:val="009B1302"/>
    <w:rsid w:val="009B19F0"/>
    <w:rsid w:val="009B1B05"/>
    <w:rsid w:val="009B234A"/>
    <w:rsid w:val="009C2156"/>
    <w:rsid w:val="009C4FFF"/>
    <w:rsid w:val="009D3E90"/>
    <w:rsid w:val="009D5EDD"/>
    <w:rsid w:val="009D7308"/>
    <w:rsid w:val="009E7E66"/>
    <w:rsid w:val="009F0AAD"/>
    <w:rsid w:val="009F1305"/>
    <w:rsid w:val="009F703A"/>
    <w:rsid w:val="009F76DB"/>
    <w:rsid w:val="00A059A4"/>
    <w:rsid w:val="00A1060E"/>
    <w:rsid w:val="00A11205"/>
    <w:rsid w:val="00A12A70"/>
    <w:rsid w:val="00A21A03"/>
    <w:rsid w:val="00A2334B"/>
    <w:rsid w:val="00A27341"/>
    <w:rsid w:val="00A32C3B"/>
    <w:rsid w:val="00A33EDB"/>
    <w:rsid w:val="00A35692"/>
    <w:rsid w:val="00A4380F"/>
    <w:rsid w:val="00A45F4F"/>
    <w:rsid w:val="00A600A9"/>
    <w:rsid w:val="00A61B2C"/>
    <w:rsid w:val="00A72A13"/>
    <w:rsid w:val="00A731F5"/>
    <w:rsid w:val="00A7484D"/>
    <w:rsid w:val="00A87FE0"/>
    <w:rsid w:val="00AA55B7"/>
    <w:rsid w:val="00AA5B9E"/>
    <w:rsid w:val="00AB2407"/>
    <w:rsid w:val="00AB2D24"/>
    <w:rsid w:val="00AB53DF"/>
    <w:rsid w:val="00AC452E"/>
    <w:rsid w:val="00AD7547"/>
    <w:rsid w:val="00AE2159"/>
    <w:rsid w:val="00AE454A"/>
    <w:rsid w:val="00AE5D60"/>
    <w:rsid w:val="00AE61AB"/>
    <w:rsid w:val="00AF0BF9"/>
    <w:rsid w:val="00AF7E25"/>
    <w:rsid w:val="00B0731B"/>
    <w:rsid w:val="00B07E5C"/>
    <w:rsid w:val="00B10D62"/>
    <w:rsid w:val="00B1175E"/>
    <w:rsid w:val="00B30C0D"/>
    <w:rsid w:val="00B3339A"/>
    <w:rsid w:val="00B338E5"/>
    <w:rsid w:val="00B34177"/>
    <w:rsid w:val="00B426AF"/>
    <w:rsid w:val="00B4636C"/>
    <w:rsid w:val="00B57119"/>
    <w:rsid w:val="00B72210"/>
    <w:rsid w:val="00B7731D"/>
    <w:rsid w:val="00B7737E"/>
    <w:rsid w:val="00B8069F"/>
    <w:rsid w:val="00B811F7"/>
    <w:rsid w:val="00B83F62"/>
    <w:rsid w:val="00B86197"/>
    <w:rsid w:val="00B945C0"/>
    <w:rsid w:val="00B96A4C"/>
    <w:rsid w:val="00BA45E8"/>
    <w:rsid w:val="00BA5DC6"/>
    <w:rsid w:val="00BA6196"/>
    <w:rsid w:val="00BB3FCC"/>
    <w:rsid w:val="00BC6546"/>
    <w:rsid w:val="00BC6D8C"/>
    <w:rsid w:val="00BD3591"/>
    <w:rsid w:val="00BD4652"/>
    <w:rsid w:val="00BD7E76"/>
    <w:rsid w:val="00C05CA3"/>
    <w:rsid w:val="00C1309C"/>
    <w:rsid w:val="00C20A0B"/>
    <w:rsid w:val="00C22C41"/>
    <w:rsid w:val="00C23404"/>
    <w:rsid w:val="00C25869"/>
    <w:rsid w:val="00C34006"/>
    <w:rsid w:val="00C36B4C"/>
    <w:rsid w:val="00C426B1"/>
    <w:rsid w:val="00C45108"/>
    <w:rsid w:val="00C66160"/>
    <w:rsid w:val="00C721AC"/>
    <w:rsid w:val="00C81306"/>
    <w:rsid w:val="00C82A73"/>
    <w:rsid w:val="00C90189"/>
    <w:rsid w:val="00C90D6A"/>
    <w:rsid w:val="00C9130E"/>
    <w:rsid w:val="00C9292B"/>
    <w:rsid w:val="00C92EAC"/>
    <w:rsid w:val="00C9497D"/>
    <w:rsid w:val="00CA082B"/>
    <w:rsid w:val="00CA247E"/>
    <w:rsid w:val="00CA261A"/>
    <w:rsid w:val="00CA3851"/>
    <w:rsid w:val="00CA6D21"/>
    <w:rsid w:val="00CB16A5"/>
    <w:rsid w:val="00CB459A"/>
    <w:rsid w:val="00CC460A"/>
    <w:rsid w:val="00CC71F8"/>
    <w:rsid w:val="00CC72B6"/>
    <w:rsid w:val="00CD606B"/>
    <w:rsid w:val="00CD69B8"/>
    <w:rsid w:val="00CD7B76"/>
    <w:rsid w:val="00CF4583"/>
    <w:rsid w:val="00CF4A48"/>
    <w:rsid w:val="00D0218D"/>
    <w:rsid w:val="00D04025"/>
    <w:rsid w:val="00D0553D"/>
    <w:rsid w:val="00D07E05"/>
    <w:rsid w:val="00D12A7C"/>
    <w:rsid w:val="00D14E18"/>
    <w:rsid w:val="00D24DBA"/>
    <w:rsid w:val="00D25FB5"/>
    <w:rsid w:val="00D26486"/>
    <w:rsid w:val="00D44223"/>
    <w:rsid w:val="00D53DB7"/>
    <w:rsid w:val="00D559D3"/>
    <w:rsid w:val="00D5732D"/>
    <w:rsid w:val="00D71494"/>
    <w:rsid w:val="00D761A7"/>
    <w:rsid w:val="00D864E2"/>
    <w:rsid w:val="00D94D6A"/>
    <w:rsid w:val="00D96AE3"/>
    <w:rsid w:val="00D97E21"/>
    <w:rsid w:val="00DA0323"/>
    <w:rsid w:val="00DA08B3"/>
    <w:rsid w:val="00DA1FE5"/>
    <w:rsid w:val="00DA2529"/>
    <w:rsid w:val="00DB130A"/>
    <w:rsid w:val="00DB2EBB"/>
    <w:rsid w:val="00DB44BB"/>
    <w:rsid w:val="00DB7443"/>
    <w:rsid w:val="00DC10A1"/>
    <w:rsid w:val="00DC6036"/>
    <w:rsid w:val="00DC608C"/>
    <w:rsid w:val="00DC6389"/>
    <w:rsid w:val="00DC655F"/>
    <w:rsid w:val="00DD0B59"/>
    <w:rsid w:val="00DD1D08"/>
    <w:rsid w:val="00DD7EBD"/>
    <w:rsid w:val="00DF21FD"/>
    <w:rsid w:val="00DF62B6"/>
    <w:rsid w:val="00E007F0"/>
    <w:rsid w:val="00E07225"/>
    <w:rsid w:val="00E11469"/>
    <w:rsid w:val="00E20D41"/>
    <w:rsid w:val="00E2440B"/>
    <w:rsid w:val="00E2600C"/>
    <w:rsid w:val="00E32947"/>
    <w:rsid w:val="00E42E40"/>
    <w:rsid w:val="00E47C8C"/>
    <w:rsid w:val="00E504E9"/>
    <w:rsid w:val="00E5409F"/>
    <w:rsid w:val="00E559B2"/>
    <w:rsid w:val="00E571C9"/>
    <w:rsid w:val="00E61137"/>
    <w:rsid w:val="00E61A74"/>
    <w:rsid w:val="00E65FE2"/>
    <w:rsid w:val="00E93B8E"/>
    <w:rsid w:val="00EA2F28"/>
    <w:rsid w:val="00EB3A94"/>
    <w:rsid w:val="00EB49BA"/>
    <w:rsid w:val="00EC1117"/>
    <w:rsid w:val="00EC7563"/>
    <w:rsid w:val="00EC791A"/>
    <w:rsid w:val="00ED20C8"/>
    <w:rsid w:val="00ED465A"/>
    <w:rsid w:val="00ED6EF1"/>
    <w:rsid w:val="00EE26E3"/>
    <w:rsid w:val="00EE6488"/>
    <w:rsid w:val="00EF1EB1"/>
    <w:rsid w:val="00F021FA"/>
    <w:rsid w:val="00F06433"/>
    <w:rsid w:val="00F10DCC"/>
    <w:rsid w:val="00F3455F"/>
    <w:rsid w:val="00F629DE"/>
    <w:rsid w:val="00F62E97"/>
    <w:rsid w:val="00F64209"/>
    <w:rsid w:val="00F74246"/>
    <w:rsid w:val="00F772E5"/>
    <w:rsid w:val="00F85DF2"/>
    <w:rsid w:val="00F904E0"/>
    <w:rsid w:val="00F93BF5"/>
    <w:rsid w:val="00FA0299"/>
    <w:rsid w:val="00FA067C"/>
    <w:rsid w:val="00FA1725"/>
    <w:rsid w:val="00FA4053"/>
    <w:rsid w:val="00FB71BF"/>
    <w:rsid w:val="00FC3218"/>
    <w:rsid w:val="00FC45CF"/>
    <w:rsid w:val="00FC626D"/>
    <w:rsid w:val="00FD2703"/>
    <w:rsid w:val="00FD27CE"/>
    <w:rsid w:val="00FD6F75"/>
    <w:rsid w:val="00FE702D"/>
    <w:rsid w:val="00FF43CA"/>
    <w:rsid w:val="00FF5883"/>
    <w:rsid w:val="00FF63A5"/>
    <w:rsid w:val="00FF7AC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1DC922B7"/>
  <w15:docId w15:val="{419BCAE4-D87A-49DA-AC98-F625E456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81F2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link w:val="FootnoteText"/>
    <w:rsid w:val="00281F24"/>
  </w:style>
  <w:style w:type="paragraph" w:styleId="Revision">
    <w:name w:val="Revision"/>
    <w:hidden/>
    <w:uiPriority w:val="99"/>
    <w:semiHidden/>
    <w:rsid w:val="004C1D24"/>
    <w:rPr>
      <w:snapToGrid w:val="0"/>
      <w:kern w:val="28"/>
      <w:sz w:val="22"/>
    </w:rPr>
  </w:style>
  <w:style w:type="character" w:styleId="CommentReference">
    <w:name w:val="annotation reference"/>
    <w:basedOn w:val="DefaultParagraphFont"/>
    <w:rsid w:val="0037317C"/>
    <w:rPr>
      <w:sz w:val="16"/>
      <w:szCs w:val="16"/>
    </w:rPr>
  </w:style>
  <w:style w:type="paragraph" w:styleId="CommentText">
    <w:name w:val="annotation text"/>
    <w:basedOn w:val="Normal"/>
    <w:link w:val="CommentTextChar"/>
    <w:rsid w:val="0037317C"/>
    <w:rPr>
      <w:sz w:val="20"/>
    </w:rPr>
  </w:style>
  <w:style w:type="character" w:customStyle="1" w:styleId="CommentTextChar">
    <w:name w:val="Comment Text Char"/>
    <w:basedOn w:val="DefaultParagraphFont"/>
    <w:link w:val="CommentText"/>
    <w:rsid w:val="0037317C"/>
    <w:rPr>
      <w:snapToGrid w:val="0"/>
      <w:kern w:val="28"/>
    </w:rPr>
  </w:style>
  <w:style w:type="paragraph" w:styleId="CommentSubject">
    <w:name w:val="annotation subject"/>
    <w:basedOn w:val="CommentText"/>
    <w:next w:val="CommentText"/>
    <w:link w:val="CommentSubjectChar"/>
    <w:rsid w:val="0037317C"/>
    <w:rPr>
      <w:b/>
      <w:bCs/>
    </w:rPr>
  </w:style>
  <w:style w:type="character" w:customStyle="1" w:styleId="CommentSubjectChar">
    <w:name w:val="Comment Subject Char"/>
    <w:basedOn w:val="CommentTextChar"/>
    <w:link w:val="CommentSubject"/>
    <w:rsid w:val="0037317C"/>
    <w:rPr>
      <w:b/>
      <w:bCs/>
      <w:snapToGrid w:val="0"/>
      <w:kern w:val="28"/>
    </w:rPr>
  </w:style>
  <w:style w:type="character" w:styleId="FollowedHyperlink">
    <w:name w:val="FollowedHyperlink"/>
    <w:basedOn w:val="DefaultParagraphFont"/>
    <w:rsid w:val="00251F52"/>
    <w:rPr>
      <w:color w:val="954F72" w:themeColor="followedHyperlink"/>
      <w:u w:val="single"/>
    </w:rPr>
  </w:style>
  <w:style w:type="character" w:customStyle="1" w:styleId="xmsofootnotereference">
    <w:name w:val="xmsofootnotereference"/>
    <w:basedOn w:val="DefaultParagraphFont"/>
    <w:rsid w:val="00C90189"/>
  </w:style>
  <w:style w:type="paragraph" w:styleId="ListParagraph">
    <w:name w:val="List Paragraph"/>
    <w:basedOn w:val="Normal"/>
    <w:uiPriority w:val="34"/>
    <w:qFormat/>
    <w:rsid w:val="00C9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abf2d9c8-f474-4e9e-96ab-76b9b0d2d641?orig=true&amp;pk=cb77b2ec-1a58-dbc6-139b-ad192cfd5d9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