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F306CF" w14:paraId="119C3B7B" w14:textId="77777777">
      <w:pPr>
        <w:jc w:val="center"/>
        <w:rPr>
          <w:b/>
          <w:szCs w:val="22"/>
        </w:rPr>
      </w:pPr>
      <w:r w:rsidRPr="00F306CF">
        <w:rPr>
          <w:b/>
          <w:kern w:val="0"/>
          <w:szCs w:val="22"/>
        </w:rPr>
        <w:t>Before</w:t>
      </w:r>
      <w:r w:rsidRPr="00F306CF">
        <w:rPr>
          <w:b/>
          <w:szCs w:val="22"/>
        </w:rPr>
        <w:t xml:space="preserve"> the</w:t>
      </w:r>
    </w:p>
    <w:p w:rsidR="00921803" w:rsidRPr="00F306CF" w:rsidP="00921803" w14:paraId="31A2973B" w14:textId="77777777">
      <w:pPr>
        <w:pStyle w:val="StyleBoldCentered"/>
        <w:rPr>
          <w:rFonts w:ascii="Times New Roman" w:hAnsi="Times New Roman"/>
        </w:rPr>
      </w:pPr>
      <w:r w:rsidRPr="00F306CF">
        <w:rPr>
          <w:rFonts w:ascii="Times New Roman" w:hAnsi="Times New Roman"/>
        </w:rPr>
        <w:t>F</w:t>
      </w:r>
      <w:r w:rsidRPr="00F306CF">
        <w:rPr>
          <w:rFonts w:ascii="Times New Roman" w:hAnsi="Times New Roman"/>
          <w:caps w:val="0"/>
        </w:rPr>
        <w:t>ederal Communications Commission</w:t>
      </w:r>
    </w:p>
    <w:p w:rsidR="004C2EE3" w:rsidRPr="00F306CF" w:rsidP="00096D8C" w14:paraId="45908498" w14:textId="77777777">
      <w:pPr>
        <w:pStyle w:val="StyleBoldCentered"/>
        <w:rPr>
          <w:rFonts w:ascii="Times New Roman" w:hAnsi="Times New Roman"/>
        </w:rPr>
      </w:pPr>
      <w:r w:rsidRPr="00F306CF">
        <w:rPr>
          <w:rFonts w:ascii="Times New Roman" w:hAnsi="Times New Roman"/>
          <w:caps w:val="0"/>
        </w:rPr>
        <w:t>Washington, D.C. 20554</w:t>
      </w:r>
    </w:p>
    <w:p w:rsidR="00F306CF" w:rsidRPr="00F306CF" w:rsidP="00F306CF" w14:paraId="543B885B" w14:textId="77777777">
      <w:pPr>
        <w:rPr>
          <w:szCs w:val="22"/>
        </w:rPr>
      </w:pPr>
    </w:p>
    <w:p w:rsidR="00F306CF" w:rsidRPr="00F306CF" w:rsidP="00F306CF" w14:paraId="0AEAF802" w14:textId="77777777">
      <w:pPr>
        <w:rPr>
          <w:szCs w:val="22"/>
        </w:rPr>
      </w:pPr>
    </w:p>
    <w:tbl>
      <w:tblPr>
        <w:tblW w:w="0" w:type="auto"/>
        <w:tblLayout w:type="fixed"/>
        <w:tblLook w:val="0000"/>
      </w:tblPr>
      <w:tblGrid>
        <w:gridCol w:w="4698"/>
        <w:gridCol w:w="720"/>
        <w:gridCol w:w="4230"/>
      </w:tblGrid>
      <w:tr w14:paraId="7FB52E76" w14:textId="77777777" w:rsidTr="00B75B66">
        <w:tblPrEx>
          <w:tblW w:w="0" w:type="auto"/>
          <w:tblLayout w:type="fixed"/>
          <w:tblLook w:val="0000"/>
        </w:tblPrEx>
        <w:tc>
          <w:tcPr>
            <w:tcW w:w="4698" w:type="dxa"/>
          </w:tcPr>
          <w:p w:rsidR="00F306CF" w:rsidRPr="00F306CF" w:rsidP="00B75B66" w14:paraId="73391C3F" w14:textId="77777777">
            <w:pPr>
              <w:ind w:right="-18"/>
              <w:rPr>
                <w:szCs w:val="22"/>
              </w:rPr>
            </w:pPr>
            <w:r w:rsidRPr="00F306CF">
              <w:rPr>
                <w:szCs w:val="22"/>
              </w:rPr>
              <w:t>In the Matter of</w:t>
            </w:r>
          </w:p>
          <w:p w:rsidR="00F306CF" w:rsidRPr="00F306CF" w:rsidP="00B75B66" w14:paraId="70FD8D94" w14:textId="77777777">
            <w:pPr>
              <w:ind w:right="-18"/>
              <w:rPr>
                <w:szCs w:val="22"/>
              </w:rPr>
            </w:pPr>
          </w:p>
          <w:p w:rsidR="00F306CF" w:rsidRPr="00F306CF" w:rsidP="00B75B66" w14:paraId="4A2D47CC" w14:textId="77777777">
            <w:pPr>
              <w:tabs>
                <w:tab w:val="center" w:pos="4680"/>
              </w:tabs>
              <w:suppressAutoHyphens/>
              <w:rPr>
                <w:spacing w:val="-2"/>
                <w:szCs w:val="22"/>
              </w:rPr>
            </w:pPr>
            <w:r w:rsidRPr="00F306CF">
              <w:rPr>
                <w:spacing w:val="-2"/>
                <w:szCs w:val="22"/>
              </w:rPr>
              <w:t xml:space="preserve">Implementing Kari’s Law and Section 506 of RAY BAUM’S Act </w:t>
            </w:r>
          </w:p>
          <w:p w:rsidR="00F306CF" w:rsidRPr="00F306CF" w:rsidP="00B75B66" w14:paraId="46283FA4" w14:textId="77777777">
            <w:pPr>
              <w:tabs>
                <w:tab w:val="center" w:pos="4680"/>
              </w:tabs>
              <w:suppressAutoHyphens/>
              <w:rPr>
                <w:spacing w:val="-2"/>
                <w:szCs w:val="22"/>
              </w:rPr>
            </w:pPr>
          </w:p>
          <w:p w:rsidR="00F306CF" w:rsidRPr="00F306CF" w:rsidP="00B75B66" w14:paraId="111E4AF3" w14:textId="77777777">
            <w:pPr>
              <w:tabs>
                <w:tab w:val="center" w:pos="4680"/>
              </w:tabs>
              <w:suppressAutoHyphens/>
              <w:rPr>
                <w:spacing w:val="-2"/>
                <w:szCs w:val="22"/>
              </w:rPr>
            </w:pPr>
            <w:r w:rsidRPr="00F306CF">
              <w:rPr>
                <w:spacing w:val="-2"/>
                <w:szCs w:val="22"/>
              </w:rPr>
              <w:t>Inquiry Concerning 911 Access, Routing, and Location in Enterprise Communications Systems</w:t>
            </w:r>
          </w:p>
          <w:p w:rsidR="00F306CF" w:rsidRPr="00F306CF" w:rsidP="00B75B66" w14:paraId="522E13FC" w14:textId="77777777">
            <w:pPr>
              <w:tabs>
                <w:tab w:val="center" w:pos="4680"/>
              </w:tabs>
              <w:suppressAutoHyphens/>
              <w:rPr>
                <w:spacing w:val="-2"/>
                <w:szCs w:val="22"/>
              </w:rPr>
            </w:pPr>
          </w:p>
          <w:p w:rsidR="00F306CF" w:rsidRPr="00F306CF" w:rsidP="00B75B66" w14:paraId="4CC17DDE" w14:textId="77777777">
            <w:pPr>
              <w:ind w:right="-18"/>
              <w:rPr>
                <w:szCs w:val="22"/>
              </w:rPr>
            </w:pPr>
            <w:r w:rsidRPr="00F306CF">
              <w:rPr>
                <w:szCs w:val="22"/>
              </w:rPr>
              <w:t>Amending the Definition of Interconnected VoIP Service in Section 9.3 of the Commission’s Rules</w:t>
            </w:r>
          </w:p>
        </w:tc>
        <w:tc>
          <w:tcPr>
            <w:tcW w:w="720" w:type="dxa"/>
          </w:tcPr>
          <w:p w:rsidR="00F306CF" w:rsidRPr="00F306CF" w:rsidP="00B75B66" w14:paraId="360686E4" w14:textId="77777777">
            <w:pPr>
              <w:rPr>
                <w:b/>
                <w:szCs w:val="22"/>
              </w:rPr>
            </w:pPr>
            <w:r w:rsidRPr="00F306CF">
              <w:rPr>
                <w:b/>
                <w:szCs w:val="22"/>
              </w:rPr>
              <w:t>)</w:t>
            </w:r>
          </w:p>
          <w:p w:rsidR="00F306CF" w:rsidRPr="00F306CF" w:rsidP="00B75B66" w14:paraId="3371991E" w14:textId="77777777">
            <w:pPr>
              <w:rPr>
                <w:b/>
                <w:szCs w:val="22"/>
              </w:rPr>
            </w:pPr>
            <w:r w:rsidRPr="00F306CF">
              <w:rPr>
                <w:b/>
                <w:szCs w:val="22"/>
              </w:rPr>
              <w:t>)</w:t>
            </w:r>
          </w:p>
          <w:p w:rsidR="00F306CF" w:rsidRPr="00F306CF" w:rsidP="00B75B66" w14:paraId="280BE7E5" w14:textId="77777777">
            <w:pPr>
              <w:rPr>
                <w:b/>
                <w:szCs w:val="22"/>
              </w:rPr>
            </w:pPr>
            <w:r w:rsidRPr="00F306CF">
              <w:rPr>
                <w:b/>
                <w:szCs w:val="22"/>
              </w:rPr>
              <w:t>)</w:t>
            </w:r>
          </w:p>
          <w:p w:rsidR="00F306CF" w:rsidRPr="00F306CF" w:rsidP="00B75B66" w14:paraId="6BCC076B" w14:textId="77777777">
            <w:pPr>
              <w:rPr>
                <w:b/>
                <w:szCs w:val="22"/>
              </w:rPr>
            </w:pPr>
            <w:r w:rsidRPr="00F306CF">
              <w:rPr>
                <w:b/>
                <w:szCs w:val="22"/>
              </w:rPr>
              <w:t>)</w:t>
            </w:r>
          </w:p>
          <w:p w:rsidR="00F306CF" w:rsidRPr="00F306CF" w:rsidP="00B75B66" w14:paraId="0D457BCD" w14:textId="77777777">
            <w:pPr>
              <w:rPr>
                <w:b/>
                <w:szCs w:val="22"/>
              </w:rPr>
            </w:pPr>
            <w:r w:rsidRPr="00F306CF">
              <w:rPr>
                <w:b/>
                <w:szCs w:val="22"/>
              </w:rPr>
              <w:t>)</w:t>
            </w:r>
          </w:p>
          <w:p w:rsidR="00F306CF" w:rsidRPr="00F306CF" w:rsidP="00B75B66" w14:paraId="3DAB188D" w14:textId="77777777">
            <w:pPr>
              <w:rPr>
                <w:b/>
                <w:szCs w:val="22"/>
              </w:rPr>
            </w:pPr>
            <w:r w:rsidRPr="00F306CF">
              <w:rPr>
                <w:b/>
                <w:szCs w:val="22"/>
              </w:rPr>
              <w:t>)</w:t>
            </w:r>
          </w:p>
          <w:p w:rsidR="00F306CF" w:rsidRPr="00F306CF" w:rsidP="00B75B66" w14:paraId="67D9B216" w14:textId="77777777">
            <w:pPr>
              <w:rPr>
                <w:b/>
                <w:szCs w:val="22"/>
              </w:rPr>
            </w:pPr>
            <w:r w:rsidRPr="00F306CF">
              <w:rPr>
                <w:b/>
                <w:szCs w:val="22"/>
              </w:rPr>
              <w:t>)</w:t>
            </w:r>
          </w:p>
          <w:p w:rsidR="00F306CF" w:rsidRPr="00F306CF" w:rsidP="00B75B66" w14:paraId="2591E02B" w14:textId="77777777">
            <w:pPr>
              <w:rPr>
                <w:b/>
                <w:szCs w:val="22"/>
              </w:rPr>
            </w:pPr>
            <w:r w:rsidRPr="00F306CF">
              <w:rPr>
                <w:b/>
                <w:szCs w:val="22"/>
              </w:rPr>
              <w:t>)</w:t>
            </w:r>
          </w:p>
          <w:p w:rsidR="00F306CF" w:rsidRPr="00F306CF" w:rsidP="00B75B66" w14:paraId="685193DB" w14:textId="77777777">
            <w:pPr>
              <w:rPr>
                <w:b/>
                <w:szCs w:val="22"/>
              </w:rPr>
            </w:pPr>
            <w:r w:rsidRPr="00F306CF">
              <w:rPr>
                <w:b/>
                <w:szCs w:val="22"/>
              </w:rPr>
              <w:t>)</w:t>
            </w:r>
          </w:p>
          <w:p w:rsidR="00F306CF" w:rsidRPr="00F306CF" w:rsidP="00B75B66" w14:paraId="1CA22847" w14:textId="77777777">
            <w:pPr>
              <w:rPr>
                <w:b/>
                <w:szCs w:val="22"/>
              </w:rPr>
            </w:pPr>
            <w:r w:rsidRPr="00F306CF">
              <w:rPr>
                <w:b/>
                <w:szCs w:val="22"/>
              </w:rPr>
              <w:t>)</w:t>
            </w:r>
          </w:p>
        </w:tc>
        <w:tc>
          <w:tcPr>
            <w:tcW w:w="4230" w:type="dxa"/>
          </w:tcPr>
          <w:p w:rsidR="00F306CF" w:rsidRPr="00F306CF" w:rsidP="00B75B66" w14:paraId="13EFFEF7" w14:textId="77777777">
            <w:pPr>
              <w:rPr>
                <w:szCs w:val="22"/>
              </w:rPr>
            </w:pPr>
          </w:p>
          <w:p w:rsidR="00F306CF" w:rsidRPr="00F306CF" w:rsidP="00B75B66" w14:paraId="79151508" w14:textId="77777777">
            <w:pPr>
              <w:rPr>
                <w:szCs w:val="22"/>
              </w:rPr>
            </w:pPr>
          </w:p>
          <w:p w:rsidR="00F306CF" w:rsidRPr="00F306CF" w:rsidP="00B75B66" w14:paraId="38D4C2CD" w14:textId="77777777">
            <w:pPr>
              <w:pStyle w:val="TOAHeading"/>
              <w:tabs>
                <w:tab w:val="center" w:pos="4680"/>
              </w:tabs>
              <w:rPr>
                <w:spacing w:val="-2"/>
                <w:szCs w:val="22"/>
              </w:rPr>
            </w:pPr>
            <w:r w:rsidRPr="00F306CF">
              <w:rPr>
                <w:spacing w:val="-2"/>
                <w:szCs w:val="22"/>
              </w:rPr>
              <w:t>PS Docket No. 18-261</w:t>
            </w:r>
          </w:p>
          <w:p w:rsidR="00F306CF" w:rsidRPr="00F306CF" w:rsidP="00B75B66" w14:paraId="554205B8" w14:textId="77777777">
            <w:pPr>
              <w:pStyle w:val="TOAHeading"/>
              <w:tabs>
                <w:tab w:val="center" w:pos="4680"/>
              </w:tabs>
              <w:rPr>
                <w:spacing w:val="-2"/>
                <w:szCs w:val="22"/>
              </w:rPr>
            </w:pPr>
          </w:p>
          <w:p w:rsidR="00F306CF" w:rsidRPr="00F306CF" w:rsidP="00B75B66" w14:paraId="60E2361D" w14:textId="77777777">
            <w:pPr>
              <w:pStyle w:val="TOAHeading"/>
              <w:tabs>
                <w:tab w:val="center" w:pos="4680"/>
              </w:tabs>
              <w:rPr>
                <w:spacing w:val="-2"/>
                <w:szCs w:val="22"/>
              </w:rPr>
            </w:pPr>
          </w:p>
          <w:p w:rsidR="00F306CF" w:rsidRPr="00F306CF" w:rsidP="00B75B66" w14:paraId="6142E14E" w14:textId="77777777">
            <w:pPr>
              <w:tabs>
                <w:tab w:val="center" w:pos="4680"/>
              </w:tabs>
              <w:suppressAutoHyphens/>
              <w:rPr>
                <w:spacing w:val="-2"/>
                <w:szCs w:val="22"/>
              </w:rPr>
            </w:pPr>
            <w:r w:rsidRPr="00F306CF">
              <w:rPr>
                <w:spacing w:val="-2"/>
                <w:szCs w:val="22"/>
              </w:rPr>
              <w:t>PS Docket No. 17-239</w:t>
            </w:r>
          </w:p>
          <w:p w:rsidR="00F306CF" w:rsidRPr="00F306CF" w:rsidP="00B75B66" w14:paraId="5DCA6751" w14:textId="77777777">
            <w:pPr>
              <w:tabs>
                <w:tab w:val="center" w:pos="4680"/>
              </w:tabs>
              <w:suppressAutoHyphens/>
              <w:rPr>
                <w:spacing w:val="-2"/>
                <w:szCs w:val="22"/>
              </w:rPr>
            </w:pPr>
          </w:p>
          <w:p w:rsidR="00F306CF" w:rsidRPr="00F306CF" w:rsidP="00B75B66" w14:paraId="38EA838A" w14:textId="77777777">
            <w:pPr>
              <w:tabs>
                <w:tab w:val="center" w:pos="4680"/>
              </w:tabs>
              <w:suppressAutoHyphens/>
              <w:rPr>
                <w:spacing w:val="-2"/>
                <w:szCs w:val="22"/>
              </w:rPr>
            </w:pPr>
          </w:p>
          <w:p w:rsidR="00F306CF" w:rsidRPr="00F306CF" w:rsidP="00B75B66" w14:paraId="17C51B4E" w14:textId="77777777">
            <w:pPr>
              <w:rPr>
                <w:b/>
                <w:szCs w:val="22"/>
              </w:rPr>
            </w:pPr>
            <w:r w:rsidRPr="00F306CF">
              <w:rPr>
                <w:spacing w:val="-2"/>
                <w:szCs w:val="22"/>
              </w:rPr>
              <w:t>GN Docket No. 11-117</w:t>
            </w:r>
          </w:p>
        </w:tc>
      </w:tr>
    </w:tbl>
    <w:p w:rsidR="00F306CF" w:rsidRPr="00F306CF" w:rsidP="00F306CF" w14:paraId="64C46EBC" w14:textId="77777777">
      <w:pPr>
        <w:rPr>
          <w:szCs w:val="22"/>
        </w:rPr>
      </w:pPr>
    </w:p>
    <w:p w:rsidR="00F306CF" w:rsidRPr="00F306CF" w:rsidP="00F306CF" w14:paraId="5ED90487" w14:textId="2C8098A1">
      <w:pPr>
        <w:spacing w:before="120"/>
        <w:jc w:val="center"/>
        <w:rPr>
          <w:b/>
          <w:spacing w:val="-2"/>
          <w:szCs w:val="22"/>
        </w:rPr>
      </w:pPr>
      <w:r>
        <w:rPr>
          <w:b/>
          <w:spacing w:val="-2"/>
          <w:szCs w:val="22"/>
        </w:rPr>
        <w:t xml:space="preserve">SECOND </w:t>
      </w:r>
      <w:r w:rsidRPr="00F306CF" w:rsidR="00635073">
        <w:rPr>
          <w:b/>
          <w:spacing w:val="-2"/>
          <w:szCs w:val="22"/>
        </w:rPr>
        <w:t>ERRATUM</w:t>
      </w:r>
    </w:p>
    <w:p w:rsidR="00F306CF" w:rsidRPr="00F306CF" w:rsidP="00F306CF" w14:paraId="468F8DE7" w14:textId="77777777">
      <w:pPr>
        <w:tabs>
          <w:tab w:val="left" w:pos="5760"/>
        </w:tabs>
        <w:rPr>
          <w:b/>
          <w:szCs w:val="22"/>
        </w:rPr>
      </w:pPr>
    </w:p>
    <w:p w:rsidR="00F306CF" w:rsidRPr="00F306CF" w:rsidP="00F306CF" w14:paraId="0C43AF1D" w14:textId="60AFE1AF">
      <w:pPr>
        <w:jc w:val="right"/>
        <w:rPr>
          <w:b/>
          <w:szCs w:val="22"/>
        </w:rPr>
      </w:pPr>
      <w:r w:rsidRPr="00F306CF">
        <w:rPr>
          <w:b/>
          <w:szCs w:val="22"/>
        </w:rPr>
        <w:t xml:space="preserve">Released: </w:t>
      </w:r>
      <w:r w:rsidR="0067528F">
        <w:rPr>
          <w:b/>
          <w:szCs w:val="22"/>
        </w:rPr>
        <w:t>September 13, 2022</w:t>
      </w:r>
    </w:p>
    <w:p w:rsidR="00F306CF" w:rsidRPr="00F306CF" w:rsidP="00F306CF" w14:paraId="1BA196FF" w14:textId="77777777">
      <w:pPr>
        <w:tabs>
          <w:tab w:val="left" w:pos="5760"/>
        </w:tabs>
        <w:rPr>
          <w:b/>
          <w:szCs w:val="22"/>
        </w:rPr>
      </w:pPr>
    </w:p>
    <w:p w:rsidR="00F306CF" w:rsidRPr="00F306CF" w:rsidP="00F306CF" w14:paraId="212A759A" w14:textId="5D83DABA">
      <w:pPr>
        <w:tabs>
          <w:tab w:val="left" w:pos="5760"/>
        </w:tabs>
        <w:rPr>
          <w:spacing w:val="-2"/>
          <w:szCs w:val="22"/>
        </w:rPr>
      </w:pPr>
      <w:r>
        <w:t>By the Managing Director</w:t>
      </w:r>
      <w:r w:rsidR="00C933B4">
        <w:t xml:space="preserve"> and the Chief, Public Safety and Homeland Security Bureau</w:t>
      </w:r>
      <w:r w:rsidRPr="00F306CF" w:rsidR="00635073">
        <w:rPr>
          <w:spacing w:val="-2"/>
          <w:szCs w:val="22"/>
        </w:rPr>
        <w:t>:</w:t>
      </w:r>
    </w:p>
    <w:p w:rsidR="00F306CF" w:rsidRPr="00F306CF" w:rsidP="00F306CF" w14:paraId="74EE5AED" w14:textId="77777777">
      <w:pPr>
        <w:tabs>
          <w:tab w:val="left" w:pos="5760"/>
        </w:tabs>
        <w:rPr>
          <w:spacing w:val="-2"/>
          <w:szCs w:val="22"/>
        </w:rPr>
      </w:pPr>
    </w:p>
    <w:p w:rsidR="00B23C3D" w:rsidP="00704883" w14:paraId="4D385B36" w14:textId="77777777">
      <w:pPr>
        <w:pStyle w:val="ParaNum"/>
        <w:numPr>
          <w:ilvl w:val="0"/>
          <w:numId w:val="0"/>
        </w:numPr>
        <w:ind w:firstLine="720"/>
      </w:pPr>
      <w:r w:rsidRPr="00F306CF">
        <w:t xml:space="preserve">On August 2, 2019, the Commission released a </w:t>
      </w:r>
      <w:r w:rsidRPr="00F15D1B">
        <w:rPr>
          <w:i/>
        </w:rPr>
        <w:t>Report and Order</w:t>
      </w:r>
      <w:r w:rsidRPr="00F306CF">
        <w:t>, FCC 19-76, in the above captioned proceeding.</w:t>
      </w:r>
      <w:r>
        <w:rPr>
          <w:rStyle w:val="FootnoteReference"/>
        </w:rPr>
        <w:footnoteReference w:id="3"/>
      </w:r>
      <w:r w:rsidR="0017026A">
        <w:t xml:space="preserve"> </w:t>
      </w:r>
      <w:r w:rsidR="005D15BC">
        <w:t xml:space="preserve"> </w:t>
      </w:r>
      <w:r w:rsidRPr="00127B0D" w:rsidR="00127B0D">
        <w:t xml:space="preserve">On December 2, 2019, the Managing Director and the Public Safety Homeland Security Bureau released an Erratum amending the </w:t>
      </w:r>
      <w:r w:rsidRPr="00127B0D" w:rsidR="00127B0D">
        <w:rPr>
          <w:i/>
          <w:iCs/>
        </w:rPr>
        <w:t>Report and Order</w:t>
      </w:r>
      <w:r w:rsidRPr="00127B0D" w:rsidR="00127B0D">
        <w:t>, DA 19-1217.</w:t>
      </w:r>
    </w:p>
    <w:p w:rsidR="00B2094F" w:rsidP="00704883" w14:paraId="3AFEB98B" w14:textId="5F61FD1E">
      <w:pPr>
        <w:pStyle w:val="ParaNum"/>
        <w:widowControl/>
      </w:pPr>
      <w:r>
        <w:t xml:space="preserve">In Appendix A of the Report and Order, section 9.17(a)(1) </w:t>
      </w:r>
      <w:r w:rsidR="00635C99">
        <w:t xml:space="preserve">is amended to reference 47 U.S.C. </w:t>
      </w:r>
      <w:r w:rsidR="005700F1">
        <w:t>§</w:t>
      </w:r>
      <w:r w:rsidR="008D72D2">
        <w:t> </w:t>
      </w:r>
      <w:r w:rsidR="00635C99">
        <w:t xml:space="preserve">501 </w:t>
      </w:r>
      <w:r w:rsidRPr="00B97B67" w:rsidR="00635C99">
        <w:rPr>
          <w:i/>
          <w:iCs/>
        </w:rPr>
        <w:t>et seq</w:t>
      </w:r>
      <w:r w:rsidR="00635C99">
        <w:t xml:space="preserve">. (which was listed incorrectly as 5 U.S.C. </w:t>
      </w:r>
      <w:r w:rsidR="005700F1">
        <w:t xml:space="preserve">§ </w:t>
      </w:r>
      <w:r w:rsidR="00635C99">
        <w:t xml:space="preserve">501 </w:t>
      </w:r>
      <w:r w:rsidRPr="00B97B67" w:rsidR="00635C99">
        <w:rPr>
          <w:i/>
          <w:iCs/>
        </w:rPr>
        <w:t>et seq</w:t>
      </w:r>
      <w:r w:rsidR="00635C99">
        <w:t xml:space="preserve">.).  </w:t>
      </w:r>
      <w:r w:rsidR="00E474C5">
        <w:t>Specifically,</w:t>
      </w:r>
      <w:r w:rsidR="00B52003">
        <w:t xml:space="preserve"> 5 U.S.C. </w:t>
      </w:r>
      <w:r w:rsidR="005700F1">
        <w:t xml:space="preserve">§ </w:t>
      </w:r>
      <w:r w:rsidR="00B52003">
        <w:t xml:space="preserve">501 </w:t>
      </w:r>
      <w:r w:rsidRPr="00B97B67" w:rsidR="00B52003">
        <w:rPr>
          <w:i/>
          <w:iCs/>
        </w:rPr>
        <w:t>et seq</w:t>
      </w:r>
      <w:r w:rsidR="00B52003">
        <w:t>. are from Title 5, “Government Organization and Employees,”</w:t>
      </w:r>
      <w:r w:rsidR="00E474C5">
        <w:t xml:space="preserve"> </w:t>
      </w:r>
      <w:r w:rsidR="00B52003">
        <w:t xml:space="preserve">and section 501 </w:t>
      </w:r>
      <w:r w:rsidR="00E615D2">
        <w:t>(</w:t>
      </w:r>
      <w:r w:rsidR="00B52003">
        <w:t>“Advertising practice; restrictions”</w:t>
      </w:r>
      <w:r w:rsidR="00E615D2">
        <w:t>)</w:t>
      </w:r>
      <w:r w:rsidR="00B52003">
        <w:t xml:space="preserve"> </w:t>
      </w:r>
      <w:r w:rsidR="00E615D2">
        <w:t xml:space="preserve">prohibits a party </w:t>
      </w:r>
      <w:r w:rsidRPr="00C9309E" w:rsidR="00C9309E">
        <w:t xml:space="preserve">that is </w:t>
      </w:r>
      <w:r w:rsidR="00E615D2">
        <w:t>practicing before an agency of the United States from using the names of certain individuals in advertising its business.</w:t>
      </w:r>
      <w:r>
        <w:rPr>
          <w:rStyle w:val="FootnoteReference"/>
        </w:rPr>
        <w:footnoteReference w:id="4"/>
      </w:r>
      <w:r w:rsidR="00474BAE">
        <w:t xml:space="preserve">  In contrast, the intended citation, 47 U.S.C. </w:t>
      </w:r>
      <w:r w:rsidR="005700F1">
        <w:t>§</w:t>
      </w:r>
      <w:r w:rsidR="008D72D2">
        <w:t> </w:t>
      </w:r>
      <w:r w:rsidR="00474BAE">
        <w:t xml:space="preserve">501 </w:t>
      </w:r>
      <w:r w:rsidRPr="00B97B67" w:rsidR="00474BAE">
        <w:rPr>
          <w:i/>
          <w:iCs/>
        </w:rPr>
        <w:t>et seq</w:t>
      </w:r>
      <w:r w:rsidR="00474BAE">
        <w:t xml:space="preserve">., is from Title 47, “Telecommunications,” </w:t>
      </w:r>
      <w:r w:rsidR="00B84C08">
        <w:t xml:space="preserve">and section 501 </w:t>
      </w:r>
      <w:r w:rsidR="006C5776">
        <w:t xml:space="preserve">(“General penalty”) </w:t>
      </w:r>
      <w:r w:rsidR="00C453CD">
        <w:t>authorize</w:t>
      </w:r>
      <w:r w:rsidR="006C5776">
        <w:t>s</w:t>
      </w:r>
      <w:r w:rsidR="00C453CD">
        <w:t xml:space="preserve"> imposition of</w:t>
      </w:r>
      <w:r w:rsidR="00B84C08">
        <w:t xml:space="preserve"> </w:t>
      </w:r>
      <w:r w:rsidR="006C5776">
        <w:t xml:space="preserve">a </w:t>
      </w:r>
      <w:r w:rsidR="00B84C08">
        <w:t>fine and imprisonment</w:t>
      </w:r>
      <w:r w:rsidR="00C453CD">
        <w:t>.</w:t>
      </w:r>
      <w:r>
        <w:rPr>
          <w:rStyle w:val="FootnoteReference"/>
        </w:rPr>
        <w:footnoteReference w:id="5"/>
      </w:r>
      <w:r w:rsidR="00C453CD">
        <w:t xml:space="preserve">  </w:t>
      </w:r>
      <w:r w:rsidR="00697B16">
        <w:t xml:space="preserve">The rule in question, </w:t>
      </w:r>
      <w:r w:rsidR="00034736">
        <w:t xml:space="preserve">section </w:t>
      </w:r>
      <w:r w:rsidR="00697B16">
        <w:t>9.17(a)(1)</w:t>
      </w:r>
      <w:r w:rsidR="00034736">
        <w:t xml:space="preserve">, expressly states that </w:t>
      </w:r>
      <w:r w:rsidR="00034736">
        <w:t>“section 501 applies only to the extent that such section provides for the punishment of a fine.”</w:t>
      </w:r>
      <w:r>
        <w:rPr>
          <w:rStyle w:val="FootnoteReference"/>
        </w:rPr>
        <w:footnoteReference w:id="6"/>
      </w:r>
      <w:r w:rsidR="00697B16">
        <w:t xml:space="preserve"> </w:t>
      </w:r>
      <w:r>
        <w:t xml:space="preserve"> </w:t>
      </w:r>
      <w:r w:rsidR="00B4185A">
        <w:t xml:space="preserve">Based on the language of the rule and context, </w:t>
      </w:r>
      <w:r w:rsidR="00563DBF">
        <w:t>t</w:t>
      </w:r>
      <w:r w:rsidR="00B4185A">
        <w:t>he Commission clearly intended to reference</w:t>
      </w:r>
      <w:r>
        <w:t xml:space="preserve"> </w:t>
      </w:r>
      <w:r w:rsidR="00B4185A">
        <w:t xml:space="preserve">47 U.S.C. </w:t>
      </w:r>
      <w:r w:rsidR="005700F1">
        <w:t xml:space="preserve">§ </w:t>
      </w:r>
      <w:r w:rsidR="00B4185A">
        <w:t>501</w:t>
      </w:r>
      <w:r w:rsidR="00563DBF">
        <w:t xml:space="preserve"> </w:t>
      </w:r>
      <w:r w:rsidRPr="00B97B67" w:rsidR="00563DBF">
        <w:rPr>
          <w:i/>
          <w:iCs/>
        </w:rPr>
        <w:t>et seq</w:t>
      </w:r>
      <w:r w:rsidR="00B4185A">
        <w:t>.</w:t>
      </w:r>
    </w:p>
    <w:p w:rsidR="00CA1975" w:rsidP="00704883" w14:paraId="49704BF1" w14:textId="7D407D7F">
      <w:pPr>
        <w:pStyle w:val="ParaNum"/>
      </w:pPr>
      <w:r>
        <w:t xml:space="preserve">Consistent with the Commission’s intent and to avoid public confusion arising from the </w:t>
      </w:r>
      <w:r w:rsidR="00CE049D">
        <w:t xml:space="preserve">typographical </w:t>
      </w:r>
      <w:r>
        <w:t xml:space="preserve">error, this </w:t>
      </w:r>
      <w:r w:rsidRPr="0067528F" w:rsidR="0067528F">
        <w:rPr>
          <w:b/>
          <w:bCs/>
        </w:rPr>
        <w:t xml:space="preserve">Second </w:t>
      </w:r>
      <w:r w:rsidRPr="0067528F">
        <w:rPr>
          <w:b/>
          <w:bCs/>
        </w:rPr>
        <w:t>Erratum</w:t>
      </w:r>
      <w:r>
        <w:t xml:space="preserve"> </w:t>
      </w:r>
      <w:r w:rsidR="00B23C3D">
        <w:t>correct</w:t>
      </w:r>
      <w:r>
        <w:t xml:space="preserve">s </w:t>
      </w:r>
      <w:r w:rsidR="00B23C3D">
        <w:t xml:space="preserve">paragraph (a)(1) of section 9.17 in </w:t>
      </w:r>
      <w:r>
        <w:t xml:space="preserve">Appendix A of the </w:t>
      </w:r>
      <w:r w:rsidRPr="00B86FAA">
        <w:rPr>
          <w:i/>
          <w:iCs/>
        </w:rPr>
        <w:t>Report and Order</w:t>
      </w:r>
      <w:r>
        <w:t xml:space="preserve"> as </w:t>
      </w:r>
      <w:r w:rsidR="0067528F">
        <w:t>fol</w:t>
      </w:r>
      <w:r>
        <w:t>low</w:t>
      </w:r>
      <w:r w:rsidR="0067528F">
        <w:t>s</w:t>
      </w:r>
      <w:r>
        <w:t>:</w:t>
      </w:r>
    </w:p>
    <w:p w:rsidR="001B382A" w:rsidRPr="001B382A" w:rsidP="0067528F" w14:paraId="6ACD1A4F" w14:textId="1AADEEDB">
      <w:pPr>
        <w:pStyle w:val="ParaNum"/>
        <w:numPr>
          <w:ilvl w:val="0"/>
          <w:numId w:val="0"/>
        </w:numPr>
        <w:tabs>
          <w:tab w:val="clear" w:pos="1440"/>
        </w:tabs>
        <w:ind w:left="1440"/>
        <w:rPr>
          <w:b/>
          <w:bCs/>
        </w:rPr>
      </w:pPr>
      <w:r>
        <w:t>“</w:t>
      </w:r>
      <w:r w:rsidRPr="001B382A">
        <w:rPr>
          <w:b/>
          <w:bCs/>
        </w:rPr>
        <w:t>§</w:t>
      </w:r>
      <w:r w:rsidR="007D5AD8">
        <w:rPr>
          <w:b/>
          <w:bCs/>
        </w:rPr>
        <w:t xml:space="preserve"> 9.17 Enforcement, </w:t>
      </w:r>
      <w:r w:rsidR="00540F03">
        <w:rPr>
          <w:b/>
          <w:bCs/>
        </w:rPr>
        <w:t>c</w:t>
      </w:r>
      <w:r w:rsidR="007D5AD8">
        <w:rPr>
          <w:b/>
          <w:bCs/>
        </w:rPr>
        <w:t>ompliance date, State law.</w:t>
      </w:r>
      <w:r w:rsidRPr="001B382A">
        <w:rPr>
          <w:b/>
          <w:bCs/>
        </w:rPr>
        <w:t xml:space="preserve"> </w:t>
      </w:r>
    </w:p>
    <w:p w:rsidR="00B01E4D" w:rsidRPr="007F12CC" w:rsidP="0067528F" w14:paraId="3DACD469" w14:textId="15ABDA4D">
      <w:pPr>
        <w:pStyle w:val="ParaNum"/>
        <w:numPr>
          <w:ilvl w:val="0"/>
          <w:numId w:val="26"/>
        </w:numPr>
        <w:tabs>
          <w:tab w:val="clear" w:pos="1440"/>
        </w:tabs>
        <w:ind w:left="2520"/>
        <w:rPr>
          <w:i/>
          <w:iCs/>
        </w:rPr>
      </w:pPr>
      <w:r w:rsidRPr="007F12CC">
        <w:rPr>
          <w:i/>
          <w:iCs/>
        </w:rPr>
        <w:t>Enforcement</w:t>
      </w:r>
      <w:r w:rsidR="00540F03">
        <w:t>.</w:t>
      </w:r>
    </w:p>
    <w:p w:rsidR="00F306CF" w:rsidP="0067528F" w14:paraId="19D488F1" w14:textId="20E0A1A1">
      <w:pPr>
        <w:pStyle w:val="ParaNum"/>
        <w:keepNext/>
        <w:widowControl/>
        <w:numPr>
          <w:ilvl w:val="0"/>
          <w:numId w:val="25"/>
        </w:numPr>
        <w:tabs>
          <w:tab w:val="clear" w:pos="1440"/>
        </w:tabs>
        <w:ind w:left="2880"/>
        <w:rPr>
          <w:szCs w:val="22"/>
        </w:rPr>
      </w:pPr>
      <w:r w:rsidRPr="00DD58EE">
        <w:rPr>
          <w:szCs w:val="22"/>
        </w:rPr>
        <w:t>Sections 9.16(a)</w:t>
      </w:r>
      <w:r w:rsidRPr="00DD58EE" w:rsidR="00BB5733">
        <w:rPr>
          <w:szCs w:val="22"/>
        </w:rPr>
        <w:t>(1) and (b)(1)</w:t>
      </w:r>
      <w:r w:rsidRPr="00DD58EE" w:rsidR="007B2F24">
        <w:rPr>
          <w:szCs w:val="22"/>
        </w:rPr>
        <w:t xml:space="preserve"> and (2) shall be enforced under title V of the </w:t>
      </w:r>
      <w:r w:rsidRPr="00DD58EE" w:rsidR="005F7C34">
        <w:rPr>
          <w:szCs w:val="22"/>
        </w:rPr>
        <w:t>Communications Act of 1934, as amended</w:t>
      </w:r>
      <w:r w:rsidRPr="00DD58EE" w:rsidR="00BF5F8F">
        <w:rPr>
          <w:szCs w:val="22"/>
        </w:rPr>
        <w:t>,</w:t>
      </w:r>
      <w:r w:rsidRPr="00DD58EE" w:rsidR="005F7C34">
        <w:rPr>
          <w:szCs w:val="22"/>
        </w:rPr>
        <w:t xml:space="preserve"> 47 U.S.C. 501 </w:t>
      </w:r>
      <w:r w:rsidRPr="00B97B67" w:rsidR="005F7C34">
        <w:rPr>
          <w:i/>
          <w:iCs/>
          <w:szCs w:val="22"/>
        </w:rPr>
        <w:t>et seq</w:t>
      </w:r>
      <w:r w:rsidRPr="00DD58EE" w:rsidR="00B24168">
        <w:rPr>
          <w:szCs w:val="22"/>
        </w:rPr>
        <w:t xml:space="preserve">., except that section 501 applies only to the extent that such </w:t>
      </w:r>
      <w:r w:rsidRPr="00DD58EE" w:rsidR="0046627E">
        <w:rPr>
          <w:szCs w:val="22"/>
        </w:rPr>
        <w:t>section provides for the punishment of a fine.</w:t>
      </w:r>
      <w:r w:rsidRPr="00DD58EE" w:rsidR="005F7C34">
        <w:rPr>
          <w:szCs w:val="22"/>
        </w:rPr>
        <w:t xml:space="preserve"> </w:t>
      </w:r>
    </w:p>
    <w:p w:rsidR="001C77CC" w:rsidP="0067528F" w14:paraId="62D75BB1" w14:textId="4A9E3028">
      <w:pPr>
        <w:pStyle w:val="ParaNum"/>
        <w:keepNext/>
        <w:widowControl/>
        <w:numPr>
          <w:ilvl w:val="0"/>
          <w:numId w:val="0"/>
        </w:numPr>
        <w:tabs>
          <w:tab w:val="clear" w:pos="1440"/>
        </w:tabs>
        <w:ind w:left="1440"/>
        <w:rPr>
          <w:szCs w:val="22"/>
        </w:rPr>
      </w:pPr>
      <w:r>
        <w:rPr>
          <w:szCs w:val="22"/>
        </w:rPr>
        <w:t>* * * * *”</w:t>
      </w:r>
    </w:p>
    <w:p w:rsidR="00846593" w:rsidRPr="00B97B67" w:rsidP="00704883" w14:paraId="0B92ECED" w14:textId="43154AAC">
      <w:pPr>
        <w:pStyle w:val="ParaNum"/>
      </w:pPr>
      <w:r w:rsidRPr="00B97B67">
        <w:t>Because this change is editorial and non-substantive, we find good cause to conclude</w:t>
      </w:r>
      <w:r w:rsidRPr="00B97B67">
        <w:br/>
        <w:t>that notice and comment are unnecessary for its adoption.</w:t>
      </w:r>
      <w:r>
        <w:rPr>
          <w:rStyle w:val="FootnoteReference"/>
          <w:szCs w:val="22"/>
        </w:rPr>
        <w:footnoteReference w:id="7"/>
      </w:r>
      <w:r w:rsidRPr="00B97B67">
        <w:t xml:space="preserve"> </w:t>
      </w:r>
      <w:r w:rsidRPr="00B97B67" w:rsidR="00730793">
        <w:t xml:space="preserve"> </w:t>
      </w:r>
      <w:r w:rsidRPr="00B97B67">
        <w:t>Because this rule change does not require</w:t>
      </w:r>
      <w:r w:rsidRPr="00B97B67">
        <w:br/>
        <w:t>notice and comment, the Regulatory Flexibility Act</w:t>
      </w:r>
      <w:r>
        <w:rPr>
          <w:rStyle w:val="FootnoteReference"/>
          <w:szCs w:val="22"/>
        </w:rPr>
        <w:footnoteReference w:id="8"/>
      </w:r>
      <w:r w:rsidRPr="00B97B67">
        <w:t xml:space="preserve"> does not apply.</w:t>
      </w:r>
    </w:p>
    <w:p w:rsidR="00F85F17" w:rsidRPr="00B97B67" w:rsidP="00704883" w14:paraId="25024714" w14:textId="2210EEB3">
      <w:pPr>
        <w:pStyle w:val="ParaNum"/>
      </w:pPr>
      <w:r w:rsidRPr="00B97B67">
        <w:t xml:space="preserve">This </w:t>
      </w:r>
      <w:r w:rsidR="0067528F">
        <w:t xml:space="preserve">Second </w:t>
      </w:r>
      <w:r w:rsidRPr="00B97B67">
        <w:t>Erratum does not contain new or modified information collection requirements subject to the Paperwork Reduction Act of 1995 (PRA).</w:t>
      </w:r>
      <w:r>
        <w:rPr>
          <w:rStyle w:val="FootnoteReference"/>
          <w:szCs w:val="22"/>
        </w:rPr>
        <w:footnoteReference w:id="9"/>
      </w:r>
      <w:r w:rsidRPr="00B97B67">
        <w:t xml:space="preserve"> </w:t>
      </w:r>
      <w:r w:rsidR="009F0C7B">
        <w:t xml:space="preserve"> </w:t>
      </w:r>
      <w:r w:rsidRPr="00B97B67">
        <w:t>In addition, therefore, it does not contain any new or modified information collection burden for small business concerns with fewer than 25 employees, pursuant to the Small Business Paperwork Relief Act of 2002.</w:t>
      </w:r>
      <w:r>
        <w:rPr>
          <w:rStyle w:val="FootnoteReference"/>
          <w:szCs w:val="22"/>
        </w:rPr>
        <w:footnoteReference w:id="10"/>
      </w:r>
    </w:p>
    <w:p w:rsidR="007D1204" w:rsidRPr="00B97B67" w:rsidP="00704883" w14:paraId="31810819" w14:textId="73F1C474">
      <w:pPr>
        <w:pStyle w:val="ParaNum"/>
      </w:pPr>
      <w:r w:rsidRPr="00B97B67">
        <w:t>The Commission has determined, and the Administrator of the Office of Information and</w:t>
      </w:r>
      <w:r w:rsidRPr="00B97B67">
        <w:br/>
        <w:t>Regulatory Affairs, Office of Management and Budget, concurs that this rule is “non-major” under the</w:t>
      </w:r>
      <w:r w:rsidRPr="00B97B67">
        <w:br/>
        <w:t xml:space="preserve">Congressional Review Act, 5 U.S.C. § 804(2). </w:t>
      </w:r>
      <w:r w:rsidRPr="00B97B67" w:rsidR="00BB314C">
        <w:t xml:space="preserve"> </w:t>
      </w:r>
      <w:r w:rsidRPr="00B97B67">
        <w:t>The Commission will send a copy of the Order to Congress and the Government Accountability Office pursuant to 5 U.S.C. § 801(a)(1)(A).</w:t>
      </w:r>
    </w:p>
    <w:p w:rsidR="005752DB" w:rsidP="00704883" w14:paraId="313E4E2F" w14:textId="449FEFF1">
      <w:pPr>
        <w:pStyle w:val="ParaNum"/>
      </w:pPr>
      <w:r>
        <w:t xml:space="preserve">Accordingly, </w:t>
      </w:r>
      <w:r w:rsidRPr="00BF4133">
        <w:rPr>
          <w:b/>
          <w:bCs/>
        </w:rPr>
        <w:t>IT IS ORDERED</w:t>
      </w:r>
      <w:r>
        <w:t xml:space="preserve"> that, effective on the date of publication of this </w:t>
      </w:r>
      <w:r w:rsidR="00B21472">
        <w:t xml:space="preserve">Second </w:t>
      </w:r>
      <w:r>
        <w:t xml:space="preserve">Erratum in </w:t>
      </w:r>
      <w:r w:rsidRPr="00E23E74">
        <w:t xml:space="preserve">the </w:t>
      </w:r>
      <w:r w:rsidRPr="00B97B67">
        <w:t>Federal Register</w:t>
      </w:r>
      <w:r w:rsidRPr="00E23E74">
        <w:t>,</w:t>
      </w:r>
      <w:r w:rsidRPr="00E23E74" w:rsidR="004664FF">
        <w:t xml:space="preserve"> section </w:t>
      </w:r>
      <w:r w:rsidR="004664FF">
        <w:t xml:space="preserve">9.17(a)(1) </w:t>
      </w:r>
      <w:r w:rsidR="00165878">
        <w:t>of the rules</w:t>
      </w:r>
      <w:r w:rsidR="00556D11">
        <w:t xml:space="preserve"> </w:t>
      </w:r>
      <w:r w:rsidRPr="00BF4133" w:rsidR="00556D11">
        <w:rPr>
          <w:b/>
          <w:bCs/>
        </w:rPr>
        <w:t>IS AMENDED</w:t>
      </w:r>
      <w:r w:rsidR="00556D11">
        <w:t xml:space="preserve"> as set forth </w:t>
      </w:r>
      <w:r w:rsidRPr="0091290D" w:rsidR="00556D11">
        <w:t>herein</w:t>
      </w:r>
      <w:r w:rsidRPr="0091290D" w:rsidR="004925D0">
        <w:t xml:space="preserve">, </w:t>
      </w:r>
      <w:r w:rsidRPr="00B97B67" w:rsidR="004925D0">
        <w:t>pursuant to the authority contained in sections 4(</w:t>
      </w:r>
      <w:r w:rsidRPr="00B97B67" w:rsidR="004925D0">
        <w:t>i</w:t>
      </w:r>
      <w:r w:rsidRPr="00B97B67" w:rsidR="004925D0">
        <w:t>) and 303(r) of the Communications Act of 1934, as amended, 47 U.S.C. §§ 154(</w:t>
      </w:r>
      <w:r w:rsidRPr="00B97B67" w:rsidR="004925D0">
        <w:t>i</w:t>
      </w:r>
      <w:r w:rsidRPr="00B97B67" w:rsidR="004925D0">
        <w:t>), 303(r), and in sections 553(b)(3)(B) and 553(d)(3) of the Administrative Procedure  Act, 5 U.S.C §§ 553(b)(3)(B), 553(d)(3).</w:t>
      </w:r>
    </w:p>
    <w:p w:rsidR="00190C78" w:rsidRPr="006A2487" w:rsidP="00704883" w14:paraId="5F088962" w14:textId="0F8660DA">
      <w:pPr>
        <w:pStyle w:val="ParaNum"/>
        <w:keepNext/>
        <w:widowControl/>
      </w:pPr>
      <w:r>
        <w:t>This action is taken under delegated authority pursuant to sections 0.11, 0.191, 0.231(b), and 0.392 of the Commission’s Rules, 47 CFR §§ 0.11, 0.191, 0.231(b), 0.392.</w:t>
      </w:r>
    </w:p>
    <w:p w:rsidR="00E94FC9" w:rsidP="00704883" w14:paraId="0996476B" w14:textId="139BC9E6">
      <w:pPr>
        <w:pStyle w:val="ParaNum"/>
        <w:keepNext/>
        <w:widowControl/>
        <w:numPr>
          <w:ilvl w:val="0"/>
          <w:numId w:val="0"/>
        </w:numPr>
        <w:spacing w:after="0"/>
        <w:rPr>
          <w:szCs w:val="22"/>
        </w:rPr>
      </w:pPr>
    </w:p>
    <w:p w:rsidR="00F306CF" w:rsidRPr="00F306CF" w:rsidP="00704883" w14:paraId="653E7A62" w14:textId="77777777">
      <w:pPr>
        <w:keepNext/>
        <w:widowControl/>
      </w:pPr>
      <w:r w:rsidRPr="00F306CF">
        <w:tab/>
      </w:r>
      <w:r w:rsidRPr="00F306CF">
        <w:tab/>
      </w:r>
      <w:r w:rsidRPr="00F306CF">
        <w:tab/>
      </w:r>
      <w:r w:rsidRPr="00F306CF">
        <w:tab/>
      </w:r>
      <w:r w:rsidRPr="00F306CF">
        <w:tab/>
      </w:r>
      <w:r w:rsidRPr="00F306CF">
        <w:tab/>
        <w:t>FEDERAL COMMUNICATIONS COMMISSION</w:t>
      </w:r>
    </w:p>
    <w:p w:rsidR="00F306CF" w:rsidRPr="00F306CF" w:rsidP="00704883" w14:paraId="28E9E961" w14:textId="77777777">
      <w:pPr>
        <w:keepNext/>
        <w:widowControl/>
      </w:pPr>
    </w:p>
    <w:p w:rsidR="00F306CF" w:rsidRPr="00F306CF" w:rsidP="00704883" w14:paraId="30AAF7AB" w14:textId="77777777">
      <w:pPr>
        <w:keepNext/>
        <w:widowControl/>
      </w:pPr>
    </w:p>
    <w:p w:rsidR="00F306CF" w:rsidRPr="00F306CF" w:rsidP="00704883" w14:paraId="29EC3543" w14:textId="77777777">
      <w:pPr>
        <w:keepNext/>
        <w:widowControl/>
      </w:pPr>
    </w:p>
    <w:p w:rsidR="00A10531" w:rsidP="00704883" w14:paraId="10EE2281" w14:textId="77777777">
      <w:pPr>
        <w:keepNext/>
        <w:widowControl/>
      </w:pPr>
    </w:p>
    <w:p w:rsidR="00F306CF" w:rsidRPr="00F306CF" w:rsidP="00704883" w14:paraId="308D8A88" w14:textId="46D91457">
      <w:pPr>
        <w:keepNext/>
        <w:widowControl/>
      </w:pPr>
      <w:r>
        <w:tab/>
      </w:r>
      <w:r>
        <w:tab/>
      </w:r>
      <w:r>
        <w:tab/>
      </w:r>
      <w:r>
        <w:tab/>
      </w:r>
      <w:r>
        <w:tab/>
      </w:r>
      <w:r>
        <w:tab/>
      </w:r>
      <w:r w:rsidRPr="00F306CF">
        <w:t xml:space="preserve">Mark Stephens </w:t>
      </w:r>
    </w:p>
    <w:p w:rsidR="00F306CF" w:rsidP="00704883" w14:paraId="41084A10" w14:textId="7CF38F40">
      <w:pPr>
        <w:keepNext/>
        <w:widowControl/>
      </w:pPr>
      <w:r w:rsidRPr="00F306CF">
        <w:tab/>
      </w:r>
      <w:r w:rsidRPr="00F306CF">
        <w:tab/>
      </w:r>
      <w:r w:rsidRPr="00F306CF">
        <w:tab/>
      </w:r>
      <w:r w:rsidRPr="00F306CF">
        <w:tab/>
      </w:r>
      <w:r w:rsidRPr="00F306CF">
        <w:tab/>
      </w:r>
      <w:r w:rsidRPr="00F306CF">
        <w:tab/>
        <w:t>Managing Director</w:t>
      </w:r>
    </w:p>
    <w:p w:rsidR="00A10531" w:rsidP="00704883" w14:paraId="0761FB78" w14:textId="5B61A57C">
      <w:pPr>
        <w:keepNext/>
        <w:widowControl/>
      </w:pPr>
      <w:r>
        <w:tab/>
      </w:r>
      <w:r>
        <w:tab/>
      </w:r>
      <w:r>
        <w:tab/>
      </w:r>
      <w:r>
        <w:tab/>
      </w:r>
      <w:r>
        <w:tab/>
      </w:r>
      <w:r>
        <w:tab/>
      </w:r>
      <w:r>
        <w:t>Office of the Managing Director</w:t>
      </w:r>
    </w:p>
    <w:p w:rsidR="000D00C8" w:rsidP="00704883" w14:paraId="3F6931AD" w14:textId="41A39260">
      <w:pPr>
        <w:keepNext/>
        <w:widowControl/>
      </w:pPr>
    </w:p>
    <w:p w:rsidR="000D00C8" w:rsidP="00704883" w14:paraId="3B334AD6" w14:textId="6CB79F28">
      <w:pPr>
        <w:keepNext/>
        <w:widowControl/>
      </w:pPr>
      <w:r>
        <w:tab/>
      </w:r>
      <w:r>
        <w:tab/>
      </w:r>
      <w:r>
        <w:tab/>
      </w:r>
      <w:r>
        <w:tab/>
      </w:r>
      <w:r>
        <w:tab/>
      </w:r>
      <w:r>
        <w:tab/>
      </w:r>
      <w:r>
        <w:t>and</w:t>
      </w:r>
    </w:p>
    <w:p w:rsidR="000D00C8" w:rsidP="00704883" w14:paraId="691D3046" w14:textId="67890465">
      <w:pPr>
        <w:keepNext/>
        <w:widowControl/>
      </w:pPr>
    </w:p>
    <w:p w:rsidR="000D00C8" w:rsidP="00704883" w14:paraId="0E7A722F" w14:textId="0A7B203D">
      <w:pPr>
        <w:keepNext/>
        <w:widowControl/>
      </w:pPr>
    </w:p>
    <w:p w:rsidR="000D00C8" w:rsidP="00704883" w14:paraId="30906940" w14:textId="2F2292B8">
      <w:pPr>
        <w:keepNext/>
        <w:widowControl/>
      </w:pPr>
    </w:p>
    <w:p w:rsidR="000D00C8" w:rsidP="00704883" w14:paraId="5C6367D8" w14:textId="47F0674C">
      <w:pPr>
        <w:keepNext/>
        <w:widowControl/>
      </w:pPr>
      <w:r>
        <w:tab/>
      </w:r>
      <w:r>
        <w:tab/>
      </w:r>
      <w:r>
        <w:tab/>
      </w:r>
      <w:r>
        <w:tab/>
      </w:r>
      <w:r>
        <w:tab/>
      </w:r>
      <w:r>
        <w:tab/>
      </w:r>
      <w:r>
        <w:t>Debra Jordan</w:t>
      </w:r>
    </w:p>
    <w:p w:rsidR="000D00C8" w:rsidP="00704883" w14:paraId="31A3A6E5" w14:textId="1A4443F9">
      <w:pPr>
        <w:keepNext/>
        <w:widowControl/>
      </w:pPr>
      <w:r>
        <w:tab/>
      </w:r>
      <w:r>
        <w:tab/>
      </w:r>
      <w:r>
        <w:tab/>
      </w:r>
      <w:r>
        <w:tab/>
      </w:r>
      <w:r>
        <w:tab/>
      </w:r>
      <w:r>
        <w:tab/>
      </w:r>
      <w:r>
        <w:t>Chief</w:t>
      </w:r>
    </w:p>
    <w:p w:rsidR="000D00C8" w:rsidRPr="00F306CF" w:rsidP="0067528F" w14:paraId="397EE7EE" w14:textId="338BEE5D">
      <w:r>
        <w:tab/>
      </w:r>
      <w:r>
        <w:tab/>
      </w:r>
      <w:r>
        <w:tab/>
      </w:r>
      <w:r>
        <w:tab/>
      </w:r>
      <w:r>
        <w:tab/>
      </w:r>
      <w:r>
        <w:tab/>
      </w:r>
      <w:r>
        <w:t>Public Safety and Homeland Security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0E87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35E10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F7539" w14:paraId="0C8A84D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F66B7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5EBF" w14:paraId="04E54BA8" w14:textId="77777777">
      <w:r>
        <w:separator/>
      </w:r>
    </w:p>
  </w:footnote>
  <w:footnote w:type="continuationSeparator" w:id="1">
    <w:p w:rsidR="00E25EBF" w:rsidP="00C721AC" w14:paraId="2D21E90C" w14:textId="77777777">
      <w:pPr>
        <w:spacing w:before="120"/>
        <w:rPr>
          <w:sz w:val="20"/>
        </w:rPr>
      </w:pPr>
      <w:r>
        <w:rPr>
          <w:sz w:val="20"/>
        </w:rPr>
        <w:t xml:space="preserve">(Continued from previous page)  </w:t>
      </w:r>
      <w:r>
        <w:rPr>
          <w:sz w:val="20"/>
        </w:rPr>
        <w:separator/>
      </w:r>
    </w:p>
  </w:footnote>
  <w:footnote w:type="continuationNotice" w:id="2">
    <w:p w:rsidR="00E25EBF" w:rsidP="00C721AC" w14:paraId="67A4E3C1" w14:textId="77777777">
      <w:pPr>
        <w:jc w:val="right"/>
        <w:rPr>
          <w:sz w:val="20"/>
        </w:rPr>
      </w:pPr>
      <w:r>
        <w:rPr>
          <w:sz w:val="20"/>
        </w:rPr>
        <w:t>(continued….)</w:t>
      </w:r>
    </w:p>
  </w:footnote>
  <w:footnote w:id="3">
    <w:p w:rsidR="00B63BD6" w14:paraId="09EE7C53" w14:textId="4CD61643">
      <w:pPr>
        <w:pStyle w:val="FootnoteText"/>
      </w:pPr>
      <w:r>
        <w:rPr>
          <w:rStyle w:val="FootnoteReference"/>
        </w:rPr>
        <w:footnoteRef/>
      </w:r>
      <w:r>
        <w:t xml:space="preserve"> </w:t>
      </w:r>
      <w:r w:rsidRPr="00B67497" w:rsidR="00B67497">
        <w:rPr>
          <w:i/>
          <w:iCs/>
        </w:rPr>
        <w:t>Implementing Kari's Law and Section 506 of RAY BAUM'S Act; 911 Access, Routing, and Location in Enterprise Communications Systems; Amending the Definition of Interconnected VoIP Service in Section 9.3 of the Commission's Rules</w:t>
      </w:r>
      <w:r w:rsidRPr="00B67497" w:rsidR="00B67497">
        <w:t xml:space="preserve">, PS Docket Nos. 18-261 and 17-239, GN Docket No. 11-117, Report and Order, 34 FCC </w:t>
      </w:r>
      <w:r w:rsidRPr="00B67497" w:rsidR="00B67497">
        <w:t>Rcd</w:t>
      </w:r>
      <w:r w:rsidRPr="00B67497" w:rsidR="00B67497">
        <w:t xml:space="preserve"> 6607 (2019), </w:t>
      </w:r>
      <w:r w:rsidRPr="00B67497" w:rsidR="00B67497">
        <w:rPr>
          <w:i/>
          <w:iCs/>
        </w:rPr>
        <w:t>corrected by</w:t>
      </w:r>
      <w:r w:rsidRPr="00B67497" w:rsidR="00B67497">
        <w:t xml:space="preserve"> Erratum, 34 FCC </w:t>
      </w:r>
      <w:r w:rsidRPr="00B67497" w:rsidR="00B67497">
        <w:t>Rcd</w:t>
      </w:r>
      <w:r w:rsidRPr="00B67497" w:rsidR="00B67497">
        <w:t xml:space="preserve"> 11073 (PSHSB Dec. 2, 2019)</w:t>
      </w:r>
      <w:r w:rsidR="00B86FAA">
        <w:t xml:space="preserve"> (</w:t>
      </w:r>
      <w:r w:rsidRPr="00B86FAA" w:rsidR="00B86FAA">
        <w:rPr>
          <w:i/>
          <w:iCs/>
        </w:rPr>
        <w:t>Report and Order</w:t>
      </w:r>
      <w:r w:rsidR="00B86FAA">
        <w:t>)</w:t>
      </w:r>
      <w:r w:rsidR="00753AD6">
        <w:t>.</w:t>
      </w:r>
    </w:p>
  </w:footnote>
  <w:footnote w:id="4">
    <w:p w:rsidR="00034736" w14:paraId="3196F354" w14:textId="147D4E41">
      <w:pPr>
        <w:pStyle w:val="FootnoteText"/>
      </w:pPr>
      <w:r>
        <w:rPr>
          <w:rStyle w:val="FootnoteReference"/>
        </w:rPr>
        <w:footnoteRef/>
      </w:r>
      <w:r>
        <w:t xml:space="preserve"> </w:t>
      </w:r>
      <w:r w:rsidR="00C4265A">
        <w:t xml:space="preserve">5 U.S.C. </w:t>
      </w:r>
      <w:r w:rsidR="005700F1">
        <w:t xml:space="preserve">§ </w:t>
      </w:r>
      <w:r w:rsidR="00C4265A">
        <w:t xml:space="preserve">501 </w:t>
      </w:r>
      <w:r w:rsidR="00903DCC">
        <w:t>(“</w:t>
      </w:r>
      <w:r w:rsidRPr="00B97B67" w:rsidR="00903DCC">
        <w:rPr>
          <w:i/>
          <w:iCs/>
        </w:rPr>
        <w:t>Advertising practice; restrictions</w:t>
      </w:r>
      <w:r w:rsidR="00903DCC">
        <w:t>:  An individual, firm, or corporation practicing before an agency of the United States may not use the name of a Member of either House of Congress or of an individual in the service of the United States in advertising the business.”</w:t>
      </w:r>
      <w:r w:rsidR="00C4265A">
        <w:t>).</w:t>
      </w:r>
    </w:p>
  </w:footnote>
  <w:footnote w:id="5">
    <w:p w:rsidR="009D23E7" w14:paraId="13128388" w14:textId="2DC55D98">
      <w:pPr>
        <w:pStyle w:val="FootnoteText"/>
      </w:pPr>
      <w:r>
        <w:rPr>
          <w:rStyle w:val="FootnoteReference"/>
        </w:rPr>
        <w:footnoteRef/>
      </w:r>
      <w:r>
        <w:t xml:space="preserve"> </w:t>
      </w:r>
      <w:r w:rsidR="00903DCC">
        <w:t xml:space="preserve">47 U.S.C. </w:t>
      </w:r>
      <w:r w:rsidR="005700F1">
        <w:t xml:space="preserve">§ </w:t>
      </w:r>
      <w:r w:rsidR="00903DCC">
        <w:t>501 (“</w:t>
      </w:r>
      <w:r w:rsidRPr="00B97B67" w:rsidR="00903DCC">
        <w:rPr>
          <w:i/>
          <w:iCs/>
        </w:rPr>
        <w:t>General penalty</w:t>
      </w:r>
      <w:r w:rsidR="00903DCC">
        <w:t xml:space="preserve">: </w:t>
      </w:r>
      <w:r w:rsidR="00C4265A">
        <w:t xml:space="preserve"> </w:t>
      </w:r>
      <w:r w:rsidR="00903DCC">
        <w:t>Any person who willfully and knowingly does or causes or suffers to be done any act, matter, or thing, in this chapter prohibited or declared to be unlawful, or who willfully and knowingly omits or fails to do any act, matter, or thing in this chapter required to be done, or willfully and knowingly causes or suffers such omission or failure, shall, upon conviction thereof, be punished for such offense, for which no penalty (other than a forfeiture) is provided in this chapter, by a fine of not more than $10,000 or by imprisonment for a term not exceeding one year, or both; except that any person, having been once convicted of an offense punishable under this section, who is subsequently convicted of violating any provision of this chapter punishable under this section, shall be punished by a fine of not more than $10,000 or by imprisonment for a term not exceeding two years, or both.”).</w:t>
      </w:r>
    </w:p>
  </w:footnote>
  <w:footnote w:id="6">
    <w:p w:rsidR="00034736" w14:paraId="11008F95" w14:textId="3F55B46D">
      <w:pPr>
        <w:pStyle w:val="FootnoteText"/>
      </w:pPr>
      <w:r>
        <w:rPr>
          <w:rStyle w:val="FootnoteReference"/>
        </w:rPr>
        <w:footnoteRef/>
      </w:r>
      <w:r>
        <w:t xml:space="preserve"> 47 CFR </w:t>
      </w:r>
      <w:r w:rsidR="005E7309">
        <w:t xml:space="preserve">§ </w:t>
      </w:r>
      <w:r>
        <w:t>9.17(a)(1).</w:t>
      </w:r>
    </w:p>
  </w:footnote>
  <w:footnote w:id="7">
    <w:p w:rsidR="00AC13BD" w14:paraId="40C774C8" w14:textId="52FB4538">
      <w:pPr>
        <w:pStyle w:val="FootnoteText"/>
      </w:pPr>
      <w:r>
        <w:rPr>
          <w:rStyle w:val="FootnoteReference"/>
        </w:rPr>
        <w:footnoteRef/>
      </w:r>
      <w:r>
        <w:t xml:space="preserve"> </w:t>
      </w:r>
      <w:r w:rsidRPr="00B97B67" w:rsidR="00730793">
        <w:rPr>
          <w:i/>
          <w:iCs/>
        </w:rPr>
        <w:t>See</w:t>
      </w:r>
      <w:r w:rsidR="00730793">
        <w:t xml:space="preserve"> 5 U.S.C. § 553(b)(B). </w:t>
      </w:r>
      <w:r w:rsidR="003B33E7">
        <w:t xml:space="preserve"> </w:t>
      </w:r>
      <w:r w:rsidR="00730793">
        <w:t xml:space="preserve">In light of the ministerial nature of this change and to avoid confusion to the public, we find there is “good cause” under 5 U.S.C. § 553(d) to make the change effective prior to 30 days after publication in the Federal Register. </w:t>
      </w:r>
      <w:r w:rsidR="008A4B3D">
        <w:t xml:space="preserve"> </w:t>
      </w:r>
      <w:r w:rsidRPr="00B97B67" w:rsidR="00730793">
        <w:rPr>
          <w:i/>
          <w:iCs/>
        </w:rPr>
        <w:t>See</w:t>
      </w:r>
      <w:r w:rsidR="00730793">
        <w:t xml:space="preserve"> 5 U.S.C. § 553(d)(3) (stating that publication of a substantive rule shall be made not less than 30 days before its effective date, “except . . . as otherwise provided by the agency for good cause found and published with the rule”).</w:t>
      </w:r>
    </w:p>
  </w:footnote>
  <w:footnote w:id="8">
    <w:p w:rsidR="00AC13BD" w14:paraId="7406B595" w14:textId="363AA161">
      <w:pPr>
        <w:pStyle w:val="FootnoteText"/>
      </w:pPr>
      <w:r>
        <w:rPr>
          <w:rStyle w:val="FootnoteReference"/>
        </w:rPr>
        <w:footnoteRef/>
      </w:r>
      <w:r>
        <w:t xml:space="preserve"> </w:t>
      </w:r>
      <w:r w:rsidR="003B33E7">
        <w:t xml:space="preserve">5 U.S.C. § 601 </w:t>
      </w:r>
      <w:r w:rsidRPr="00B97B67" w:rsidR="003B33E7">
        <w:rPr>
          <w:i/>
          <w:iCs/>
        </w:rPr>
        <w:t>et seq</w:t>
      </w:r>
      <w:r w:rsidR="003B33E7">
        <w:t xml:space="preserve">. </w:t>
      </w:r>
      <w:r w:rsidR="005C752E">
        <w:t xml:space="preserve"> </w:t>
      </w:r>
      <w:r w:rsidRPr="00B97B67" w:rsidR="003B33E7">
        <w:rPr>
          <w:i/>
          <w:iCs/>
        </w:rPr>
        <w:t>See id</w:t>
      </w:r>
      <w:r w:rsidR="003B33E7">
        <w:t>. § 601(2).</w:t>
      </w:r>
    </w:p>
  </w:footnote>
  <w:footnote w:id="9">
    <w:p w:rsidR="00AC13BD" w14:paraId="06C506CA" w14:textId="49B82775">
      <w:pPr>
        <w:pStyle w:val="FootnoteText"/>
      </w:pPr>
      <w:r>
        <w:rPr>
          <w:rStyle w:val="FootnoteReference"/>
        </w:rPr>
        <w:footnoteRef/>
      </w:r>
      <w:r>
        <w:t xml:space="preserve"> </w:t>
      </w:r>
      <w:r w:rsidR="007E4FAF">
        <w:t>Public Law 104-13.</w:t>
      </w:r>
    </w:p>
  </w:footnote>
  <w:footnote w:id="10">
    <w:p w:rsidR="006F4031" w14:paraId="1ED4E3FD" w14:textId="6C6BE58E">
      <w:pPr>
        <w:pStyle w:val="FootnoteText"/>
      </w:pPr>
      <w:r>
        <w:rPr>
          <w:rStyle w:val="FootnoteReference"/>
        </w:rPr>
        <w:footnoteRef/>
      </w:r>
      <w:r>
        <w:t xml:space="preserve"> </w:t>
      </w:r>
      <w:r w:rsidR="007E4FAF">
        <w:t xml:space="preserve">Public Law 107-198; </w:t>
      </w:r>
      <w:r w:rsidRPr="00B97B67" w:rsidR="007E4FAF">
        <w:rPr>
          <w:i/>
          <w:iCs/>
        </w:rPr>
        <w:t>see</w:t>
      </w:r>
      <w:r w:rsidR="007E4FAF">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E5DF5" w14:paraId="29619F2F" w14:textId="4CD4F69E">
    <w:pPr>
      <w:pStyle w:val="Header"/>
    </w:pPr>
    <w:r>
      <w:tab/>
      <w:t>Federal Communications Commission</w:t>
    </w:r>
    <w:r>
      <w:tab/>
    </w:r>
    <w:r w:rsidR="00F306CF">
      <w:t xml:space="preserve">DA </w:t>
    </w:r>
    <w:r w:rsidR="00DE5DF5">
      <w:t>22-</w:t>
    </w:r>
    <w:r w:rsidR="00B23C3D">
      <w:t>952</w:t>
    </w:r>
  </w:p>
  <w:p w:rsidR="00D25FB5" w14:paraId="2124A36B" w14:textId="458204B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59E157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E5DF5" w14:paraId="3459F2B8" w14:textId="03416D99">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635073">
      <w:tab/>
      <w:t>Federal Communications Commission</w:t>
    </w:r>
    <w:r w:rsidR="00635073">
      <w:tab/>
    </w:r>
    <w:r w:rsidR="00F306CF">
      <w:rPr>
        <w:spacing w:val="-2"/>
      </w:rPr>
      <w:t xml:space="preserve">DA </w:t>
    </w:r>
    <w:r w:rsidR="00E5170F">
      <w:rPr>
        <w:spacing w:val="-2"/>
      </w:rPr>
      <w:t>22-</w:t>
    </w:r>
    <w:r w:rsidR="00B23C3D">
      <w:rPr>
        <w:spacing w:val="-2"/>
      </w:rPr>
      <w:t>952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8F031C"/>
    <w:multiLevelType w:val="hybridMultilevel"/>
    <w:tmpl w:val="1116E8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4B3486E"/>
    <w:multiLevelType w:val="hybridMultilevel"/>
    <w:tmpl w:val="E0E0B6D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6591C3F"/>
    <w:multiLevelType w:val="hybridMultilevel"/>
    <w:tmpl w:val="9A4260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D643D32"/>
    <w:multiLevelType w:val="hybridMultilevel"/>
    <w:tmpl w:val="AF3E7B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2B534C8"/>
    <w:multiLevelType w:val="hybridMultilevel"/>
    <w:tmpl w:val="3ABCA7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589336B"/>
    <w:multiLevelType w:val="hybridMultilevel"/>
    <w:tmpl w:val="C0EC9882"/>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CA338F"/>
    <w:multiLevelType w:val="hybridMultilevel"/>
    <w:tmpl w:val="722EC7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0B67E65"/>
    <w:multiLevelType w:val="hybridMultilevel"/>
    <w:tmpl w:val="73DAE9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31083BBE"/>
    <w:multiLevelType w:val="hybridMultilevel"/>
    <w:tmpl w:val="CA026824"/>
    <w:lvl w:ilvl="0">
      <w:start w:val="1"/>
      <w:numFmt w:val="bullet"/>
      <w:lvlText w:val=""/>
      <w:lvlJc w:val="left"/>
      <w:pPr>
        <w:ind w:left="2160" w:hanging="360"/>
      </w:pPr>
      <w:rPr>
        <w:rFonts w:ascii="Symbol" w:eastAsia="Times New Roman" w:hAnsi="Symbol" w:cs="Times New Roman"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348225B1"/>
    <w:multiLevelType w:val="hybridMultilevel"/>
    <w:tmpl w:val="616E2B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4FD4F63"/>
    <w:multiLevelType w:val="hybridMultilevel"/>
    <w:tmpl w:val="A49EAE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B6D4FCF"/>
    <w:multiLevelType w:val="hybridMultilevel"/>
    <w:tmpl w:val="DB6672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4DCD66D1"/>
    <w:multiLevelType w:val="hybridMultilevel"/>
    <w:tmpl w:val="714606A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4E2120AB"/>
    <w:multiLevelType w:val="hybridMultilevel"/>
    <w:tmpl w:val="FDB46D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5D055182"/>
    <w:multiLevelType w:val="hybridMultilevel"/>
    <w:tmpl w:val="61C65A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5F7B34B1"/>
    <w:multiLevelType w:val="hybridMultilevel"/>
    <w:tmpl w:val="757EF9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61182925"/>
    <w:multiLevelType w:val="singleLevel"/>
    <w:tmpl w:val="91B2E10C"/>
    <w:lvl w:ilvl="0">
      <w:start w:val="1"/>
      <w:numFmt w:val="decimal"/>
      <w:pStyle w:val="ParaNum"/>
      <w:lvlText w:val="%1."/>
      <w:lvlJc w:val="left"/>
      <w:pPr>
        <w:tabs>
          <w:tab w:val="num" w:pos="1080"/>
        </w:tabs>
        <w:ind w:left="0" w:firstLine="720"/>
      </w:pPr>
      <w:rPr>
        <w:rFonts w:ascii="Times New Roman" w:eastAsia="Times New Roman" w:hAnsi="Times New Roman" w:cs="Times New Roman"/>
        <w:color w:val="auto"/>
      </w:rPr>
    </w:lvl>
  </w:abstractNum>
  <w:abstractNum w:abstractNumId="22">
    <w:nsid w:val="69F645E0"/>
    <w:multiLevelType w:val="hybridMultilevel"/>
    <w:tmpl w:val="17848CC2"/>
    <w:lvl w:ilvl="0">
      <w:start w:val="1"/>
      <w:numFmt w:val="lowerLetter"/>
      <w:lvlText w:val="(%1)"/>
      <w:lvlJc w:val="left"/>
      <w:pPr>
        <w:ind w:left="2160" w:hanging="360"/>
      </w:pPr>
      <w:rPr>
        <w:rFonts w:hint="default"/>
        <w:i w:val="0"/>
        <w:iCs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3">
    <w:nsid w:val="76975343"/>
    <w:multiLevelType w:val="hybridMultilevel"/>
    <w:tmpl w:val="F63CDC6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6"/>
  </w:num>
  <w:num w:numId="2">
    <w:abstractNumId w:val="21"/>
  </w:num>
  <w:num w:numId="3">
    <w:abstractNumId w:val="9"/>
  </w:num>
  <w:num w:numId="4">
    <w:abstractNumId w:val="17"/>
  </w:num>
  <w:num w:numId="5">
    <w:abstractNumId w:val="7"/>
  </w:num>
  <w:num w:numId="6">
    <w:abstractNumId w:val="0"/>
  </w:num>
  <w:num w:numId="7">
    <w:abstractNumId w:val="24"/>
  </w:num>
  <w:num w:numId="8">
    <w:abstractNumId w:val="11"/>
  </w:num>
  <w:num w:numId="9">
    <w:abstractNumId w:val="1"/>
  </w:num>
  <w:num w:numId="10">
    <w:abstractNumId w:val="13"/>
  </w:num>
  <w:num w:numId="11">
    <w:abstractNumId w:val="23"/>
  </w:num>
  <w:num w:numId="12">
    <w:abstractNumId w:val="14"/>
  </w:num>
  <w:num w:numId="13">
    <w:abstractNumId w:val="19"/>
  </w:num>
  <w:num w:numId="14">
    <w:abstractNumId w:val="4"/>
  </w:num>
  <w:num w:numId="15">
    <w:abstractNumId w:val="20"/>
  </w:num>
  <w:num w:numId="16">
    <w:abstractNumId w:val="10"/>
  </w:num>
  <w:num w:numId="17">
    <w:abstractNumId w:val="15"/>
  </w:num>
  <w:num w:numId="18">
    <w:abstractNumId w:val="2"/>
  </w:num>
  <w:num w:numId="19">
    <w:abstractNumId w:val="18"/>
  </w:num>
  <w:num w:numId="20">
    <w:abstractNumId w:val="3"/>
  </w:num>
  <w:num w:numId="21">
    <w:abstractNumId w:val="16"/>
  </w:num>
  <w:num w:numId="22">
    <w:abstractNumId w:val="21"/>
  </w:num>
  <w:num w:numId="23">
    <w:abstractNumId w:val="21"/>
  </w:num>
  <w:num w:numId="24">
    <w:abstractNumId w:val="5"/>
  </w:num>
  <w:num w:numId="25">
    <w:abstractNumId w:val="8"/>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CF"/>
    <w:rsid w:val="0000301D"/>
    <w:rsid w:val="00007527"/>
    <w:rsid w:val="0000786D"/>
    <w:rsid w:val="00022D9D"/>
    <w:rsid w:val="00034736"/>
    <w:rsid w:val="00036039"/>
    <w:rsid w:val="000363E7"/>
    <w:rsid w:val="00037F90"/>
    <w:rsid w:val="0004276E"/>
    <w:rsid w:val="0005561E"/>
    <w:rsid w:val="0006259D"/>
    <w:rsid w:val="00067034"/>
    <w:rsid w:val="0007193B"/>
    <w:rsid w:val="00074B78"/>
    <w:rsid w:val="000875BF"/>
    <w:rsid w:val="00096D8C"/>
    <w:rsid w:val="000A4804"/>
    <w:rsid w:val="000C0B65"/>
    <w:rsid w:val="000C30F1"/>
    <w:rsid w:val="000D00C8"/>
    <w:rsid w:val="000D6450"/>
    <w:rsid w:val="000E05FE"/>
    <w:rsid w:val="000E3D42"/>
    <w:rsid w:val="000F2BD9"/>
    <w:rsid w:val="000F3C58"/>
    <w:rsid w:val="00120675"/>
    <w:rsid w:val="00122BD5"/>
    <w:rsid w:val="00127B0D"/>
    <w:rsid w:val="00133F79"/>
    <w:rsid w:val="00147906"/>
    <w:rsid w:val="00156E94"/>
    <w:rsid w:val="00165878"/>
    <w:rsid w:val="0017026A"/>
    <w:rsid w:val="0017397A"/>
    <w:rsid w:val="0017454F"/>
    <w:rsid w:val="0018111D"/>
    <w:rsid w:val="00190C78"/>
    <w:rsid w:val="00194A66"/>
    <w:rsid w:val="001B04D7"/>
    <w:rsid w:val="001B2E1C"/>
    <w:rsid w:val="001B382A"/>
    <w:rsid w:val="001C0363"/>
    <w:rsid w:val="001C59DD"/>
    <w:rsid w:val="001C77CC"/>
    <w:rsid w:val="001D52BF"/>
    <w:rsid w:val="001D6BCF"/>
    <w:rsid w:val="001E01CA"/>
    <w:rsid w:val="001E264F"/>
    <w:rsid w:val="00201697"/>
    <w:rsid w:val="00204617"/>
    <w:rsid w:val="00226A21"/>
    <w:rsid w:val="002409B9"/>
    <w:rsid w:val="002513EC"/>
    <w:rsid w:val="0025209C"/>
    <w:rsid w:val="002651C1"/>
    <w:rsid w:val="00275CF5"/>
    <w:rsid w:val="0028301F"/>
    <w:rsid w:val="00285017"/>
    <w:rsid w:val="002917C1"/>
    <w:rsid w:val="00294249"/>
    <w:rsid w:val="002A2D2E"/>
    <w:rsid w:val="002A7046"/>
    <w:rsid w:val="002A77A1"/>
    <w:rsid w:val="002C00E8"/>
    <w:rsid w:val="002E6502"/>
    <w:rsid w:val="00311988"/>
    <w:rsid w:val="0033240D"/>
    <w:rsid w:val="00343749"/>
    <w:rsid w:val="00350454"/>
    <w:rsid w:val="00352142"/>
    <w:rsid w:val="003535E0"/>
    <w:rsid w:val="003660ED"/>
    <w:rsid w:val="00366100"/>
    <w:rsid w:val="0037017B"/>
    <w:rsid w:val="00375334"/>
    <w:rsid w:val="00385F10"/>
    <w:rsid w:val="00387BB8"/>
    <w:rsid w:val="003A1528"/>
    <w:rsid w:val="003B0550"/>
    <w:rsid w:val="003B2F28"/>
    <w:rsid w:val="003B33E7"/>
    <w:rsid w:val="003B3D9E"/>
    <w:rsid w:val="003B694F"/>
    <w:rsid w:val="003C2D0F"/>
    <w:rsid w:val="003E6916"/>
    <w:rsid w:val="003F171C"/>
    <w:rsid w:val="00402A70"/>
    <w:rsid w:val="004121D5"/>
    <w:rsid w:val="00412FC5"/>
    <w:rsid w:val="00414863"/>
    <w:rsid w:val="00422276"/>
    <w:rsid w:val="004242F1"/>
    <w:rsid w:val="00435E55"/>
    <w:rsid w:val="00440485"/>
    <w:rsid w:val="004412B4"/>
    <w:rsid w:val="00445A00"/>
    <w:rsid w:val="00451B0F"/>
    <w:rsid w:val="00455324"/>
    <w:rsid w:val="004560F4"/>
    <w:rsid w:val="004567B2"/>
    <w:rsid w:val="00463031"/>
    <w:rsid w:val="0046627E"/>
    <w:rsid w:val="004664FF"/>
    <w:rsid w:val="004667C3"/>
    <w:rsid w:val="00466E0C"/>
    <w:rsid w:val="00470DE8"/>
    <w:rsid w:val="00474BAE"/>
    <w:rsid w:val="00477A89"/>
    <w:rsid w:val="0048313B"/>
    <w:rsid w:val="004925D0"/>
    <w:rsid w:val="004C2EE3"/>
    <w:rsid w:val="004D3076"/>
    <w:rsid w:val="004E284B"/>
    <w:rsid w:val="004E4A22"/>
    <w:rsid w:val="00505921"/>
    <w:rsid w:val="0050606E"/>
    <w:rsid w:val="005070A7"/>
    <w:rsid w:val="00511968"/>
    <w:rsid w:val="00514366"/>
    <w:rsid w:val="00517DC8"/>
    <w:rsid w:val="0052267C"/>
    <w:rsid w:val="0052520F"/>
    <w:rsid w:val="00525CF3"/>
    <w:rsid w:val="00533741"/>
    <w:rsid w:val="00540C70"/>
    <w:rsid w:val="00540F03"/>
    <w:rsid w:val="005506EE"/>
    <w:rsid w:val="00551F3B"/>
    <w:rsid w:val="0055614C"/>
    <w:rsid w:val="00556D11"/>
    <w:rsid w:val="0056210C"/>
    <w:rsid w:val="00563DBF"/>
    <w:rsid w:val="00566D06"/>
    <w:rsid w:val="005700F1"/>
    <w:rsid w:val="00570E57"/>
    <w:rsid w:val="005716B1"/>
    <w:rsid w:val="005752DB"/>
    <w:rsid w:val="00590892"/>
    <w:rsid w:val="0059090F"/>
    <w:rsid w:val="005954F2"/>
    <w:rsid w:val="005A06E6"/>
    <w:rsid w:val="005C088F"/>
    <w:rsid w:val="005C4F34"/>
    <w:rsid w:val="005C752E"/>
    <w:rsid w:val="005D15BC"/>
    <w:rsid w:val="005D2D80"/>
    <w:rsid w:val="005D70E2"/>
    <w:rsid w:val="005D7402"/>
    <w:rsid w:val="005E14C2"/>
    <w:rsid w:val="005E7309"/>
    <w:rsid w:val="005F46DC"/>
    <w:rsid w:val="005F7C34"/>
    <w:rsid w:val="00607BA5"/>
    <w:rsid w:val="0061180A"/>
    <w:rsid w:val="0061371D"/>
    <w:rsid w:val="00626EB6"/>
    <w:rsid w:val="00635073"/>
    <w:rsid w:val="00635C99"/>
    <w:rsid w:val="006429C5"/>
    <w:rsid w:val="00652BAD"/>
    <w:rsid w:val="00655D03"/>
    <w:rsid w:val="00673DE8"/>
    <w:rsid w:val="0067528F"/>
    <w:rsid w:val="00675E56"/>
    <w:rsid w:val="0068143A"/>
    <w:rsid w:val="006831AB"/>
    <w:rsid w:val="00683388"/>
    <w:rsid w:val="00683F84"/>
    <w:rsid w:val="00697B16"/>
    <w:rsid w:val="006A2487"/>
    <w:rsid w:val="006A3772"/>
    <w:rsid w:val="006A6A81"/>
    <w:rsid w:val="006C5776"/>
    <w:rsid w:val="006C6A7D"/>
    <w:rsid w:val="006E3A69"/>
    <w:rsid w:val="006F1B55"/>
    <w:rsid w:val="006F4031"/>
    <w:rsid w:val="006F7393"/>
    <w:rsid w:val="0070224F"/>
    <w:rsid w:val="00704883"/>
    <w:rsid w:val="007115F7"/>
    <w:rsid w:val="0071473C"/>
    <w:rsid w:val="007172DD"/>
    <w:rsid w:val="007220D4"/>
    <w:rsid w:val="00722322"/>
    <w:rsid w:val="00730793"/>
    <w:rsid w:val="00731438"/>
    <w:rsid w:val="007331C2"/>
    <w:rsid w:val="00751742"/>
    <w:rsid w:val="00751862"/>
    <w:rsid w:val="00753AD6"/>
    <w:rsid w:val="00754046"/>
    <w:rsid w:val="007565D3"/>
    <w:rsid w:val="00757408"/>
    <w:rsid w:val="00767F43"/>
    <w:rsid w:val="00777379"/>
    <w:rsid w:val="00785689"/>
    <w:rsid w:val="0079754B"/>
    <w:rsid w:val="007A1E6D"/>
    <w:rsid w:val="007B0EB2"/>
    <w:rsid w:val="007B2F24"/>
    <w:rsid w:val="007B683C"/>
    <w:rsid w:val="007B769B"/>
    <w:rsid w:val="007D1204"/>
    <w:rsid w:val="007D5AD8"/>
    <w:rsid w:val="007E1D05"/>
    <w:rsid w:val="007E4FAF"/>
    <w:rsid w:val="007F12CC"/>
    <w:rsid w:val="007F6CC9"/>
    <w:rsid w:val="00810B6F"/>
    <w:rsid w:val="00811C37"/>
    <w:rsid w:val="00817EA4"/>
    <w:rsid w:val="00822CE0"/>
    <w:rsid w:val="008237BB"/>
    <w:rsid w:val="00840F84"/>
    <w:rsid w:val="00841AB1"/>
    <w:rsid w:val="00843471"/>
    <w:rsid w:val="00846593"/>
    <w:rsid w:val="00862BB0"/>
    <w:rsid w:val="00863943"/>
    <w:rsid w:val="008A04F7"/>
    <w:rsid w:val="008A3EA6"/>
    <w:rsid w:val="008A4B3D"/>
    <w:rsid w:val="008B2378"/>
    <w:rsid w:val="008B38CC"/>
    <w:rsid w:val="008B79BE"/>
    <w:rsid w:val="008C1149"/>
    <w:rsid w:val="008C3B45"/>
    <w:rsid w:val="008C517B"/>
    <w:rsid w:val="008C534D"/>
    <w:rsid w:val="008C68F1"/>
    <w:rsid w:val="008D72D2"/>
    <w:rsid w:val="00903DCC"/>
    <w:rsid w:val="0091175D"/>
    <w:rsid w:val="0091290D"/>
    <w:rsid w:val="00921803"/>
    <w:rsid w:val="00924525"/>
    <w:rsid w:val="00926503"/>
    <w:rsid w:val="00934FE0"/>
    <w:rsid w:val="009648F9"/>
    <w:rsid w:val="009726D8"/>
    <w:rsid w:val="0099369B"/>
    <w:rsid w:val="00995DBF"/>
    <w:rsid w:val="0099615C"/>
    <w:rsid w:val="009C2F65"/>
    <w:rsid w:val="009D23E7"/>
    <w:rsid w:val="009D7308"/>
    <w:rsid w:val="009E1127"/>
    <w:rsid w:val="009E72B4"/>
    <w:rsid w:val="009F0C7B"/>
    <w:rsid w:val="009F4D20"/>
    <w:rsid w:val="009F5C68"/>
    <w:rsid w:val="009F6508"/>
    <w:rsid w:val="009F76DB"/>
    <w:rsid w:val="00A10531"/>
    <w:rsid w:val="00A10D7D"/>
    <w:rsid w:val="00A304C5"/>
    <w:rsid w:val="00A30A35"/>
    <w:rsid w:val="00A32C3B"/>
    <w:rsid w:val="00A45F4F"/>
    <w:rsid w:val="00A600A9"/>
    <w:rsid w:val="00A76096"/>
    <w:rsid w:val="00AA55B7"/>
    <w:rsid w:val="00AA5B9E"/>
    <w:rsid w:val="00AB2407"/>
    <w:rsid w:val="00AB53DF"/>
    <w:rsid w:val="00AB562E"/>
    <w:rsid w:val="00AC13BD"/>
    <w:rsid w:val="00AD4B02"/>
    <w:rsid w:val="00B01E4D"/>
    <w:rsid w:val="00B01FE8"/>
    <w:rsid w:val="00B07E5C"/>
    <w:rsid w:val="00B130EC"/>
    <w:rsid w:val="00B2094F"/>
    <w:rsid w:val="00B21472"/>
    <w:rsid w:val="00B2215A"/>
    <w:rsid w:val="00B23C3D"/>
    <w:rsid w:val="00B24168"/>
    <w:rsid w:val="00B36715"/>
    <w:rsid w:val="00B4185A"/>
    <w:rsid w:val="00B52003"/>
    <w:rsid w:val="00B63BD6"/>
    <w:rsid w:val="00B67497"/>
    <w:rsid w:val="00B7271B"/>
    <w:rsid w:val="00B7303A"/>
    <w:rsid w:val="00B75B66"/>
    <w:rsid w:val="00B811F7"/>
    <w:rsid w:val="00B84C08"/>
    <w:rsid w:val="00B86FAA"/>
    <w:rsid w:val="00B9476D"/>
    <w:rsid w:val="00B94781"/>
    <w:rsid w:val="00B9498E"/>
    <w:rsid w:val="00B96A6F"/>
    <w:rsid w:val="00B97B67"/>
    <w:rsid w:val="00BA5DC6"/>
    <w:rsid w:val="00BA6196"/>
    <w:rsid w:val="00BB314C"/>
    <w:rsid w:val="00BB5733"/>
    <w:rsid w:val="00BC6D8C"/>
    <w:rsid w:val="00BF1A1D"/>
    <w:rsid w:val="00BF3F36"/>
    <w:rsid w:val="00BF4133"/>
    <w:rsid w:val="00BF5F8F"/>
    <w:rsid w:val="00C008F9"/>
    <w:rsid w:val="00C11B18"/>
    <w:rsid w:val="00C143E0"/>
    <w:rsid w:val="00C17CC2"/>
    <w:rsid w:val="00C242A4"/>
    <w:rsid w:val="00C2501C"/>
    <w:rsid w:val="00C27B32"/>
    <w:rsid w:val="00C31A15"/>
    <w:rsid w:val="00C34006"/>
    <w:rsid w:val="00C36B4C"/>
    <w:rsid w:val="00C4265A"/>
    <w:rsid w:val="00C426B1"/>
    <w:rsid w:val="00C43FBB"/>
    <w:rsid w:val="00C453CD"/>
    <w:rsid w:val="00C4691A"/>
    <w:rsid w:val="00C520B1"/>
    <w:rsid w:val="00C54F82"/>
    <w:rsid w:val="00C55F14"/>
    <w:rsid w:val="00C630EC"/>
    <w:rsid w:val="00C637C5"/>
    <w:rsid w:val="00C66160"/>
    <w:rsid w:val="00C721AC"/>
    <w:rsid w:val="00C7691E"/>
    <w:rsid w:val="00C90D6A"/>
    <w:rsid w:val="00C9309E"/>
    <w:rsid w:val="00C933B4"/>
    <w:rsid w:val="00CA1975"/>
    <w:rsid w:val="00CA247E"/>
    <w:rsid w:val="00CA6D21"/>
    <w:rsid w:val="00CB0873"/>
    <w:rsid w:val="00CC72B6"/>
    <w:rsid w:val="00CD627C"/>
    <w:rsid w:val="00CE049D"/>
    <w:rsid w:val="00CF2D51"/>
    <w:rsid w:val="00CF3C9A"/>
    <w:rsid w:val="00CF7539"/>
    <w:rsid w:val="00D0218D"/>
    <w:rsid w:val="00D0656F"/>
    <w:rsid w:val="00D17A05"/>
    <w:rsid w:val="00D25FB5"/>
    <w:rsid w:val="00D26D46"/>
    <w:rsid w:val="00D44223"/>
    <w:rsid w:val="00D45FCC"/>
    <w:rsid w:val="00D67FE0"/>
    <w:rsid w:val="00D96932"/>
    <w:rsid w:val="00DA2529"/>
    <w:rsid w:val="00DA6F4D"/>
    <w:rsid w:val="00DB130A"/>
    <w:rsid w:val="00DB2C5E"/>
    <w:rsid w:val="00DB2EBB"/>
    <w:rsid w:val="00DB62F7"/>
    <w:rsid w:val="00DC10A1"/>
    <w:rsid w:val="00DC655F"/>
    <w:rsid w:val="00DC77A0"/>
    <w:rsid w:val="00DD0B59"/>
    <w:rsid w:val="00DD58EE"/>
    <w:rsid w:val="00DD7EBD"/>
    <w:rsid w:val="00DE5DF5"/>
    <w:rsid w:val="00DF3B24"/>
    <w:rsid w:val="00DF62B6"/>
    <w:rsid w:val="00E054E7"/>
    <w:rsid w:val="00E05747"/>
    <w:rsid w:val="00E06A25"/>
    <w:rsid w:val="00E07225"/>
    <w:rsid w:val="00E126C9"/>
    <w:rsid w:val="00E23E74"/>
    <w:rsid w:val="00E249AD"/>
    <w:rsid w:val="00E25EBF"/>
    <w:rsid w:val="00E474C5"/>
    <w:rsid w:val="00E5170F"/>
    <w:rsid w:val="00E5409F"/>
    <w:rsid w:val="00E57244"/>
    <w:rsid w:val="00E615D2"/>
    <w:rsid w:val="00E65818"/>
    <w:rsid w:val="00E810D1"/>
    <w:rsid w:val="00E81CB1"/>
    <w:rsid w:val="00E86F9D"/>
    <w:rsid w:val="00E918ED"/>
    <w:rsid w:val="00E94FC9"/>
    <w:rsid w:val="00E96A39"/>
    <w:rsid w:val="00EB0701"/>
    <w:rsid w:val="00EB573A"/>
    <w:rsid w:val="00EB57F8"/>
    <w:rsid w:val="00EE6488"/>
    <w:rsid w:val="00F00F24"/>
    <w:rsid w:val="00F020BB"/>
    <w:rsid w:val="00F021FA"/>
    <w:rsid w:val="00F1357C"/>
    <w:rsid w:val="00F15D1B"/>
    <w:rsid w:val="00F306CF"/>
    <w:rsid w:val="00F3110A"/>
    <w:rsid w:val="00F40ABC"/>
    <w:rsid w:val="00F4457B"/>
    <w:rsid w:val="00F5503F"/>
    <w:rsid w:val="00F62E97"/>
    <w:rsid w:val="00F64209"/>
    <w:rsid w:val="00F75620"/>
    <w:rsid w:val="00F80B55"/>
    <w:rsid w:val="00F85F17"/>
    <w:rsid w:val="00F87FBF"/>
    <w:rsid w:val="00F93BF5"/>
    <w:rsid w:val="00FC08AB"/>
    <w:rsid w:val="00FD7811"/>
    <w:rsid w:val="00FE4A85"/>
    <w:rsid w:val="00FF16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13F24E"/>
  <w15:chartTrackingRefBased/>
  <w15:docId w15:val="{13C58299-F5A3-442F-84A7-4A1E6451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2409B9"/>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autoRedefine/>
    <w:rsid w:val="00DE5DF5"/>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Caption">
    <w:name w:val="caption"/>
    <w:basedOn w:val="Normal"/>
    <w:next w:val="Normal"/>
    <w:qFormat/>
    <w:rsid w:val="00F306CF"/>
    <w:pPr>
      <w:widowControl/>
      <w:spacing w:before="120" w:after="120" w:line="276" w:lineRule="auto"/>
    </w:pPr>
    <w:rPr>
      <w:rFonts w:ascii="Calibri" w:eastAsia="Calibri" w:hAnsi="Calibri"/>
      <w:b/>
      <w:snapToGrid/>
      <w:kern w:val="0"/>
      <w:szCs w:val="22"/>
    </w:rPr>
  </w:style>
  <w:style w:type="paragraph" w:styleId="NormalWeb">
    <w:name w:val="Normal (Web)"/>
    <w:basedOn w:val="Normal"/>
    <w:uiPriority w:val="99"/>
    <w:unhideWhenUsed/>
    <w:rsid w:val="00F306CF"/>
    <w:pPr>
      <w:widowControl/>
      <w:spacing w:after="200" w:line="276" w:lineRule="auto"/>
    </w:pPr>
    <w:rPr>
      <w:rFonts w:ascii="Calibri" w:eastAsia="Calibri" w:hAnsi="Calibri"/>
      <w:kern w:val="0"/>
      <w:sz w:val="24"/>
      <w:szCs w:val="24"/>
    </w:rPr>
  </w:style>
  <w:style w:type="character" w:customStyle="1" w:styleId="ParaNumChar">
    <w:name w:val="ParaNum Char"/>
    <w:link w:val="ParaNum"/>
    <w:locked/>
    <w:rsid w:val="002409B9"/>
    <w:rPr>
      <w:snapToGrid w:val="0"/>
      <w:kern w:val="28"/>
      <w:sz w:val="22"/>
    </w:rPr>
  </w:style>
  <w:style w:type="character" w:styleId="CommentReference">
    <w:name w:val="annotation reference"/>
    <w:unhideWhenUsed/>
    <w:rsid w:val="00F306CF"/>
    <w:rPr>
      <w:sz w:val="16"/>
      <w:szCs w:val="16"/>
    </w:rPr>
  </w:style>
  <w:style w:type="paragraph" w:styleId="CommentText">
    <w:name w:val="annotation text"/>
    <w:basedOn w:val="Normal"/>
    <w:link w:val="CommentTextChar"/>
    <w:unhideWhenUsed/>
    <w:rsid w:val="00F306CF"/>
    <w:pPr>
      <w:widowControl/>
      <w:spacing w:after="200" w:line="276" w:lineRule="auto"/>
    </w:pPr>
    <w:rPr>
      <w:rFonts w:ascii="Calibri" w:eastAsia="Calibri" w:hAnsi="Calibri"/>
      <w:snapToGrid/>
      <w:kern w:val="0"/>
      <w:sz w:val="20"/>
      <w:szCs w:val="22"/>
    </w:rPr>
  </w:style>
  <w:style w:type="character" w:customStyle="1" w:styleId="CommentTextChar">
    <w:name w:val="Comment Text Char"/>
    <w:link w:val="CommentText"/>
    <w:rsid w:val="00F306CF"/>
    <w:rPr>
      <w:rFonts w:ascii="Calibri" w:eastAsia="Calibri" w:hAnsi="Calibri"/>
      <w:szCs w:val="22"/>
    </w:rPr>
  </w:style>
  <w:style w:type="paragraph" w:styleId="BalloonText">
    <w:name w:val="Balloon Text"/>
    <w:basedOn w:val="Normal"/>
    <w:link w:val="BalloonTextChar"/>
    <w:rsid w:val="00F306CF"/>
    <w:rPr>
      <w:rFonts w:ascii="Segoe UI" w:hAnsi="Segoe UI" w:cs="Segoe UI"/>
      <w:sz w:val="18"/>
      <w:szCs w:val="18"/>
    </w:rPr>
  </w:style>
  <w:style w:type="character" w:customStyle="1" w:styleId="BalloonTextChar">
    <w:name w:val="Balloon Text Char"/>
    <w:link w:val="BalloonText"/>
    <w:rsid w:val="00F306CF"/>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B9498E"/>
    <w:pPr>
      <w:widowControl w:val="0"/>
      <w:spacing w:after="0" w:line="240" w:lineRule="auto"/>
    </w:pPr>
    <w:rPr>
      <w:rFonts w:ascii="Times New Roman" w:eastAsia="Times New Roman" w:hAnsi="Times New Roman"/>
      <w:b/>
      <w:bCs/>
      <w:snapToGrid w:val="0"/>
      <w:kern w:val="28"/>
      <w:szCs w:val="20"/>
    </w:rPr>
  </w:style>
  <w:style w:type="character" w:customStyle="1" w:styleId="CommentSubjectChar">
    <w:name w:val="Comment Subject Char"/>
    <w:link w:val="CommentSubject"/>
    <w:rsid w:val="00B9498E"/>
    <w:rPr>
      <w:rFonts w:ascii="Calibri" w:eastAsia="Calibri" w:hAnsi="Calibri"/>
      <w:b/>
      <w:bCs/>
      <w:snapToGrid w:val="0"/>
      <w:kern w:val="28"/>
      <w:szCs w:val="22"/>
    </w:rPr>
  </w:style>
  <w:style w:type="paragraph" w:styleId="Revision">
    <w:name w:val="Revision"/>
    <w:hidden/>
    <w:uiPriority w:val="99"/>
    <w:semiHidden/>
    <w:rsid w:val="00B9476D"/>
    <w:rPr>
      <w:snapToGrid w:val="0"/>
      <w:kern w:val="28"/>
      <w:sz w:val="22"/>
    </w:rPr>
  </w:style>
  <w:style w:type="character" w:customStyle="1" w:styleId="xmsofootnotereference">
    <w:name w:val="x_msofootnotereference"/>
    <w:basedOn w:val="DefaultParagraphFont"/>
    <w:rsid w:val="00127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