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E5884" w:rsidRPr="00E3186C" w:rsidP="00C82B6B" w14:paraId="44AEF914" w14:textId="77777777">
      <w:pPr>
        <w:jc w:val="right"/>
        <w:rPr>
          <w:szCs w:val="22"/>
        </w:rPr>
      </w:pPr>
    </w:p>
    <w:p w:rsidR="006D1C17" w:rsidRPr="00E3186C" w:rsidP="006D1C17" w14:paraId="079652D4" w14:textId="55861E02">
      <w:pPr>
        <w:jc w:val="right"/>
        <w:rPr>
          <w:b/>
          <w:szCs w:val="22"/>
        </w:rPr>
      </w:pPr>
      <w:r w:rsidRPr="00E3186C">
        <w:rPr>
          <w:b/>
          <w:szCs w:val="22"/>
        </w:rPr>
        <w:t>DA 2</w:t>
      </w:r>
      <w:r w:rsidR="005F513D">
        <w:rPr>
          <w:b/>
          <w:szCs w:val="22"/>
        </w:rPr>
        <w:t>2</w:t>
      </w:r>
      <w:r w:rsidRPr="00E3186C">
        <w:rPr>
          <w:b/>
          <w:szCs w:val="22"/>
        </w:rPr>
        <w:t>-</w:t>
      </w:r>
      <w:r w:rsidR="00452805">
        <w:rPr>
          <w:b/>
          <w:szCs w:val="22"/>
        </w:rPr>
        <w:t>979</w:t>
      </w:r>
    </w:p>
    <w:p w:rsidR="006D1C17" w:rsidRPr="00E3186C" w:rsidP="006D1C17" w14:paraId="2CF44B56" w14:textId="22B7E6DA">
      <w:pPr>
        <w:spacing w:before="60"/>
        <w:jc w:val="right"/>
        <w:rPr>
          <w:b/>
          <w:szCs w:val="22"/>
        </w:rPr>
      </w:pPr>
      <w:r w:rsidRPr="00E3186C">
        <w:rPr>
          <w:b/>
          <w:szCs w:val="22"/>
        </w:rPr>
        <w:t>Released</w:t>
      </w:r>
      <w:r w:rsidRPr="002C6E0B">
        <w:rPr>
          <w:b/>
          <w:szCs w:val="22"/>
        </w:rPr>
        <w:t xml:space="preserve">:  </w:t>
      </w:r>
      <w:r w:rsidRPr="002418B4" w:rsidR="008543D9">
        <w:rPr>
          <w:b/>
          <w:szCs w:val="22"/>
        </w:rPr>
        <w:t xml:space="preserve">September </w:t>
      </w:r>
      <w:r w:rsidRPr="009D0EF4" w:rsidR="009D0EF4">
        <w:rPr>
          <w:b/>
          <w:szCs w:val="22"/>
        </w:rPr>
        <w:t>20</w:t>
      </w:r>
      <w:r w:rsidRPr="002C6E0B" w:rsidR="00FD66D5">
        <w:rPr>
          <w:b/>
          <w:szCs w:val="22"/>
        </w:rPr>
        <w:t>, 202</w:t>
      </w:r>
      <w:r w:rsidRPr="002C6E0B" w:rsidR="0071662E">
        <w:rPr>
          <w:b/>
          <w:szCs w:val="22"/>
        </w:rPr>
        <w:t>2</w:t>
      </w:r>
    </w:p>
    <w:p w:rsidR="006D1C17" w:rsidRPr="00E3186C" w:rsidP="006D1C17" w14:paraId="32FADE30" w14:textId="77777777">
      <w:pPr>
        <w:jc w:val="right"/>
        <w:rPr>
          <w:szCs w:val="22"/>
        </w:rPr>
      </w:pPr>
    </w:p>
    <w:p w:rsidR="006D1C17" w:rsidRPr="00E3186C" w:rsidP="006D1C17" w14:paraId="5D2A96E6" w14:textId="77777777">
      <w:pPr>
        <w:jc w:val="center"/>
        <w:rPr>
          <w:rFonts w:ascii="Times New Roman Bold" w:hAnsi="Times New Roman Bold"/>
          <w:b/>
          <w:caps/>
          <w:szCs w:val="22"/>
        </w:rPr>
      </w:pPr>
      <w:r w:rsidRPr="00E3186C">
        <w:rPr>
          <w:rFonts w:ascii="Times New Roman Bold" w:hAnsi="Times New Roman Bold"/>
          <w:b/>
          <w:caps/>
          <w:szCs w:val="22"/>
        </w:rPr>
        <w:t xml:space="preserve">public safety and homeland security BUREAU </w:t>
      </w:r>
      <w:r w:rsidR="00757DB2">
        <w:rPr>
          <w:rFonts w:ascii="Times New Roman Bold" w:hAnsi="Times New Roman Bold"/>
          <w:b/>
          <w:caps/>
          <w:szCs w:val="22"/>
        </w:rPr>
        <w:t xml:space="preserve">announces </w:t>
      </w:r>
      <w:r w:rsidR="0071662E">
        <w:rPr>
          <w:rFonts w:ascii="Times New Roman Bold" w:hAnsi="Times New Roman Bold"/>
          <w:b/>
          <w:caps/>
          <w:szCs w:val="22"/>
        </w:rPr>
        <w:t xml:space="preserve">ADDITIONS </w:t>
      </w:r>
      <w:r w:rsidR="005F513D">
        <w:rPr>
          <w:rFonts w:ascii="Times New Roman Bold" w:hAnsi="Times New Roman Bold"/>
          <w:b/>
          <w:caps/>
          <w:szCs w:val="22"/>
        </w:rPr>
        <w:t xml:space="preserve">to </w:t>
      </w:r>
      <w:r w:rsidR="00757DB2">
        <w:rPr>
          <w:rFonts w:ascii="Times New Roman Bold" w:hAnsi="Times New Roman Bold"/>
          <w:b/>
          <w:caps/>
          <w:szCs w:val="22"/>
        </w:rPr>
        <w:t>the list of</w:t>
      </w:r>
      <w:r w:rsidR="00CD3AB7">
        <w:rPr>
          <w:rFonts w:ascii="Times New Roman Bold" w:hAnsi="Times New Roman Bold"/>
          <w:b/>
          <w:caps/>
          <w:szCs w:val="22"/>
        </w:rPr>
        <w:t xml:space="preserve"> equipment and services</w:t>
      </w:r>
      <w:r w:rsidR="00757DB2">
        <w:rPr>
          <w:rFonts w:ascii="Times New Roman Bold" w:hAnsi="Times New Roman Bold"/>
          <w:b/>
          <w:caps/>
          <w:szCs w:val="22"/>
        </w:rPr>
        <w:t xml:space="preserve"> covered by section 2 of the secure networks act</w:t>
      </w:r>
    </w:p>
    <w:p w:rsidR="006D1C17" w:rsidRPr="00E3186C" w:rsidP="006D1C17" w14:paraId="45EBEFFD" w14:textId="77777777">
      <w:pPr>
        <w:jc w:val="center"/>
        <w:rPr>
          <w:rFonts w:ascii="Times New Roman Bold" w:hAnsi="Times New Roman Bold"/>
          <w:b/>
          <w:caps/>
          <w:szCs w:val="22"/>
        </w:rPr>
      </w:pPr>
    </w:p>
    <w:p w:rsidR="006D1C17" w:rsidRPr="00E8413C" w:rsidP="006D1C17" w14:paraId="07628F1C" w14:textId="6119121A">
      <w:pPr>
        <w:jc w:val="center"/>
        <w:rPr>
          <w:b/>
          <w:bCs/>
        </w:rPr>
      </w:pPr>
      <w:r w:rsidRPr="00C9125B">
        <w:rPr>
          <w:b/>
          <w:bCs/>
        </w:rPr>
        <w:t>WC</w:t>
      </w:r>
      <w:r w:rsidRPr="00C9125B">
        <w:rPr>
          <w:b/>
        </w:rPr>
        <w:t xml:space="preserve"> Docket No. </w:t>
      </w:r>
      <w:r w:rsidRPr="00C9125B" w:rsidR="771FCD04">
        <w:rPr>
          <w:b/>
          <w:bCs/>
        </w:rPr>
        <w:t>18-89</w:t>
      </w:r>
      <w:r w:rsidR="00E8413C">
        <w:rPr>
          <w:b/>
          <w:bCs/>
        </w:rPr>
        <w:t xml:space="preserve">, ET Docket No. </w:t>
      </w:r>
      <w:r w:rsidR="00752C37">
        <w:rPr>
          <w:b/>
          <w:bCs/>
        </w:rPr>
        <w:t xml:space="preserve">21-232, </w:t>
      </w:r>
      <w:r w:rsidR="00E8413C">
        <w:rPr>
          <w:b/>
          <w:bCs/>
        </w:rPr>
        <w:t xml:space="preserve">EA Docket No. </w:t>
      </w:r>
      <w:r w:rsidR="00752C37">
        <w:rPr>
          <w:b/>
          <w:bCs/>
        </w:rPr>
        <w:t>21-233</w:t>
      </w:r>
    </w:p>
    <w:p w:rsidR="006D1C17" w:rsidRPr="00E3186C" w:rsidP="006D1C17" w14:paraId="6B18E29C" w14:textId="77777777">
      <w:pPr>
        <w:jc w:val="center"/>
        <w:rPr>
          <w:b/>
          <w:szCs w:val="22"/>
        </w:rPr>
      </w:pPr>
    </w:p>
    <w:p w:rsidR="00B77AE1" w:rsidRPr="00AD62BF" w:rsidP="008B1B6B" w14:paraId="34BA78C7" w14:textId="291BE4E0">
      <w:pPr>
        <w:pStyle w:val="ParaNum"/>
        <w:numPr>
          <w:ilvl w:val="0"/>
          <w:numId w:val="0"/>
        </w:numPr>
        <w:ind w:firstLine="720"/>
      </w:pPr>
      <w:r w:rsidRPr="271648C2">
        <w:t xml:space="preserve">Pursuant to </w:t>
      </w:r>
      <w:r w:rsidR="003437FC">
        <w:t>s</w:t>
      </w:r>
      <w:r w:rsidRPr="271648C2">
        <w:t>ection</w:t>
      </w:r>
      <w:r w:rsidR="00A86ECB">
        <w:t>s</w:t>
      </w:r>
      <w:r w:rsidRPr="271648C2">
        <w:t xml:space="preserve"> 2(a)</w:t>
      </w:r>
      <w:r w:rsidR="00A86ECB">
        <w:t xml:space="preserve"> and (d)</w:t>
      </w:r>
      <w:r w:rsidRPr="271648C2">
        <w:t xml:space="preserve"> of the Secure and Trusted Communications Networks Act of 2019 </w:t>
      </w:r>
      <w:r w:rsidR="3679D128">
        <w:t>(Secure Networks Act)</w:t>
      </w:r>
      <w:r w:rsidR="0073298E">
        <w:t>,</w:t>
      </w:r>
      <w:r>
        <w:rPr>
          <w:rStyle w:val="FootnoteReference"/>
        </w:rPr>
        <w:footnoteReference w:id="3"/>
      </w:r>
      <w:r w:rsidRPr="271648C2">
        <w:t xml:space="preserve"> </w:t>
      </w:r>
      <w:r w:rsidRPr="271648C2" w:rsidR="00342F26">
        <w:t>and section</w:t>
      </w:r>
      <w:r w:rsidR="00781DE3">
        <w:t>s</w:t>
      </w:r>
      <w:r w:rsidRPr="271648C2" w:rsidR="00342F26">
        <w:t xml:space="preserve"> 1.50002</w:t>
      </w:r>
      <w:r w:rsidR="00781DE3">
        <w:t xml:space="preserve"> and 1.50003</w:t>
      </w:r>
      <w:r w:rsidRPr="271648C2" w:rsidR="00342F26">
        <w:t xml:space="preserve"> of the Commission’s rules</w:t>
      </w:r>
      <w:r w:rsidR="00342F26">
        <w:rPr>
          <w:szCs w:val="22"/>
        </w:rPr>
        <w:t>,</w:t>
      </w:r>
      <w:r>
        <w:rPr>
          <w:rStyle w:val="FootnoteReference"/>
        </w:rPr>
        <w:footnoteReference w:id="4"/>
      </w:r>
      <w:r w:rsidR="00342F26">
        <w:rPr>
          <w:szCs w:val="22"/>
        </w:rPr>
        <w:t xml:space="preserve"> </w:t>
      </w:r>
      <w:r w:rsidRPr="271648C2">
        <w:t xml:space="preserve">the Federal Communications Commission’s Public Safety and Homeland Security Bureau (Bureau) announces the </w:t>
      </w:r>
      <w:r w:rsidR="0071662E">
        <w:t>following additions to the</w:t>
      </w:r>
      <w:r w:rsidRPr="271648C2">
        <w:t xml:space="preserve"> list of communications equipment and services</w:t>
      </w:r>
      <w:r>
        <w:t xml:space="preserve"> </w:t>
      </w:r>
      <w:r w:rsidR="000602BE">
        <w:t>(Covered List)</w:t>
      </w:r>
      <w:r w:rsidRPr="271648C2">
        <w:t xml:space="preserve"> that </w:t>
      </w:r>
      <w:r w:rsidR="00382BE9">
        <w:t>have been</w:t>
      </w:r>
      <w:r w:rsidRPr="271648C2" w:rsidR="00382BE9">
        <w:t xml:space="preserve"> </w:t>
      </w:r>
      <w:r w:rsidR="00382BE9">
        <w:t xml:space="preserve">determined </w:t>
      </w:r>
      <w:r w:rsidR="00A86ECB">
        <w:t xml:space="preserve">by </w:t>
      </w:r>
      <w:r w:rsidR="00022510">
        <w:t>E</w:t>
      </w:r>
      <w:r w:rsidR="00A86ECB">
        <w:t xml:space="preserve">xecutive </w:t>
      </w:r>
      <w:r w:rsidR="00022510">
        <w:t>B</w:t>
      </w:r>
      <w:r w:rsidR="00A86ECB">
        <w:t>ranch interagency bod</w:t>
      </w:r>
      <w:r w:rsidR="00B51594">
        <w:t>ies</w:t>
      </w:r>
      <w:r w:rsidR="00A86ECB">
        <w:t xml:space="preserve"> </w:t>
      </w:r>
      <w:r w:rsidRPr="271648C2">
        <w:t>to pose an unacceptable risk to the national security of the United States</w:t>
      </w:r>
      <w:r w:rsidR="006D5C84">
        <w:t xml:space="preserve"> or the security and safety of United States persons</w:t>
      </w:r>
      <w:r w:rsidR="008B1B6B">
        <w:t>.</w:t>
      </w:r>
      <w:r>
        <w:rPr>
          <w:rStyle w:val="FootnoteReference"/>
        </w:rPr>
        <w:footnoteReference w:id="5"/>
      </w:r>
      <w:r w:rsidR="008B1B6B">
        <w:t xml:space="preserve"> </w:t>
      </w:r>
      <w:r w:rsidR="003437FC">
        <w:t xml:space="preserve"> </w:t>
      </w:r>
      <w:r w:rsidR="0071662E">
        <w:t>The updated Covered List</w:t>
      </w:r>
      <w:r w:rsidRPr="41E9C31D" w:rsidR="008B1B6B">
        <w:t xml:space="preserve"> </w:t>
      </w:r>
      <w:r w:rsidR="008B1B6B">
        <w:t>reproduced in the Appendix to this Public Notice</w:t>
      </w:r>
      <w:r w:rsidRPr="41E9C31D" w:rsidR="008B1B6B">
        <w:t xml:space="preserve"> </w:t>
      </w:r>
      <w:r w:rsidR="0071662E">
        <w:t xml:space="preserve">is also found </w:t>
      </w:r>
      <w:r w:rsidRPr="41E9C31D" w:rsidR="008B1B6B">
        <w:t xml:space="preserve">on </w:t>
      </w:r>
      <w:r w:rsidR="00382BE9">
        <w:t>the Bureau’s</w:t>
      </w:r>
      <w:r w:rsidRPr="41E9C31D" w:rsidR="00382BE9">
        <w:t xml:space="preserve"> </w:t>
      </w:r>
      <w:r w:rsidRPr="41E9C31D" w:rsidR="008B1B6B">
        <w:t>website</w:t>
      </w:r>
      <w:r w:rsidR="008B1B6B">
        <w:t xml:space="preserve"> at</w:t>
      </w:r>
      <w:r w:rsidR="00D5048B">
        <w:t xml:space="preserve"> </w:t>
      </w:r>
      <w:hyperlink r:id="rId5" w:history="1">
        <w:r w:rsidRPr="00D607D7" w:rsidR="00382BE9">
          <w:rPr>
            <w:rStyle w:val="Hyperlink"/>
          </w:rPr>
          <w:t>https://www.fcc.gov/supplychain/coveredlist</w:t>
        </w:r>
      </w:hyperlink>
      <w:r w:rsidR="00382BE9">
        <w:t xml:space="preserve">. </w:t>
      </w:r>
    </w:p>
    <w:p w:rsidR="00E44CB4" w:rsidP="002F1A34" w14:paraId="6F97CA2C" w14:textId="73EA1392">
      <w:pPr>
        <w:pStyle w:val="ParaNum"/>
        <w:numPr>
          <w:ilvl w:val="0"/>
          <w:numId w:val="0"/>
        </w:numPr>
        <w:ind w:firstLine="720"/>
      </w:pPr>
      <w:r>
        <w:t>T</w:t>
      </w:r>
      <w:r w:rsidRPr="5E8313D1" w:rsidR="002700B1">
        <w:t xml:space="preserve">he </w:t>
      </w:r>
      <w:r w:rsidRPr="5E8313D1" w:rsidR="002700B1">
        <w:rPr>
          <w:i/>
          <w:iCs/>
        </w:rPr>
        <w:t xml:space="preserve">Supply Chain Second Report and Order </w:t>
      </w:r>
      <w:r w:rsidRPr="5E8313D1" w:rsidR="002700B1">
        <w:t xml:space="preserve">adopted rules governing the </w:t>
      </w:r>
      <w:r w:rsidRPr="5E8313D1" w:rsidR="00AB2C66">
        <w:t>maintenance</w:t>
      </w:r>
      <w:r w:rsidRPr="5E8313D1" w:rsidR="007B5513">
        <w:t>, including updates,</w:t>
      </w:r>
      <w:r w:rsidRPr="5E8313D1" w:rsidR="00AB2C66">
        <w:t xml:space="preserve"> of</w:t>
      </w:r>
      <w:r w:rsidR="007B5513">
        <w:rPr>
          <w:szCs w:val="22"/>
        </w:rPr>
        <w:t xml:space="preserve"> </w:t>
      </w:r>
      <w:r w:rsidRPr="5E8313D1" w:rsidR="002700B1">
        <w:t xml:space="preserve">the Covered List </w:t>
      </w:r>
      <w:r w:rsidRPr="5E8313D1" w:rsidR="00F8483C">
        <w:t>and</w:t>
      </w:r>
      <w:r w:rsidRPr="5E8313D1" w:rsidR="002700B1">
        <w:t xml:space="preserve"> tasked the Bureau with both publishing and maintaining </w:t>
      </w:r>
      <w:r w:rsidRPr="5E8313D1" w:rsidR="00AB22BD">
        <w:t>it</w:t>
      </w:r>
      <w:r w:rsidRPr="5E8313D1" w:rsidR="002700B1">
        <w:t xml:space="preserve"> on the Commission’s website in accordance with the Commission’s rules.</w:t>
      </w:r>
      <w:r>
        <w:rPr>
          <w:rStyle w:val="FootnoteReference"/>
        </w:rPr>
        <w:footnoteReference w:id="6"/>
      </w:r>
      <w:r w:rsidR="002F1A34">
        <w:rPr>
          <w:szCs w:val="22"/>
        </w:rPr>
        <w:t xml:space="preserve">  </w:t>
      </w:r>
      <w:r w:rsidRPr="5E8313D1" w:rsidR="00762AB5">
        <w:t>The Commission’s rules require</w:t>
      </w:r>
      <w:r>
        <w:rPr>
          <w:rStyle w:val="FootnoteReference"/>
        </w:rPr>
        <w:footnoteReference w:id="7"/>
      </w:r>
      <w:r w:rsidR="00762AB5">
        <w:rPr>
          <w:szCs w:val="22"/>
        </w:rPr>
        <w:t xml:space="preserve"> </w:t>
      </w:r>
      <w:r w:rsidR="002F1A34">
        <w:t>the Commission to place on the Covered List any communications equipment or service if a source enumerated in the Secure Networks Act determines that the equipment or service poses an unacceptable risk to the national security of the United States and</w:t>
      </w:r>
      <w:r w:rsidR="002D7FE7">
        <w:t xml:space="preserve"> if the communications equipment or service</w:t>
      </w:r>
      <w:r w:rsidR="002F1A34">
        <w:t xml:space="preserve"> is </w:t>
      </w:r>
      <w:r w:rsidR="002F1A34">
        <w:t>capable of posing an unacceptable risk to the national security of the United States.</w:t>
      </w:r>
      <w:r>
        <w:rPr>
          <w:rStyle w:val="FootnoteReference"/>
        </w:rPr>
        <w:footnoteReference w:id="8"/>
      </w:r>
    </w:p>
    <w:p w:rsidR="0015750E" w:rsidRPr="00577D3D" w:rsidP="00B079C8" w14:paraId="2170F861" w14:textId="582E6332">
      <w:pPr>
        <w:pStyle w:val="ParaNum"/>
        <w:numPr>
          <w:ilvl w:val="0"/>
          <w:numId w:val="0"/>
        </w:numPr>
        <w:ind w:firstLine="720"/>
      </w:pPr>
      <w:r w:rsidRPr="00E8413C">
        <w:t xml:space="preserve">The Bureau has identified </w:t>
      </w:r>
      <w:r w:rsidRPr="00E8413C" w:rsidR="5B096E92">
        <w:t>two</w:t>
      </w:r>
      <w:r w:rsidRPr="00E8413C">
        <w:t xml:space="preserve"> </w:t>
      </w:r>
      <w:r w:rsidR="25CD8B74">
        <w:t xml:space="preserve">determinations </w:t>
      </w:r>
      <w:r w:rsidRPr="00E8413C" w:rsidR="0B0A2EA9">
        <w:t xml:space="preserve">that meet the statutory </w:t>
      </w:r>
      <w:r w:rsidR="33202B3C">
        <w:t xml:space="preserve">criteria </w:t>
      </w:r>
      <w:r w:rsidRPr="00E8413C" w:rsidR="0B0A2EA9">
        <w:t>for additions to the Covered List</w:t>
      </w:r>
      <w:r w:rsidR="0B0A2EA9">
        <w:t xml:space="preserve">.  Both </w:t>
      </w:r>
      <w:r w:rsidR="5EB68B73">
        <w:t xml:space="preserve">determinations were reflected in </w:t>
      </w:r>
      <w:r w:rsidR="0B0A2EA9">
        <w:t xml:space="preserve">letters </w:t>
      </w:r>
      <w:r w:rsidR="013DA44F">
        <w:t xml:space="preserve">submitted to the Commission </w:t>
      </w:r>
      <w:r w:rsidR="0B0A2EA9">
        <w:t xml:space="preserve">on behalf of interested parties of the Executive Branch </w:t>
      </w:r>
      <w:r w:rsidR="0099489C">
        <w:t xml:space="preserve">(Executive Branch entities) </w:t>
      </w:r>
      <w:r w:rsidR="0B0A2EA9">
        <w:t xml:space="preserve">by </w:t>
      </w:r>
      <w:r w:rsidRPr="00E8413C" w:rsidR="0B0A2EA9">
        <w:t>the Department of Commerce’s National Telecommunications and Information Administration (NTIA)</w:t>
      </w:r>
      <w:r w:rsidR="0B0A2EA9">
        <w:t>—one letter concern</w:t>
      </w:r>
      <w:r w:rsidR="3638A74D">
        <w:t>s</w:t>
      </w:r>
      <w:r w:rsidR="0B0A2EA9">
        <w:t xml:space="preserve"> </w:t>
      </w:r>
      <w:r w:rsidRPr="46B96616" w:rsidR="0B0A2EA9">
        <w:t>Pacific Network</w:t>
      </w:r>
      <w:r w:rsidR="6414A39B">
        <w:t>s</w:t>
      </w:r>
      <w:r w:rsidRPr="46B96616" w:rsidR="0B0A2EA9">
        <w:t xml:space="preserve"> Corp. (“</w:t>
      </w:r>
      <w:r w:rsidRPr="46B96616" w:rsidR="0B0A2EA9">
        <w:t>PacNet</w:t>
      </w:r>
      <w:r w:rsidRPr="46B96616" w:rsidR="0B0A2EA9">
        <w:t xml:space="preserve">”) and its wholly-owned subsidiary </w:t>
      </w:r>
      <w:r w:rsidRPr="46B96616" w:rsidR="0B0A2EA9">
        <w:t>ComNet</w:t>
      </w:r>
      <w:r w:rsidRPr="46B96616" w:rsidR="0B0A2EA9">
        <w:t xml:space="preserve"> (USA) LLC (“</w:t>
      </w:r>
      <w:r w:rsidRPr="46B96616" w:rsidR="0B0A2EA9">
        <w:t>ComNet</w:t>
      </w:r>
      <w:r w:rsidRPr="46B96616" w:rsidR="0B0A2EA9">
        <w:t>”) (collectively “</w:t>
      </w:r>
      <w:r w:rsidRPr="46B96616" w:rsidR="0B0A2EA9">
        <w:t>PacNet</w:t>
      </w:r>
      <w:r w:rsidRPr="00E8413C" w:rsidR="0B0A2EA9">
        <w:rPr>
          <w:szCs w:val="22"/>
        </w:rPr>
        <w:t>/</w:t>
      </w:r>
      <w:r w:rsidRPr="46B96616" w:rsidR="0B0A2EA9">
        <w:t>ComNet</w:t>
      </w:r>
      <w:r w:rsidRPr="00E8413C" w:rsidR="0B0A2EA9">
        <w:rPr>
          <w:szCs w:val="22"/>
        </w:rPr>
        <w:t>”))</w:t>
      </w:r>
      <w:r w:rsidR="0B0A2EA9">
        <w:rPr>
          <w:szCs w:val="22"/>
        </w:rPr>
        <w:t>,</w:t>
      </w:r>
      <w:r>
        <w:rPr>
          <w:rStyle w:val="FootnoteReference"/>
        </w:rPr>
        <w:footnoteReference w:id="9"/>
      </w:r>
      <w:r w:rsidR="0B0A2EA9">
        <w:rPr>
          <w:szCs w:val="22"/>
        </w:rPr>
        <w:t xml:space="preserve"> </w:t>
      </w:r>
      <w:r w:rsidRPr="46B96616" w:rsidR="0B0A2EA9">
        <w:t>and the other concer</w:t>
      </w:r>
      <w:r w:rsidRPr="46B96616" w:rsidR="3638A74D">
        <w:t>ns</w:t>
      </w:r>
      <w:r w:rsidR="0B0A2EA9">
        <w:rPr>
          <w:szCs w:val="22"/>
        </w:rPr>
        <w:t xml:space="preserve"> </w:t>
      </w:r>
      <w:r w:rsidRPr="46B96616" w:rsidR="0B0A2EA9">
        <w:t>China Unicom (Americas) Operations Limited (“China Unicom”)</w:t>
      </w:r>
      <w:r w:rsidR="0B0A2EA9">
        <w:rPr>
          <w:szCs w:val="22"/>
        </w:rPr>
        <w:t>.</w:t>
      </w:r>
      <w:r>
        <w:rPr>
          <w:rStyle w:val="FootnoteReference"/>
        </w:rPr>
        <w:footnoteReference w:id="10"/>
      </w:r>
      <w:r w:rsidRPr="46B96616" w:rsidR="3638A74D">
        <w:t xml:space="preserve">  </w:t>
      </w:r>
      <w:r w:rsidR="1DF4BACF">
        <w:t xml:space="preserve">The </w:t>
      </w:r>
      <w:r w:rsidRPr="46B96616" w:rsidR="3638A74D">
        <w:t xml:space="preserve">letters explain how </w:t>
      </w:r>
      <w:r w:rsidRPr="46B96616" w:rsidR="3638A74D">
        <w:t>PacNet</w:t>
      </w:r>
      <w:r w:rsidR="3638A74D">
        <w:rPr>
          <w:szCs w:val="22"/>
        </w:rPr>
        <w:t>/</w:t>
      </w:r>
      <w:r w:rsidRPr="46B96616" w:rsidR="3638A74D">
        <w:t>ComNet</w:t>
      </w:r>
      <w:r w:rsidRPr="46B96616" w:rsidR="3638A74D">
        <w:t xml:space="preserve"> and China Unicom, respectively, </w:t>
      </w:r>
      <w:r w:rsidRPr="46B96616" w:rsidR="1CCC931C">
        <w:t>are subject to the exploitation, influence and control of the Chinese government, and the national security risks associated with such exploitation, influence, and control.</w:t>
      </w:r>
      <w:r>
        <w:rPr>
          <w:rStyle w:val="FootnoteReference"/>
        </w:rPr>
        <w:footnoteReference w:id="11"/>
      </w:r>
      <w:r w:rsidRPr="00B079C8" w:rsidR="3638A74D">
        <w:rPr>
          <w:szCs w:val="22"/>
        </w:rPr>
        <w:t xml:space="preserve"> </w:t>
      </w:r>
      <w:r w:rsidR="3638A74D">
        <w:rPr>
          <w:szCs w:val="22"/>
        </w:rPr>
        <w:t xml:space="preserve"> </w:t>
      </w:r>
      <w:r w:rsidRPr="46B96616" w:rsidR="3638A74D">
        <w:t xml:space="preserve">In </w:t>
      </w:r>
      <w:r w:rsidR="2436C331">
        <w:t>recent</w:t>
      </w:r>
      <w:r w:rsidRPr="46B96616" w:rsidR="3638A74D">
        <w:t xml:space="preserve"> </w:t>
      </w:r>
      <w:r w:rsidR="37DC209B">
        <w:t xml:space="preserve">letters </w:t>
      </w:r>
      <w:r w:rsidRPr="46B96616" w:rsidR="3638A74D">
        <w:t>to the Commission, the Department of Justice</w:t>
      </w:r>
      <w:r w:rsidR="3638A74D">
        <w:rPr>
          <w:szCs w:val="22"/>
        </w:rPr>
        <w:t xml:space="preserve"> (</w:t>
      </w:r>
      <w:r w:rsidRPr="46B96616" w:rsidR="3638A74D">
        <w:t>DoJ</w:t>
      </w:r>
      <w:r w:rsidRPr="46B96616" w:rsidR="3638A74D">
        <w:t>), in coordination with and with the concurrence of the Department of Defense (DoD)</w:t>
      </w:r>
      <w:r w:rsidR="2676C87C">
        <w:rPr>
          <w:szCs w:val="22"/>
        </w:rPr>
        <w:t>,</w:t>
      </w:r>
      <w:r w:rsidRPr="46B96616" w:rsidR="3638A74D">
        <w:t xml:space="preserve"> confirms that </w:t>
      </w:r>
      <w:r w:rsidRPr="46B96616" w:rsidR="2676C87C">
        <w:t>the Executive Branch’s views in the</w:t>
      </w:r>
      <w:r w:rsidR="3638A74D">
        <w:rPr>
          <w:szCs w:val="22"/>
        </w:rPr>
        <w:t xml:space="preserve"> </w:t>
      </w:r>
      <w:r w:rsidR="3638A74D">
        <w:rPr>
          <w:lang w:eastAsia="ja-JP"/>
        </w:rPr>
        <w:t>PacNet</w:t>
      </w:r>
      <w:r w:rsidR="3638A74D">
        <w:rPr>
          <w:lang w:eastAsia="ja-JP"/>
        </w:rPr>
        <w:t>/</w:t>
      </w:r>
      <w:r w:rsidR="3638A74D">
        <w:rPr>
          <w:lang w:eastAsia="ja-JP"/>
        </w:rPr>
        <w:t>ComNet</w:t>
      </w:r>
      <w:r w:rsidR="3638A74D">
        <w:rPr>
          <w:lang w:eastAsia="ja-JP"/>
        </w:rPr>
        <w:t xml:space="preserve"> </w:t>
      </w:r>
      <w:r w:rsidRPr="00FB037D" w:rsidR="3638A74D">
        <w:rPr>
          <w:lang w:eastAsia="ja-JP"/>
        </w:rPr>
        <w:t>Executive Branch Letter</w:t>
      </w:r>
      <w:r w:rsidR="3638A74D">
        <w:rPr>
          <w:lang w:eastAsia="ja-JP"/>
        </w:rPr>
        <w:t xml:space="preserve"> and </w:t>
      </w:r>
      <w:r w:rsidRPr="46B96616" w:rsidR="3638A74D">
        <w:rPr>
          <w:lang w:eastAsia="ja-JP"/>
        </w:rPr>
        <w:t xml:space="preserve">the </w:t>
      </w:r>
      <w:r w:rsidRPr="46B96616" w:rsidR="3638A74D">
        <w:rPr>
          <w:kern w:val="0"/>
          <w:lang w:eastAsia="ja-JP"/>
        </w:rPr>
        <w:t>CUA Executive Branch Letter</w:t>
      </w:r>
      <w:r w:rsidRPr="46B96616" w:rsidR="2676C87C">
        <w:rPr>
          <w:kern w:val="0"/>
          <w:lang w:eastAsia="ja-JP"/>
        </w:rPr>
        <w:t xml:space="preserve">, respectively, </w:t>
      </w:r>
      <w:r w:rsidRPr="46B96616" w:rsidR="2676C87C">
        <w:t xml:space="preserve">reflect a determination that the international section 214 services provided by </w:t>
      </w:r>
      <w:r w:rsidRPr="46B96616" w:rsidR="2676C87C">
        <w:t>PacNet</w:t>
      </w:r>
      <w:r w:rsidR="2676C87C">
        <w:rPr>
          <w:szCs w:val="22"/>
        </w:rPr>
        <w:t>/</w:t>
      </w:r>
      <w:r w:rsidRPr="46B96616" w:rsidR="2676C87C">
        <w:t>ComNet</w:t>
      </w:r>
      <w:r w:rsidRPr="46B96616" w:rsidR="2676C87C">
        <w:t xml:space="preserve"> and China Unicom </w:t>
      </w:r>
      <w:r w:rsidR="7C12DC32">
        <w:t>i</w:t>
      </w:r>
      <w:r w:rsidR="00396649">
        <w:t>nvolve communications se</w:t>
      </w:r>
      <w:r w:rsidR="2A53D246">
        <w:t xml:space="preserve">rvices that </w:t>
      </w:r>
      <w:r w:rsidRPr="46B96616" w:rsidR="2676C87C">
        <w:t>pose “an unacceptable ris</w:t>
      </w:r>
      <w:r w:rsidRPr="46B96616" w:rsidR="00577D3D">
        <w:t>k</w:t>
      </w:r>
      <w:r w:rsidRPr="46B96616" w:rsidR="2676C87C">
        <w:t xml:space="preserve"> to the national security of the United States or the security and safety of United States persons” under section 2 of the Secure Networks Act</w:t>
      </w:r>
      <w:r w:rsidR="0C34015E">
        <w:t>—thus requiring the addition of these services to the Covered List.</w:t>
      </w:r>
      <w:r>
        <w:rPr>
          <w:rStyle w:val="FootnoteReference"/>
        </w:rPr>
        <w:footnoteReference w:id="12"/>
      </w:r>
      <w:r w:rsidR="40843D86">
        <w:rPr>
          <w:szCs w:val="22"/>
        </w:rPr>
        <w:t xml:space="preserve"> </w:t>
      </w:r>
      <w:r w:rsidR="00577D3D">
        <w:t xml:space="preserve"> </w:t>
      </w:r>
      <w:r w:rsidRPr="46B96616" w:rsidR="3638A74D">
        <w:t>Accordingly, by this Public Notice, we update the Covered List.</w:t>
      </w:r>
    </w:p>
    <w:p w:rsidR="00AC6BA5" w:rsidRPr="00E8413C" w:rsidP="00326B53" w14:paraId="49BD412F" w14:textId="1A3E5F44">
      <w:pPr>
        <w:pStyle w:val="ParaNum"/>
        <w:numPr>
          <w:ilvl w:val="0"/>
          <w:numId w:val="0"/>
        </w:numPr>
        <w:ind w:firstLine="720"/>
        <w:rPr>
          <w:szCs w:val="22"/>
        </w:rPr>
      </w:pPr>
      <w:r>
        <w:rPr>
          <w:szCs w:val="22"/>
        </w:rPr>
        <w:t xml:space="preserve">With respect to </w:t>
      </w:r>
      <w:r>
        <w:rPr>
          <w:szCs w:val="22"/>
        </w:rPr>
        <w:t>PacNet</w:t>
      </w:r>
      <w:r>
        <w:rPr>
          <w:szCs w:val="22"/>
        </w:rPr>
        <w:t>/</w:t>
      </w:r>
      <w:r>
        <w:rPr>
          <w:szCs w:val="22"/>
        </w:rPr>
        <w:t>ComNet</w:t>
      </w:r>
      <w:r w:rsidRPr="00E8413C" w:rsidR="00E02CE4">
        <w:rPr>
          <w:szCs w:val="22"/>
        </w:rPr>
        <w:t xml:space="preserve">, </w:t>
      </w:r>
      <w:r w:rsidRPr="00E8413C" w:rsidR="00A22FA6">
        <w:rPr>
          <w:szCs w:val="22"/>
        </w:rPr>
        <w:t xml:space="preserve">the </w:t>
      </w:r>
      <w:r w:rsidRPr="00E8413C" w:rsidR="00DC07CB">
        <w:rPr>
          <w:szCs w:val="22"/>
        </w:rPr>
        <w:t>Executive Branch entities</w:t>
      </w:r>
      <w:r w:rsidRPr="00E8413C" w:rsidR="00A22FA6">
        <w:rPr>
          <w:szCs w:val="22"/>
        </w:rPr>
        <w:t xml:space="preserve"> found that </w:t>
      </w:r>
      <w:r w:rsidRPr="00E8413C" w:rsidR="006F5C45">
        <w:rPr>
          <w:szCs w:val="22"/>
        </w:rPr>
        <w:t>the Government of the People’s Republic of China’s</w:t>
      </w:r>
      <w:r w:rsidRPr="00E8413C" w:rsidR="00F84077">
        <w:rPr>
          <w:szCs w:val="22"/>
        </w:rPr>
        <w:t xml:space="preserve"> (PRC)</w:t>
      </w:r>
      <w:r w:rsidRPr="00E8413C" w:rsidR="006F5C45">
        <w:rPr>
          <w:szCs w:val="22"/>
        </w:rPr>
        <w:t xml:space="preserve"> </w:t>
      </w:r>
      <w:r w:rsidRPr="00E8413C" w:rsidR="007E7FF2">
        <w:rPr>
          <w:szCs w:val="22"/>
        </w:rPr>
        <w:t xml:space="preserve">majority ownership and </w:t>
      </w:r>
      <w:r w:rsidRPr="00E8413C" w:rsidR="006F5C45">
        <w:rPr>
          <w:szCs w:val="22"/>
        </w:rPr>
        <w:t xml:space="preserve">control </w:t>
      </w:r>
      <w:r w:rsidRPr="00E8413C" w:rsidR="00A22FA6">
        <w:rPr>
          <w:szCs w:val="22"/>
        </w:rPr>
        <w:t>of</w:t>
      </w:r>
      <w:r w:rsidRPr="00E8413C" w:rsidR="006F5C45">
        <w:rPr>
          <w:szCs w:val="22"/>
        </w:rPr>
        <w:t xml:space="preserve"> </w:t>
      </w:r>
      <w:r w:rsidRPr="00E8413C" w:rsidR="006F5C45">
        <w:rPr>
          <w:szCs w:val="22"/>
        </w:rPr>
        <w:t>PacNet</w:t>
      </w:r>
      <w:r w:rsidRPr="00E8413C" w:rsidR="006F5C45">
        <w:rPr>
          <w:szCs w:val="22"/>
        </w:rPr>
        <w:t xml:space="preserve"> and its wholly-owned subsidiary </w:t>
      </w:r>
      <w:r w:rsidRPr="00E8413C" w:rsidR="006F5C45">
        <w:rPr>
          <w:szCs w:val="22"/>
        </w:rPr>
        <w:t>ComNet</w:t>
      </w:r>
      <w:r w:rsidRPr="00E8413C" w:rsidR="006A7FC6">
        <w:rPr>
          <w:szCs w:val="22"/>
        </w:rPr>
        <w:t xml:space="preserve"> </w:t>
      </w:r>
      <w:r w:rsidRPr="00E8413C" w:rsidR="006F5C45">
        <w:rPr>
          <w:szCs w:val="22"/>
        </w:rPr>
        <w:t>through parent company</w:t>
      </w:r>
      <w:r w:rsidRPr="00E8413C" w:rsidR="00A22FA6">
        <w:rPr>
          <w:szCs w:val="22"/>
        </w:rPr>
        <w:t xml:space="preserve"> CITIC Group Corporation</w:t>
      </w:r>
      <w:r w:rsidRPr="00E8413C" w:rsidR="006F5C45">
        <w:rPr>
          <w:szCs w:val="22"/>
        </w:rPr>
        <w:t>, combined with Chinese intelligence and cybersecurity laws</w:t>
      </w:r>
      <w:r w:rsidRPr="00E8413C" w:rsidR="00B717F5">
        <w:rPr>
          <w:szCs w:val="22"/>
        </w:rPr>
        <w:t>,</w:t>
      </w:r>
      <w:r w:rsidRPr="00E8413C" w:rsidR="00A22FA6">
        <w:rPr>
          <w:szCs w:val="22"/>
        </w:rPr>
        <w:t xml:space="preserve"> </w:t>
      </w:r>
      <w:r w:rsidRPr="00E8413C" w:rsidR="006F5C45">
        <w:rPr>
          <w:szCs w:val="22"/>
        </w:rPr>
        <w:t xml:space="preserve">raise concerns that </w:t>
      </w:r>
      <w:r w:rsidRPr="00E8413C" w:rsidR="006F5C45">
        <w:rPr>
          <w:szCs w:val="22"/>
        </w:rPr>
        <w:t>PacNet</w:t>
      </w:r>
      <w:r w:rsidRPr="00E8413C" w:rsidR="006F5C45">
        <w:rPr>
          <w:szCs w:val="22"/>
        </w:rPr>
        <w:t>/</w:t>
      </w:r>
      <w:r w:rsidRPr="00E8413C" w:rsidR="006F5C45">
        <w:rPr>
          <w:szCs w:val="22"/>
        </w:rPr>
        <w:t>ComNet</w:t>
      </w:r>
      <w:r w:rsidRPr="00E8413C" w:rsidR="006F5C45">
        <w:rPr>
          <w:szCs w:val="22"/>
        </w:rPr>
        <w:t xml:space="preserve"> will be forced to comply with Chinese government requests for communications intercepts, without the ability to challenge such requests.</w:t>
      </w:r>
      <w:r>
        <w:rPr>
          <w:rStyle w:val="FootnoteReference"/>
          <w:szCs w:val="22"/>
        </w:rPr>
        <w:footnoteReference w:id="13"/>
      </w:r>
      <w:r w:rsidRPr="00E8413C" w:rsidR="006F5C45">
        <w:rPr>
          <w:szCs w:val="22"/>
        </w:rPr>
        <w:t xml:space="preserve">  The </w:t>
      </w:r>
      <w:r w:rsidRPr="00E8413C" w:rsidR="00DC07CB">
        <w:rPr>
          <w:szCs w:val="22"/>
        </w:rPr>
        <w:t xml:space="preserve">Executive Branch entities </w:t>
      </w:r>
      <w:r w:rsidRPr="00E8413C" w:rsidR="006F5C45">
        <w:rPr>
          <w:szCs w:val="22"/>
        </w:rPr>
        <w:t xml:space="preserve">also found that </w:t>
      </w:r>
      <w:r w:rsidRPr="00E8413C" w:rsidR="006F5C45">
        <w:rPr>
          <w:szCs w:val="22"/>
        </w:rPr>
        <w:t>PacNet</w:t>
      </w:r>
      <w:r w:rsidRPr="00E8413C" w:rsidR="006F5C45">
        <w:rPr>
          <w:szCs w:val="22"/>
        </w:rPr>
        <w:t>/</w:t>
      </w:r>
      <w:r w:rsidRPr="00E8413C" w:rsidR="006F5C45">
        <w:rPr>
          <w:szCs w:val="22"/>
        </w:rPr>
        <w:t>ComNet’s</w:t>
      </w:r>
      <w:r w:rsidRPr="00E8413C" w:rsidR="006F5C45">
        <w:rPr>
          <w:szCs w:val="22"/>
        </w:rPr>
        <w:t xml:space="preserve"> interconnections </w:t>
      </w:r>
      <w:r w:rsidRPr="00E8413C" w:rsidR="00F84077">
        <w:rPr>
          <w:szCs w:val="22"/>
        </w:rPr>
        <w:t xml:space="preserve">to U.S. telecommunications networks </w:t>
      </w:r>
      <w:r w:rsidRPr="00E8413C" w:rsidR="006F5C45">
        <w:rPr>
          <w:szCs w:val="22"/>
        </w:rPr>
        <w:t>and customers present opportunity for explo</w:t>
      </w:r>
      <w:r w:rsidRPr="00E8413C" w:rsidR="00F84077">
        <w:rPr>
          <w:szCs w:val="22"/>
        </w:rPr>
        <w:t>itation by the Chinese government to conduct or to increase economic espionage and collect intelligence against the United States, or otherwise provide a strategic capability to target, collect, alter, block, and re-route network traffic.</w:t>
      </w:r>
      <w:r>
        <w:rPr>
          <w:rStyle w:val="FootnoteReference"/>
          <w:szCs w:val="22"/>
        </w:rPr>
        <w:footnoteReference w:id="14"/>
      </w:r>
      <w:r w:rsidRPr="00E8413C" w:rsidR="00F84077">
        <w:rPr>
          <w:szCs w:val="22"/>
        </w:rPr>
        <w:t xml:space="preserve">  </w:t>
      </w:r>
      <w:r w:rsidRPr="00E8413C" w:rsidR="00E828A2">
        <w:rPr>
          <w:szCs w:val="22"/>
        </w:rPr>
        <w:t>Additionally, b</w:t>
      </w:r>
      <w:r w:rsidRPr="00E8413C" w:rsidR="001528C7">
        <w:rPr>
          <w:szCs w:val="22"/>
        </w:rPr>
        <w:t xml:space="preserve">ased on </w:t>
      </w:r>
      <w:r w:rsidRPr="00E8413C" w:rsidR="005F7AF7">
        <w:rPr>
          <w:szCs w:val="22"/>
        </w:rPr>
        <w:t xml:space="preserve">the </w:t>
      </w:r>
      <w:r w:rsidRPr="00E8413C" w:rsidR="00DC07CB">
        <w:rPr>
          <w:szCs w:val="22"/>
        </w:rPr>
        <w:t xml:space="preserve">Executive Branch entities’ </w:t>
      </w:r>
      <w:r w:rsidRPr="00E8413C" w:rsidR="005F7AF7">
        <w:rPr>
          <w:szCs w:val="22"/>
        </w:rPr>
        <w:t xml:space="preserve">finding that no further mitigation </w:t>
      </w:r>
      <w:r w:rsidRPr="00E8413C" w:rsidR="005F7AF7">
        <w:rPr>
          <w:szCs w:val="22"/>
        </w:rPr>
        <w:t xml:space="preserve">measures by </w:t>
      </w:r>
      <w:r w:rsidRPr="00E8413C" w:rsidR="005F7AF7">
        <w:rPr>
          <w:szCs w:val="22"/>
        </w:rPr>
        <w:t>PacNet</w:t>
      </w:r>
      <w:r w:rsidRPr="00E8413C" w:rsidR="00C17483">
        <w:rPr>
          <w:szCs w:val="22"/>
        </w:rPr>
        <w:t>/</w:t>
      </w:r>
      <w:r w:rsidRPr="00E8413C" w:rsidR="005F7AF7">
        <w:rPr>
          <w:szCs w:val="22"/>
        </w:rPr>
        <w:t>ComNet</w:t>
      </w:r>
      <w:r w:rsidRPr="00E8413C" w:rsidR="005F7AF7">
        <w:rPr>
          <w:szCs w:val="22"/>
        </w:rPr>
        <w:t xml:space="preserve"> would fully eliminate the risks to American law enforcement and national security,</w:t>
      </w:r>
      <w:r>
        <w:rPr>
          <w:rStyle w:val="FootnoteReference"/>
          <w:szCs w:val="22"/>
        </w:rPr>
        <w:footnoteReference w:id="15"/>
      </w:r>
      <w:r w:rsidRPr="00E8413C" w:rsidR="005F7AF7">
        <w:rPr>
          <w:szCs w:val="22"/>
        </w:rPr>
        <w:t xml:space="preserve"> the </w:t>
      </w:r>
      <w:r w:rsidRPr="00E8413C" w:rsidR="002C7AAD">
        <w:rPr>
          <w:szCs w:val="22"/>
        </w:rPr>
        <w:t xml:space="preserve">Executive Branch entities </w:t>
      </w:r>
      <w:r w:rsidRPr="00E8413C" w:rsidR="00F84077">
        <w:rPr>
          <w:szCs w:val="22"/>
        </w:rPr>
        <w:t>have</w:t>
      </w:r>
      <w:r w:rsidRPr="00E8413C" w:rsidR="00C17483">
        <w:rPr>
          <w:szCs w:val="22"/>
        </w:rPr>
        <w:t xml:space="preserve"> </w:t>
      </w:r>
      <w:r w:rsidR="00CD31B4">
        <w:rPr>
          <w:szCs w:val="22"/>
        </w:rPr>
        <w:t>determined</w:t>
      </w:r>
      <w:r w:rsidRPr="00E8413C" w:rsidR="00326B53">
        <w:rPr>
          <w:szCs w:val="22"/>
        </w:rPr>
        <w:t xml:space="preserve"> that services provided by </w:t>
      </w:r>
      <w:r w:rsidRPr="00E8413C" w:rsidR="00326B53">
        <w:rPr>
          <w:szCs w:val="22"/>
        </w:rPr>
        <w:t>Pa</w:t>
      </w:r>
      <w:r w:rsidRPr="00E8413C" w:rsidR="00F84077">
        <w:rPr>
          <w:szCs w:val="22"/>
        </w:rPr>
        <w:t>cNet</w:t>
      </w:r>
      <w:r w:rsidRPr="00E8413C" w:rsidR="00C17483">
        <w:rPr>
          <w:szCs w:val="22"/>
        </w:rPr>
        <w:t>/</w:t>
      </w:r>
      <w:r w:rsidRPr="00E8413C" w:rsidR="00326B53">
        <w:rPr>
          <w:szCs w:val="22"/>
        </w:rPr>
        <w:t>ComNet</w:t>
      </w:r>
      <w:r w:rsidRPr="00E8413C" w:rsidR="00326B53">
        <w:rPr>
          <w:szCs w:val="22"/>
        </w:rPr>
        <w:t xml:space="preserve"> pose </w:t>
      </w:r>
      <w:r w:rsidRPr="00E8413C" w:rsidR="001528C7">
        <w:t>an unacceptable risk to the national security of the United States and its people.</w:t>
      </w:r>
      <w:r w:rsidRPr="00E8413C" w:rsidR="00C17483">
        <w:t xml:space="preserve">  </w:t>
      </w:r>
    </w:p>
    <w:p w:rsidR="00E828A2" w:rsidP="00E8413C" w14:paraId="1F1F326E" w14:textId="534DB9A2">
      <w:pPr>
        <w:pStyle w:val="ParaNum"/>
        <w:numPr>
          <w:ilvl w:val="0"/>
          <w:numId w:val="0"/>
        </w:numPr>
        <w:ind w:firstLine="720"/>
      </w:pPr>
      <w:r w:rsidRPr="25473B08">
        <w:t>With respect to China Unicom</w:t>
      </w:r>
      <w:r w:rsidRPr="00E8413C" w:rsidR="00E02CE4">
        <w:rPr>
          <w:szCs w:val="22"/>
        </w:rPr>
        <w:t xml:space="preserve">, </w:t>
      </w:r>
      <w:r w:rsidRPr="25473B08" w:rsidR="00326B53">
        <w:t xml:space="preserve">the </w:t>
      </w:r>
      <w:r w:rsidRPr="25473B08" w:rsidR="00DC07CB">
        <w:t>Executive Branch entities</w:t>
      </w:r>
      <w:r w:rsidRPr="25473B08" w:rsidR="00326B53">
        <w:t xml:space="preserve"> found that the United States national security environment, including </w:t>
      </w:r>
      <w:r w:rsidRPr="25473B08" w:rsidR="0013461B">
        <w:t xml:space="preserve">increased concern about malicious cyber activities taken at the direction of the Government of the </w:t>
      </w:r>
      <w:r w:rsidRPr="25473B08">
        <w:t>PRC</w:t>
      </w:r>
      <w:r w:rsidRPr="25473B08" w:rsidR="0013461B">
        <w:t>, has changed significantly since 2002, when the Commission certified the international section 214 authorization of China Unicom to provide international common carrier services;</w:t>
      </w:r>
      <w:r>
        <w:rPr>
          <w:rStyle w:val="FootnoteReference"/>
        </w:rPr>
        <w:footnoteReference w:id="16"/>
      </w:r>
      <w:r w:rsidRPr="00E8413C" w:rsidR="0013461B">
        <w:rPr>
          <w:szCs w:val="22"/>
        </w:rPr>
        <w:t xml:space="preserve"> </w:t>
      </w:r>
      <w:r w:rsidRPr="25473B08" w:rsidR="00400422">
        <w:t xml:space="preserve">that China Unicom’s status as a wholly-owned subsidiary of a </w:t>
      </w:r>
      <w:r w:rsidRPr="25473B08">
        <w:t xml:space="preserve">PRC </w:t>
      </w:r>
      <w:r w:rsidRPr="25473B08" w:rsidR="00400422">
        <w:t>state-owned enterprise firmly places it under the exploitation, control, and influence of the Chinese government;</w:t>
      </w:r>
      <w:r>
        <w:rPr>
          <w:rStyle w:val="FootnoteReference"/>
        </w:rPr>
        <w:footnoteReference w:id="17"/>
      </w:r>
      <w:r w:rsidRPr="25473B08" w:rsidR="00400422">
        <w:t xml:space="preserve"> that China Unicom </w:t>
      </w:r>
      <w:r w:rsidRPr="25473B08" w:rsidR="6DCC2E66">
        <w:t xml:space="preserve">has </w:t>
      </w:r>
      <w:r w:rsidRPr="25473B08" w:rsidR="00400422">
        <w:t xml:space="preserve">continuing and ongoing commercial relationships with Chinese entities accused of engaging in activities contrary to American </w:t>
      </w:r>
      <w:r w:rsidRPr="25473B08">
        <w:t>n</w:t>
      </w:r>
      <w:r w:rsidRPr="25473B08" w:rsidR="00400422">
        <w:t>ational security and economic interests;</w:t>
      </w:r>
      <w:r>
        <w:rPr>
          <w:rStyle w:val="FootnoteReference"/>
        </w:rPr>
        <w:footnoteReference w:id="18"/>
      </w:r>
      <w:r w:rsidRPr="25473B08" w:rsidR="00400422">
        <w:t xml:space="preserve"> and that China Unicom’s American operation</w:t>
      </w:r>
      <w:r w:rsidRPr="25473B08">
        <w:t>s</w:t>
      </w:r>
      <w:r w:rsidRPr="00E8413C" w:rsidR="00400422">
        <w:rPr>
          <w:szCs w:val="22"/>
        </w:rPr>
        <w:t xml:space="preserve"> </w:t>
      </w:r>
      <w:r w:rsidRPr="25473B08">
        <w:t xml:space="preserve">provide opportunity to </w:t>
      </w:r>
      <w:r w:rsidRPr="25473B08" w:rsidR="00400422">
        <w:t xml:space="preserve">facilitate Chinese cyber </w:t>
      </w:r>
      <w:r w:rsidRPr="25473B08" w:rsidR="00380F4C">
        <w:t>activities</w:t>
      </w:r>
      <w:r w:rsidRPr="25473B08" w:rsidR="00400422">
        <w:t xml:space="preserve"> including economic espionage</w:t>
      </w:r>
      <w:r w:rsidRPr="25473B08" w:rsidR="004C0CA6">
        <w:t xml:space="preserve">, disruption and misrouting of American communications traffic, and access to U.S. </w:t>
      </w:r>
      <w:r w:rsidRPr="25473B08" w:rsidR="00380F4C">
        <w:t>records</w:t>
      </w:r>
      <w:r w:rsidRPr="25473B08" w:rsidR="004C0CA6">
        <w:t xml:space="preserve"> and other sensitive data.</w:t>
      </w:r>
      <w:r>
        <w:rPr>
          <w:rStyle w:val="FootnoteReference"/>
        </w:rPr>
        <w:footnoteReference w:id="19"/>
      </w:r>
      <w:r w:rsidRPr="00E8413C" w:rsidR="004C0CA6">
        <w:rPr>
          <w:szCs w:val="22"/>
        </w:rPr>
        <w:t xml:space="preserve">  </w:t>
      </w:r>
      <w:r w:rsidRPr="25473B08" w:rsidR="006B28D6">
        <w:t xml:space="preserve">Accordingly, based on these findings, the </w:t>
      </w:r>
      <w:r w:rsidRPr="25473B08" w:rsidR="009F45D8">
        <w:t>Executive Branch entities</w:t>
      </w:r>
      <w:r w:rsidRPr="25473B08" w:rsidR="006B28D6">
        <w:t xml:space="preserve"> ha</w:t>
      </w:r>
      <w:r w:rsidRPr="25473B08" w:rsidR="009F45D8">
        <w:t>ve</w:t>
      </w:r>
      <w:r w:rsidRPr="25473B08" w:rsidR="006B28D6">
        <w:t xml:space="preserve"> determin</w:t>
      </w:r>
      <w:r w:rsidRPr="25473B08" w:rsidR="0099489C">
        <w:t>ed</w:t>
      </w:r>
      <w:r w:rsidRPr="25473B08" w:rsidR="006B28D6">
        <w:t xml:space="preserve"> that service</w:t>
      </w:r>
      <w:r w:rsidRPr="25473B08" w:rsidR="00354277">
        <w:t>s</w:t>
      </w:r>
      <w:r w:rsidRPr="25473B08" w:rsidR="006B28D6">
        <w:t xml:space="preserve"> provided by </w:t>
      </w:r>
      <w:r w:rsidRPr="25473B08" w:rsidR="001528C7">
        <w:t xml:space="preserve">China </w:t>
      </w:r>
      <w:r w:rsidRPr="25473B08" w:rsidR="004C0CA6">
        <w:t>Unicom</w:t>
      </w:r>
      <w:r w:rsidRPr="25473B08" w:rsidR="001528C7">
        <w:t xml:space="preserve"> associated with its </w:t>
      </w:r>
      <w:r w:rsidRPr="25473B08" w:rsidR="004C0CA6">
        <w:t>international</w:t>
      </w:r>
      <w:r w:rsidRPr="25473B08" w:rsidR="001528C7">
        <w:t xml:space="preserve"> section 214 </w:t>
      </w:r>
      <w:r w:rsidRPr="25473B08" w:rsidR="004C0CA6">
        <w:t xml:space="preserve">authorization </w:t>
      </w:r>
      <w:r w:rsidRPr="25473B08" w:rsidR="001528C7">
        <w:t xml:space="preserve">pose </w:t>
      </w:r>
      <w:r w:rsidRPr="25473B08" w:rsidR="006B28D6">
        <w:t xml:space="preserve">a </w:t>
      </w:r>
      <w:r w:rsidRPr="25473B08" w:rsidR="001528C7">
        <w:t xml:space="preserve">substantial and unacceptable risks to </w:t>
      </w:r>
      <w:r w:rsidRPr="25473B08" w:rsidR="006B28D6">
        <w:t>the</w:t>
      </w:r>
      <w:r w:rsidRPr="25473B08" w:rsidR="001528C7">
        <w:t xml:space="preserve"> national security</w:t>
      </w:r>
      <w:r w:rsidRPr="25473B08" w:rsidR="006B28D6">
        <w:t xml:space="preserve"> of the United States and its people.</w:t>
      </w:r>
      <w:r>
        <w:rPr>
          <w:rFonts w:ascii="TimesNewRomanPSMT" w:hAnsi="TimesNewRomanPSMT"/>
        </w:rPr>
        <w:t xml:space="preserve"> </w:t>
      </w:r>
    </w:p>
    <w:p w:rsidR="003C6537" w:rsidRPr="0025580E" w:rsidP="0025580E" w14:paraId="04F8E71D" w14:textId="77777777">
      <w:pPr>
        <w:pStyle w:val="ParaNum"/>
        <w:numPr>
          <w:ilvl w:val="0"/>
          <w:numId w:val="0"/>
        </w:numPr>
        <w:ind w:firstLine="720"/>
      </w:pPr>
      <w:r>
        <w:t xml:space="preserve">The inclusion of these </w:t>
      </w:r>
      <w:r w:rsidR="00872D5E">
        <w:t xml:space="preserve">services </w:t>
      </w:r>
      <w:r>
        <w:t xml:space="preserve">on the </w:t>
      </w:r>
      <w:r w:rsidR="003437FC">
        <w:t>C</w:t>
      </w:r>
      <w:r>
        <w:t xml:space="preserve">overed </w:t>
      </w:r>
      <w:r w:rsidR="003437FC">
        <w:t>L</w:t>
      </w:r>
      <w:r>
        <w:t xml:space="preserve">ist </w:t>
      </w:r>
      <w:r w:rsidR="00333B4F">
        <w:t xml:space="preserve">extends both to subsidiaries and affiliates of the </w:t>
      </w:r>
      <w:r w:rsidR="00872D5E">
        <w:t xml:space="preserve">named </w:t>
      </w:r>
      <w:r w:rsidR="00333B4F">
        <w:t>entities</w:t>
      </w:r>
      <w:r w:rsidR="00C36A42">
        <w:t xml:space="preserve">. </w:t>
      </w:r>
    </w:p>
    <w:p w:rsidR="00413FD5" w:rsidRPr="00807466" w:rsidP="00EC62F2" w14:paraId="5BC6E6D3" w14:textId="77777777">
      <w:pPr>
        <w:pStyle w:val="ParaNum"/>
        <w:numPr>
          <w:ilvl w:val="0"/>
          <w:numId w:val="0"/>
        </w:numPr>
        <w:ind w:firstLine="720"/>
      </w:pPr>
      <w:r>
        <w:t>Consistent with the Secure Networks Act and the Commission’s rules, the Bureau wil</w:t>
      </w:r>
      <w:r w:rsidR="00F553AC">
        <w:t xml:space="preserve">l update this list upon </w:t>
      </w:r>
      <w:r w:rsidR="0004782E">
        <w:t xml:space="preserve">becoming aware of any equipment or service that satisfies the criteria established in section 2 of the Secure Networks Act and </w:t>
      </w:r>
      <w:r w:rsidR="005D40ED">
        <w:t>section 1.50002 of the Commission’s rules.</w:t>
      </w:r>
      <w:r w:rsidR="00EC62F2">
        <w:t xml:space="preserve">  </w:t>
      </w:r>
    </w:p>
    <w:p w:rsidR="006C4D6E" w:rsidRPr="00E3186C" w:rsidP="009E4E52" w14:paraId="78921BB1" w14:textId="77777777">
      <w:pPr>
        <w:pStyle w:val="ParaNum"/>
        <w:numPr>
          <w:ilvl w:val="0"/>
          <w:numId w:val="0"/>
        </w:numPr>
        <w:tabs>
          <w:tab w:val="left" w:pos="720"/>
        </w:tabs>
        <w:ind w:firstLine="720"/>
      </w:pPr>
      <w:r>
        <w:t xml:space="preserve">For further information, please contact </w:t>
      </w:r>
      <w:r w:rsidR="00D8629D">
        <w:t>Zen</w:t>
      </w:r>
      <w:r w:rsidR="00E22F2D">
        <w:t>ji Nakazawa</w:t>
      </w:r>
      <w:r>
        <w:t xml:space="preserve">, </w:t>
      </w:r>
      <w:r w:rsidR="00E22F2D">
        <w:t xml:space="preserve">Associate </w:t>
      </w:r>
      <w:r>
        <w:t xml:space="preserve">Bureau Chief, Public Safety and Homeland Security Bureau </w:t>
      </w:r>
      <w:r w:rsidR="00E22F2D">
        <w:t>at</w:t>
      </w:r>
      <w:r>
        <w:t xml:space="preserve"> or </w:t>
      </w:r>
      <w:hyperlink r:id="rId6" w:history="1">
        <w:r w:rsidRPr="00B653EA" w:rsidR="00E22F2D">
          <w:rPr>
            <w:rStyle w:val="Hyperlink"/>
          </w:rPr>
          <w:t>Zenji.Nakazawa@fcc.gov</w:t>
        </w:r>
      </w:hyperlink>
      <w:r w:rsidR="00B11608">
        <w:rPr>
          <w:rStyle w:val="Hyperlink"/>
        </w:rPr>
        <w:t>.</w:t>
      </w:r>
      <w:r w:rsidR="00E22F2D">
        <w:t xml:space="preserve"> </w:t>
      </w:r>
    </w:p>
    <w:p w:rsidR="00F93FC0" w:rsidP="009E4E52" w14:paraId="183D5CD9" w14:textId="77777777">
      <w:pPr>
        <w:jc w:val="center"/>
        <w:rPr>
          <w:b/>
          <w:szCs w:val="22"/>
        </w:rPr>
      </w:pPr>
      <w:r w:rsidRPr="00E3186C">
        <w:rPr>
          <w:b/>
          <w:szCs w:val="22"/>
        </w:rPr>
        <w:t>–</w:t>
      </w:r>
      <w:r w:rsidRPr="00E3186C" w:rsidR="00C87D99">
        <w:rPr>
          <w:b/>
          <w:szCs w:val="22"/>
        </w:rPr>
        <w:t xml:space="preserve"> FCC –</w:t>
      </w:r>
    </w:p>
    <w:p w:rsidR="009E4E52" w:rsidP="009E4E52" w14:paraId="051FBAF1" w14:textId="77777777">
      <w:pPr>
        <w:jc w:val="center"/>
        <w:rPr>
          <w:b/>
          <w:szCs w:val="22"/>
        </w:rPr>
      </w:pPr>
    </w:p>
    <w:p w:rsidR="00C87D99" w:rsidRPr="00452805" w:rsidP="00452805" w14:paraId="70FCCCE1" w14:textId="7A23BD90">
      <w:pPr>
        <w:spacing w:after="120"/>
        <w:jc w:val="center"/>
        <w:rPr>
          <w:b/>
          <w:bCs/>
          <w:szCs w:val="22"/>
        </w:rPr>
      </w:pPr>
      <w:r>
        <w:rPr>
          <w:b/>
          <w:szCs w:val="22"/>
        </w:rPr>
        <w:br w:type="page"/>
      </w:r>
      <w:r w:rsidRPr="00E3186C">
        <w:rPr>
          <w:b/>
          <w:bCs/>
          <w:szCs w:val="22"/>
        </w:rPr>
        <w:t>APPENDIX</w:t>
      </w:r>
    </w:p>
    <w:p w:rsidR="006D1C17" w:rsidRPr="00333640" w:rsidP="5E8313D1" w14:paraId="2D4CC661" w14:textId="506AFBA6">
      <w:pPr>
        <w:spacing w:after="120"/>
        <w:jc w:val="center"/>
        <w:rPr>
          <w:rFonts w:eastAsia="Gungsuh"/>
        </w:rPr>
      </w:pPr>
      <w:r w:rsidRPr="5E8313D1">
        <w:rPr>
          <w:rFonts w:eastAsia="Gungsuh"/>
        </w:rPr>
        <w:t xml:space="preserve">COVERED LIST (Updated </w:t>
      </w:r>
      <w:r w:rsidRPr="21E56F75" w:rsidR="7E624937">
        <w:rPr>
          <w:rFonts w:eastAsia="Gungsuh"/>
        </w:rPr>
        <w:t xml:space="preserve">September </w:t>
      </w:r>
      <w:r w:rsidRPr="00452805" w:rsidR="00452805">
        <w:rPr>
          <w:rFonts w:eastAsia="Gungsuh"/>
        </w:rPr>
        <w:t>20, 2022</w:t>
      </w:r>
      <w:r w:rsidRPr="5E8313D1">
        <w:rPr>
          <w:rFonts w:eastAsia="Gungsuh"/>
        </w:rPr>
        <w:t>)</w:t>
      </w:r>
      <w:r w:rsidRPr="5E8313D1" w:rsidR="0017088F">
        <w:rPr>
          <w:rFonts w:eastAsia="Gungsuh"/>
        </w:rPr>
        <w:t>*</w:t>
      </w:r>
      <w:r w:rsidRPr="5E8313D1" w:rsidR="005A310D">
        <w:rPr>
          <w:rFonts w:eastAsia="Gungsuh"/>
        </w:rPr>
        <w:t>†</w:t>
      </w:r>
    </w:p>
    <w:p w:rsidR="006D1C17" w:rsidRPr="00562AC1" w:rsidP="00562AC1" w14:paraId="75634DC7" w14:textId="77777777">
      <w:pPr>
        <w:jc w:val="center"/>
        <w:rPr>
          <w:b/>
          <w:bCs/>
          <w:szCs w:val="22"/>
        </w:rPr>
      </w:pPr>
    </w:p>
    <w:tbl>
      <w:tblPr>
        <w:tblStyle w:val="TableGrid"/>
        <w:tblW w:w="10350" w:type="dxa"/>
        <w:tblInd w:w="-365" w:type="dxa"/>
        <w:tblLook w:val="04A0"/>
      </w:tblPr>
      <w:tblGrid>
        <w:gridCol w:w="7740"/>
        <w:gridCol w:w="2610"/>
      </w:tblGrid>
      <w:tr w14:paraId="6AD967E2" w14:textId="77777777" w:rsidTr="5E8313D1">
        <w:tblPrEx>
          <w:tblW w:w="10350" w:type="dxa"/>
          <w:tblInd w:w="-365" w:type="dxa"/>
          <w:tblLook w:val="04A0"/>
        </w:tblPrEx>
        <w:tc>
          <w:tcPr>
            <w:tcW w:w="7740" w:type="dxa"/>
          </w:tcPr>
          <w:p w:rsidR="00562AC1" w:rsidRPr="00562AC1" w:rsidP="00562AC1" w14:paraId="7DABC3A0" w14:textId="77777777">
            <w:pPr>
              <w:jc w:val="center"/>
              <w:rPr>
                <w:b/>
                <w:bCs/>
                <w:szCs w:val="22"/>
              </w:rPr>
            </w:pPr>
            <w:r w:rsidRPr="00562AC1">
              <w:rPr>
                <w:b/>
                <w:bCs/>
                <w:szCs w:val="22"/>
              </w:rPr>
              <w:t>Covered Equipment or Services</w:t>
            </w:r>
            <w:r w:rsidR="003666D7">
              <w:rPr>
                <w:b/>
                <w:bCs/>
                <w:szCs w:val="22"/>
              </w:rPr>
              <w:t>*</w:t>
            </w:r>
          </w:p>
        </w:tc>
        <w:tc>
          <w:tcPr>
            <w:tcW w:w="2610" w:type="dxa"/>
          </w:tcPr>
          <w:p w:rsidR="00562AC1" w:rsidRPr="00562AC1" w:rsidP="00562AC1" w14:paraId="417CC68A" w14:textId="77777777">
            <w:pPr>
              <w:jc w:val="center"/>
              <w:rPr>
                <w:b/>
                <w:bCs/>
                <w:szCs w:val="22"/>
              </w:rPr>
            </w:pPr>
            <w:r w:rsidRPr="00562AC1">
              <w:rPr>
                <w:b/>
                <w:bCs/>
                <w:szCs w:val="22"/>
              </w:rPr>
              <w:t>Date of Inclusion on Covered List</w:t>
            </w:r>
          </w:p>
        </w:tc>
      </w:tr>
      <w:tr w14:paraId="3F0E8685" w14:textId="77777777" w:rsidTr="5E8313D1">
        <w:tblPrEx>
          <w:tblW w:w="10350" w:type="dxa"/>
          <w:tblInd w:w="-365" w:type="dxa"/>
          <w:tblLook w:val="04A0"/>
        </w:tblPrEx>
        <w:tc>
          <w:tcPr>
            <w:tcW w:w="7740" w:type="dxa"/>
          </w:tcPr>
          <w:p w:rsidR="0082165D" w:rsidP="006D1C17" w14:paraId="31733B72" w14:textId="77777777">
            <w:r>
              <w:rPr>
                <w:szCs w:val="22"/>
              </w:rPr>
              <w:t>Telecommunications equipment produce</w:t>
            </w:r>
            <w:r w:rsidR="009D1FC1">
              <w:rPr>
                <w:szCs w:val="22"/>
              </w:rPr>
              <w:t>d</w:t>
            </w:r>
            <w:r>
              <w:rPr>
                <w:szCs w:val="22"/>
              </w:rPr>
              <w:t xml:space="preserve"> </w:t>
            </w:r>
            <w:r w:rsidR="00DF336C">
              <w:rPr>
                <w:szCs w:val="22"/>
              </w:rPr>
              <w:t xml:space="preserve">or provided </w:t>
            </w:r>
            <w:r>
              <w:rPr>
                <w:szCs w:val="22"/>
              </w:rPr>
              <w:t xml:space="preserve">by </w:t>
            </w:r>
            <w:r w:rsidRPr="00333640">
              <w:rPr>
                <w:b/>
                <w:bCs/>
                <w:szCs w:val="22"/>
              </w:rPr>
              <w:t>Huawei Technologies Company</w:t>
            </w:r>
            <w:r>
              <w:t xml:space="preserve">, including telecommunications or video surveillance services </w:t>
            </w:r>
            <w:r w:rsidR="00DF336C">
              <w:t xml:space="preserve">produced or </w:t>
            </w:r>
            <w:r>
              <w:t>provided by such entit</w:t>
            </w:r>
            <w:r w:rsidR="00294497">
              <w:t>y</w:t>
            </w:r>
            <w:r>
              <w:t xml:space="preserve"> or using such equipment.</w:t>
            </w:r>
          </w:p>
          <w:p w:rsidR="00850C1A" w:rsidP="006D1C17" w14:paraId="2CBC3F16" w14:textId="77777777">
            <w:pPr>
              <w:rPr>
                <w:szCs w:val="22"/>
              </w:rPr>
            </w:pPr>
          </w:p>
        </w:tc>
        <w:tc>
          <w:tcPr>
            <w:tcW w:w="2610" w:type="dxa"/>
          </w:tcPr>
          <w:p w:rsidR="00333640" w:rsidP="00F72D61" w14:paraId="4CCCEB16" w14:textId="77777777">
            <w:pPr>
              <w:jc w:val="center"/>
              <w:rPr>
                <w:szCs w:val="22"/>
              </w:rPr>
            </w:pPr>
          </w:p>
          <w:p w:rsidR="00562AC1" w:rsidP="00F72D61" w14:paraId="6C637864" w14:textId="77777777">
            <w:pPr>
              <w:jc w:val="center"/>
              <w:rPr>
                <w:szCs w:val="22"/>
              </w:rPr>
            </w:pPr>
            <w:r>
              <w:rPr>
                <w:szCs w:val="22"/>
              </w:rPr>
              <w:t>March 12, 2021</w:t>
            </w:r>
          </w:p>
        </w:tc>
      </w:tr>
      <w:tr w14:paraId="0CAC7769" w14:textId="77777777" w:rsidTr="5E8313D1">
        <w:tblPrEx>
          <w:tblW w:w="10350" w:type="dxa"/>
          <w:tblInd w:w="-365" w:type="dxa"/>
          <w:tblLook w:val="04A0"/>
        </w:tblPrEx>
        <w:tc>
          <w:tcPr>
            <w:tcW w:w="7740" w:type="dxa"/>
          </w:tcPr>
          <w:p w:rsidR="0082165D" w:rsidP="0082165D" w14:paraId="2B4B6F43" w14:textId="77777777">
            <w:pPr>
              <w:rPr>
                <w:szCs w:val="22"/>
              </w:rPr>
            </w:pPr>
            <w:r>
              <w:rPr>
                <w:szCs w:val="22"/>
              </w:rPr>
              <w:t xml:space="preserve">Telecommunications equipment produced </w:t>
            </w:r>
            <w:r w:rsidR="00DF336C">
              <w:rPr>
                <w:szCs w:val="22"/>
              </w:rPr>
              <w:t xml:space="preserve">or provided </w:t>
            </w:r>
            <w:r>
              <w:rPr>
                <w:szCs w:val="22"/>
              </w:rPr>
              <w:t xml:space="preserve">by </w:t>
            </w:r>
            <w:r w:rsidRPr="00333640">
              <w:rPr>
                <w:b/>
                <w:bCs/>
                <w:szCs w:val="22"/>
              </w:rPr>
              <w:t>ZTE Corporation</w:t>
            </w:r>
            <w:r>
              <w:t>, including telecommunications or video</w:t>
            </w:r>
            <w:r w:rsidR="00333640">
              <w:t xml:space="preserve"> surveillance</w:t>
            </w:r>
            <w:r>
              <w:t xml:space="preserve"> services provided </w:t>
            </w:r>
            <w:r w:rsidR="00DF336C">
              <w:t xml:space="preserve">or provided </w:t>
            </w:r>
            <w:r>
              <w:t>by such entit</w:t>
            </w:r>
            <w:r w:rsidR="00294497">
              <w:t>y</w:t>
            </w:r>
            <w:r>
              <w:t xml:space="preserve"> or using such equipment.</w:t>
            </w:r>
          </w:p>
          <w:p w:rsidR="0082165D" w:rsidP="006D1C17" w14:paraId="07F83A1B" w14:textId="77777777">
            <w:pPr>
              <w:rPr>
                <w:szCs w:val="22"/>
              </w:rPr>
            </w:pPr>
          </w:p>
        </w:tc>
        <w:tc>
          <w:tcPr>
            <w:tcW w:w="2610" w:type="dxa"/>
          </w:tcPr>
          <w:p w:rsidR="00850C1A" w:rsidP="00F72D61" w14:paraId="58D9CC56" w14:textId="77777777">
            <w:pPr>
              <w:jc w:val="center"/>
              <w:rPr>
                <w:szCs w:val="22"/>
              </w:rPr>
            </w:pPr>
          </w:p>
          <w:p w:rsidR="00562AC1" w:rsidP="00F72D61" w14:paraId="3680F7BA" w14:textId="77777777">
            <w:pPr>
              <w:jc w:val="center"/>
              <w:rPr>
                <w:szCs w:val="22"/>
              </w:rPr>
            </w:pPr>
            <w:r>
              <w:rPr>
                <w:szCs w:val="22"/>
              </w:rPr>
              <w:t>March 12, 2021</w:t>
            </w:r>
          </w:p>
        </w:tc>
      </w:tr>
      <w:tr w14:paraId="690ABCD3" w14:textId="77777777" w:rsidTr="5E8313D1">
        <w:tblPrEx>
          <w:tblW w:w="10350" w:type="dxa"/>
          <w:tblInd w:w="-365" w:type="dxa"/>
          <w:tblLook w:val="04A0"/>
        </w:tblPrEx>
        <w:tc>
          <w:tcPr>
            <w:tcW w:w="7740" w:type="dxa"/>
          </w:tcPr>
          <w:p w:rsidR="00562AC1" w:rsidRPr="00333640" w:rsidP="006D1C17" w14:paraId="4F6DACA5" w14:textId="77777777">
            <w:r>
              <w:t>V</w:t>
            </w:r>
            <w:r w:rsidRPr="00A1783E">
              <w:t xml:space="preserve">ideo surveillance and telecommunications equipment produced </w:t>
            </w:r>
            <w:r w:rsidR="00DF336C">
              <w:t xml:space="preserve">or provided </w:t>
            </w:r>
            <w:r w:rsidRPr="00A1783E">
              <w:t xml:space="preserve">by </w:t>
            </w:r>
            <w:r w:rsidRPr="00333640">
              <w:rPr>
                <w:b/>
                <w:bCs/>
              </w:rPr>
              <w:t>Hytera Communications Corporation</w:t>
            </w:r>
            <w:r>
              <w:t>, to the extent it is used for the purpose of public safety, security of government facilities, physical security surveillance of critical infrastructure, and other national security purposes</w:t>
            </w:r>
            <w:r w:rsidR="00AD085A">
              <w:t xml:space="preserve">, </w:t>
            </w:r>
            <w:r>
              <w:t>including telecommunications or video surveillance services pro</w:t>
            </w:r>
            <w:r w:rsidR="00DF336C">
              <w:t>duced</w:t>
            </w:r>
            <w:r>
              <w:t xml:space="preserve"> </w:t>
            </w:r>
            <w:r w:rsidR="00DF336C">
              <w:t xml:space="preserve">or provided </w:t>
            </w:r>
            <w:r>
              <w:t>by such entit</w:t>
            </w:r>
            <w:r w:rsidR="00294497">
              <w:t>y</w:t>
            </w:r>
            <w:r>
              <w:t xml:space="preserve"> or using such equipment.</w:t>
            </w:r>
          </w:p>
          <w:p w:rsidR="0082165D" w:rsidP="006D1C17" w14:paraId="3D8503F1" w14:textId="77777777">
            <w:pPr>
              <w:rPr>
                <w:szCs w:val="22"/>
              </w:rPr>
            </w:pPr>
          </w:p>
        </w:tc>
        <w:tc>
          <w:tcPr>
            <w:tcW w:w="2610" w:type="dxa"/>
          </w:tcPr>
          <w:p w:rsidR="00333640" w:rsidP="00F72D61" w14:paraId="32F511C3" w14:textId="77777777">
            <w:pPr>
              <w:jc w:val="center"/>
              <w:rPr>
                <w:szCs w:val="22"/>
              </w:rPr>
            </w:pPr>
          </w:p>
          <w:p w:rsidR="00333640" w:rsidP="00F72D61" w14:paraId="7EB73E2D" w14:textId="77777777">
            <w:pPr>
              <w:jc w:val="center"/>
              <w:rPr>
                <w:szCs w:val="22"/>
              </w:rPr>
            </w:pPr>
          </w:p>
          <w:p w:rsidR="00562AC1" w:rsidP="00F72D61" w14:paraId="56D94A78" w14:textId="77777777">
            <w:pPr>
              <w:jc w:val="center"/>
              <w:rPr>
                <w:szCs w:val="22"/>
              </w:rPr>
            </w:pPr>
            <w:r>
              <w:rPr>
                <w:szCs w:val="22"/>
              </w:rPr>
              <w:t>March 12, 2021</w:t>
            </w:r>
          </w:p>
        </w:tc>
      </w:tr>
      <w:tr w14:paraId="61551CF9" w14:textId="77777777" w:rsidTr="5E8313D1">
        <w:tblPrEx>
          <w:tblW w:w="10350" w:type="dxa"/>
          <w:tblInd w:w="-365" w:type="dxa"/>
          <w:tblLook w:val="04A0"/>
        </w:tblPrEx>
        <w:tc>
          <w:tcPr>
            <w:tcW w:w="7740" w:type="dxa"/>
          </w:tcPr>
          <w:p w:rsidR="0082165D" w:rsidP="006D1C17" w14:paraId="5BFAE5AF" w14:textId="77777777">
            <w:r>
              <w:t>V</w:t>
            </w:r>
            <w:r w:rsidRPr="00A1783E">
              <w:t xml:space="preserve">ideo surveillance and telecommunications equipment produced </w:t>
            </w:r>
            <w:r w:rsidR="00DF336C">
              <w:t xml:space="preserve">or provided </w:t>
            </w:r>
            <w:r w:rsidRPr="00A1783E">
              <w:t xml:space="preserve">by </w:t>
            </w:r>
            <w:r w:rsidRPr="00333640">
              <w:rPr>
                <w:b/>
                <w:bCs/>
              </w:rPr>
              <w:t>Hangzhou Hikvision Digital Technology Company</w:t>
            </w:r>
            <w:r>
              <w:t xml:space="preserve">, to the extent it is used for the purpose of public safety, security of government facilities, physical security surveillance of critical infrastructure, and other national security purposes, including telecommunications or video surveillance services </w:t>
            </w:r>
            <w:r w:rsidR="00DF336C">
              <w:t xml:space="preserve">produced or </w:t>
            </w:r>
            <w:r>
              <w:t>provided by such entit</w:t>
            </w:r>
            <w:r w:rsidR="00294497">
              <w:t>y</w:t>
            </w:r>
            <w:r>
              <w:t xml:space="preserve"> or using such equipment.</w:t>
            </w:r>
          </w:p>
          <w:p w:rsidR="00333640" w:rsidRPr="00333640" w:rsidP="006D1C17" w14:paraId="434A4E27" w14:textId="77777777"/>
        </w:tc>
        <w:tc>
          <w:tcPr>
            <w:tcW w:w="2610" w:type="dxa"/>
          </w:tcPr>
          <w:p w:rsidR="00333640" w:rsidP="00F72D61" w14:paraId="14A5175F" w14:textId="77777777">
            <w:pPr>
              <w:jc w:val="center"/>
              <w:rPr>
                <w:szCs w:val="22"/>
              </w:rPr>
            </w:pPr>
          </w:p>
          <w:p w:rsidR="00333640" w:rsidP="00F72D61" w14:paraId="1C7E4BE4" w14:textId="77777777">
            <w:pPr>
              <w:jc w:val="center"/>
              <w:rPr>
                <w:szCs w:val="22"/>
              </w:rPr>
            </w:pPr>
          </w:p>
          <w:p w:rsidR="00333640" w:rsidP="00F72D61" w14:paraId="34321C08" w14:textId="77777777">
            <w:pPr>
              <w:jc w:val="center"/>
              <w:rPr>
                <w:szCs w:val="22"/>
              </w:rPr>
            </w:pPr>
          </w:p>
          <w:p w:rsidR="00562AC1" w:rsidP="00F72D61" w14:paraId="016A2D36" w14:textId="77777777">
            <w:pPr>
              <w:jc w:val="center"/>
              <w:rPr>
                <w:szCs w:val="22"/>
              </w:rPr>
            </w:pPr>
            <w:r>
              <w:rPr>
                <w:szCs w:val="22"/>
              </w:rPr>
              <w:t>March 12, 2021</w:t>
            </w:r>
          </w:p>
        </w:tc>
      </w:tr>
      <w:tr w14:paraId="3AA91A23" w14:textId="77777777" w:rsidTr="5E8313D1">
        <w:tblPrEx>
          <w:tblW w:w="10350" w:type="dxa"/>
          <w:tblInd w:w="-365" w:type="dxa"/>
          <w:tblLook w:val="04A0"/>
        </w:tblPrEx>
        <w:tc>
          <w:tcPr>
            <w:tcW w:w="7740" w:type="dxa"/>
          </w:tcPr>
          <w:p w:rsidR="0082165D" w:rsidRPr="00333640" w:rsidP="006D1C17" w14:paraId="19456AAE" w14:textId="77777777">
            <w:r>
              <w:t>V</w:t>
            </w:r>
            <w:r w:rsidRPr="00A1783E">
              <w:t xml:space="preserve">ideo surveillance and telecommunications equipment produced </w:t>
            </w:r>
            <w:r w:rsidR="00DF336C">
              <w:t xml:space="preserve">or provided </w:t>
            </w:r>
            <w:r w:rsidRPr="00A1783E">
              <w:t xml:space="preserve">by </w:t>
            </w:r>
            <w:r w:rsidRPr="00333640">
              <w:rPr>
                <w:b/>
                <w:bCs/>
              </w:rPr>
              <w:t>Dahua Technology Company</w:t>
            </w:r>
            <w:r>
              <w:t xml:space="preserve">, to the extent it is used for the purpose of public safety, security of government facilities, physical security surveillance of critical infrastructure, and other national security purposes, including telecommunications or video surveillance services </w:t>
            </w:r>
            <w:r w:rsidR="00DF336C">
              <w:t xml:space="preserve">produced or </w:t>
            </w:r>
            <w:r>
              <w:t>provided by such entit</w:t>
            </w:r>
            <w:r w:rsidR="00294497">
              <w:t>y</w:t>
            </w:r>
            <w:r>
              <w:t xml:space="preserve"> or using such equipment.</w:t>
            </w:r>
          </w:p>
        </w:tc>
        <w:tc>
          <w:tcPr>
            <w:tcW w:w="2610" w:type="dxa"/>
          </w:tcPr>
          <w:p w:rsidR="00333640" w:rsidP="006D1C17" w14:paraId="171A5B92" w14:textId="77777777">
            <w:pPr>
              <w:rPr>
                <w:szCs w:val="22"/>
              </w:rPr>
            </w:pPr>
          </w:p>
          <w:p w:rsidR="00333640" w:rsidP="006D1C17" w14:paraId="6937B904" w14:textId="77777777">
            <w:pPr>
              <w:rPr>
                <w:szCs w:val="22"/>
              </w:rPr>
            </w:pPr>
          </w:p>
          <w:p w:rsidR="00562AC1" w:rsidP="00F72D61" w14:paraId="19C1CB83" w14:textId="77777777">
            <w:pPr>
              <w:jc w:val="center"/>
              <w:rPr>
                <w:szCs w:val="22"/>
              </w:rPr>
            </w:pPr>
            <w:r>
              <w:rPr>
                <w:szCs w:val="22"/>
              </w:rPr>
              <w:t>March 12, 2021</w:t>
            </w:r>
          </w:p>
        </w:tc>
      </w:tr>
      <w:tr w14:paraId="7450485A" w14:textId="77777777" w:rsidTr="5E8313D1">
        <w:tblPrEx>
          <w:tblW w:w="10350" w:type="dxa"/>
          <w:tblInd w:w="-365" w:type="dxa"/>
          <w:tblLook w:val="04A0"/>
        </w:tblPrEx>
        <w:tc>
          <w:tcPr>
            <w:tcW w:w="7740" w:type="dxa"/>
          </w:tcPr>
          <w:p w:rsidR="00781DE3" w:rsidP="006D1C17" w14:paraId="045C7760" w14:textId="77777777">
            <w:r>
              <w:t xml:space="preserve">Information security products, solutions, and services supplied, directly or indirectly, by </w:t>
            </w:r>
            <w:r w:rsidRPr="00F72D61">
              <w:rPr>
                <w:b/>
                <w:bCs/>
              </w:rPr>
              <w:t>AO Kaspersky Lab</w:t>
            </w:r>
            <w:r>
              <w:t xml:space="preserve"> or any of its predecessors, successors, parents, subsidiaries, or affiliates.</w:t>
            </w:r>
          </w:p>
        </w:tc>
        <w:tc>
          <w:tcPr>
            <w:tcW w:w="2610" w:type="dxa"/>
          </w:tcPr>
          <w:p w:rsidR="00781DE3" w:rsidP="00F72D61" w14:paraId="6A5C5C5D" w14:textId="77777777">
            <w:pPr>
              <w:jc w:val="center"/>
              <w:rPr>
                <w:szCs w:val="22"/>
              </w:rPr>
            </w:pPr>
            <w:r>
              <w:rPr>
                <w:szCs w:val="22"/>
              </w:rPr>
              <w:t xml:space="preserve">March </w:t>
            </w:r>
            <w:r w:rsidR="002C6E0B">
              <w:rPr>
                <w:szCs w:val="22"/>
              </w:rPr>
              <w:t>25</w:t>
            </w:r>
            <w:r>
              <w:rPr>
                <w:szCs w:val="22"/>
              </w:rPr>
              <w:t>, 2022</w:t>
            </w:r>
          </w:p>
        </w:tc>
      </w:tr>
      <w:tr w14:paraId="31099A6B" w14:textId="77777777" w:rsidTr="5E8313D1">
        <w:tblPrEx>
          <w:tblW w:w="10350" w:type="dxa"/>
          <w:tblInd w:w="-365" w:type="dxa"/>
          <w:tblLook w:val="04A0"/>
        </w:tblPrEx>
        <w:tc>
          <w:tcPr>
            <w:tcW w:w="7740" w:type="dxa"/>
          </w:tcPr>
          <w:p w:rsidR="00781DE3" w:rsidP="006D1C17" w14:paraId="46F4AC77" w14:textId="77777777">
            <w:r>
              <w:t xml:space="preserve">International </w:t>
            </w:r>
            <w:r w:rsidR="00737488">
              <w:t xml:space="preserve">telecommunications services provided by </w:t>
            </w:r>
            <w:r w:rsidRPr="00F72D61" w:rsidR="00737488">
              <w:rPr>
                <w:b/>
                <w:bCs/>
              </w:rPr>
              <w:t>China Mobile</w:t>
            </w:r>
            <w:r w:rsidRPr="00B11608" w:rsidR="00B2551B">
              <w:rPr>
                <w:b/>
                <w:bCs/>
                <w:szCs w:val="22"/>
              </w:rPr>
              <w:t xml:space="preserve"> International USA Inc.</w:t>
            </w:r>
            <w:r w:rsidR="00737488">
              <w:t xml:space="preserve"> </w:t>
            </w:r>
            <w:r w:rsidR="00806C6F">
              <w:t>subject</w:t>
            </w:r>
            <w:r w:rsidR="000308F5">
              <w:t xml:space="preserve"> to </w:t>
            </w:r>
            <w:r w:rsidR="00737488">
              <w:t xml:space="preserve">section 214 </w:t>
            </w:r>
            <w:r w:rsidR="000308F5">
              <w:t xml:space="preserve">of the Communications Act of 1934. </w:t>
            </w:r>
          </w:p>
        </w:tc>
        <w:tc>
          <w:tcPr>
            <w:tcW w:w="2610" w:type="dxa"/>
          </w:tcPr>
          <w:p w:rsidR="00781DE3" w:rsidP="00F72D61" w14:paraId="3389302A" w14:textId="77777777">
            <w:pPr>
              <w:jc w:val="center"/>
              <w:rPr>
                <w:szCs w:val="22"/>
              </w:rPr>
            </w:pPr>
            <w:r>
              <w:rPr>
                <w:szCs w:val="22"/>
              </w:rPr>
              <w:t xml:space="preserve">March </w:t>
            </w:r>
            <w:r w:rsidR="002C6E0B">
              <w:rPr>
                <w:szCs w:val="22"/>
              </w:rPr>
              <w:t>25</w:t>
            </w:r>
            <w:r>
              <w:rPr>
                <w:szCs w:val="22"/>
              </w:rPr>
              <w:t>, 2022</w:t>
            </w:r>
          </w:p>
        </w:tc>
      </w:tr>
      <w:tr w14:paraId="419DEB7C" w14:textId="77777777" w:rsidTr="5E8313D1">
        <w:tblPrEx>
          <w:tblW w:w="10350" w:type="dxa"/>
          <w:tblInd w:w="-365" w:type="dxa"/>
          <w:tblLook w:val="04A0"/>
        </w:tblPrEx>
        <w:tc>
          <w:tcPr>
            <w:tcW w:w="7740" w:type="dxa"/>
          </w:tcPr>
          <w:p w:rsidR="00AB2C66" w:rsidP="006D1C17" w14:paraId="5875C892" w14:textId="77777777">
            <w:r>
              <w:t>T</w:t>
            </w:r>
            <w:r w:rsidR="00737488">
              <w:t xml:space="preserve">elecommunications services provided by </w:t>
            </w:r>
            <w:r w:rsidRPr="00F72D61">
              <w:rPr>
                <w:b/>
                <w:bCs/>
              </w:rPr>
              <w:t>China Telecom</w:t>
            </w:r>
            <w:r w:rsidR="00007120">
              <w:rPr>
                <w:b/>
                <w:bCs/>
              </w:rPr>
              <w:t xml:space="preserve"> (Americas) Corp.</w:t>
            </w:r>
            <w:r w:rsidR="00737488">
              <w:t xml:space="preserve"> </w:t>
            </w:r>
            <w:r w:rsidR="000A3A7B">
              <w:t xml:space="preserve">subject </w:t>
            </w:r>
            <w:r w:rsidR="00737488">
              <w:t xml:space="preserve">to section 214 </w:t>
            </w:r>
            <w:r w:rsidR="000A3A7B">
              <w:t>of the Communications Act of 1934.</w:t>
            </w:r>
          </w:p>
        </w:tc>
        <w:tc>
          <w:tcPr>
            <w:tcW w:w="2610" w:type="dxa"/>
          </w:tcPr>
          <w:p w:rsidR="00AB2C66" w:rsidP="00F72D61" w14:paraId="399C70BE" w14:textId="77777777">
            <w:pPr>
              <w:jc w:val="center"/>
              <w:rPr>
                <w:szCs w:val="22"/>
              </w:rPr>
            </w:pPr>
            <w:r>
              <w:rPr>
                <w:szCs w:val="22"/>
              </w:rPr>
              <w:t>March</w:t>
            </w:r>
            <w:r w:rsidR="002C6E0B">
              <w:rPr>
                <w:szCs w:val="22"/>
              </w:rPr>
              <w:t xml:space="preserve"> 25</w:t>
            </w:r>
            <w:r>
              <w:rPr>
                <w:szCs w:val="22"/>
              </w:rPr>
              <w:t>, 2022</w:t>
            </w:r>
          </w:p>
        </w:tc>
      </w:tr>
      <w:tr w14:paraId="3DD500FA" w14:textId="77777777" w:rsidTr="5E8313D1">
        <w:tblPrEx>
          <w:tblW w:w="10350" w:type="dxa"/>
          <w:tblInd w:w="-365" w:type="dxa"/>
          <w:tblLook w:val="04A0"/>
        </w:tblPrEx>
        <w:tc>
          <w:tcPr>
            <w:tcW w:w="7740" w:type="dxa"/>
          </w:tcPr>
          <w:p w:rsidR="00380F4C" w:rsidRPr="00452805" w:rsidP="00380F4C" w14:paraId="3B0C8A51" w14:textId="12274A59">
            <w:r w:rsidRPr="00452805">
              <w:t xml:space="preserve">International telecommunications services provided by </w:t>
            </w:r>
            <w:r w:rsidRPr="00452805">
              <w:rPr>
                <w:b/>
                <w:bCs/>
              </w:rPr>
              <w:t>Pacific Network</w:t>
            </w:r>
            <w:r w:rsidRPr="00452805" w:rsidR="00D00B32">
              <w:rPr>
                <w:b/>
                <w:bCs/>
              </w:rPr>
              <w:t>s</w:t>
            </w:r>
            <w:r w:rsidRPr="00452805">
              <w:rPr>
                <w:b/>
                <w:bCs/>
              </w:rPr>
              <w:t xml:space="preserve"> Corp</w:t>
            </w:r>
            <w:r w:rsidRPr="00452805" w:rsidR="00502A1C">
              <w:rPr>
                <w:b/>
                <w:bCs/>
              </w:rPr>
              <w:t>.</w:t>
            </w:r>
            <w:r w:rsidRPr="00452805">
              <w:rPr>
                <w:b/>
                <w:bCs/>
              </w:rPr>
              <w:t xml:space="preserve"> </w:t>
            </w:r>
            <w:r w:rsidRPr="00452805">
              <w:t xml:space="preserve">and its wholly-owned subsidiary </w:t>
            </w:r>
            <w:r w:rsidRPr="00452805">
              <w:rPr>
                <w:b/>
                <w:bCs/>
              </w:rPr>
              <w:t>ComNet</w:t>
            </w:r>
            <w:r w:rsidRPr="00452805">
              <w:rPr>
                <w:b/>
                <w:bCs/>
              </w:rPr>
              <w:t xml:space="preserve"> (USA) LLC</w:t>
            </w:r>
            <w:r w:rsidRPr="00452805">
              <w:t xml:space="preserve"> subject to section 214 of the Communications Act of 1934. </w:t>
            </w:r>
          </w:p>
        </w:tc>
        <w:tc>
          <w:tcPr>
            <w:tcW w:w="2610" w:type="dxa"/>
          </w:tcPr>
          <w:p w:rsidR="00380F4C" w:rsidRPr="00452805" w:rsidP="00380F4C" w14:paraId="6B2321CF" w14:textId="3399D299">
            <w:pPr>
              <w:jc w:val="center"/>
            </w:pPr>
            <w:r w:rsidRPr="00452805">
              <w:t>September</w:t>
            </w:r>
            <w:r w:rsidRPr="00452805" w:rsidR="420C2D07">
              <w:t xml:space="preserve"> </w:t>
            </w:r>
            <w:r w:rsidR="00452805">
              <w:t>20</w:t>
            </w:r>
            <w:r w:rsidRPr="00452805" w:rsidR="753E6F06">
              <w:t>, 2022</w:t>
            </w:r>
          </w:p>
        </w:tc>
      </w:tr>
      <w:tr w14:paraId="72BDDB23" w14:textId="77777777" w:rsidTr="5E8313D1">
        <w:tblPrEx>
          <w:tblW w:w="10350" w:type="dxa"/>
          <w:tblInd w:w="-365" w:type="dxa"/>
          <w:tblLook w:val="04A0"/>
        </w:tblPrEx>
        <w:tc>
          <w:tcPr>
            <w:tcW w:w="7740" w:type="dxa"/>
          </w:tcPr>
          <w:p w:rsidR="00380F4C" w:rsidRPr="00452805" w:rsidP="00380F4C" w14:paraId="0571CBC3" w14:textId="085C001E">
            <w:r w:rsidRPr="00452805">
              <w:t xml:space="preserve">International telecommunications services provided by </w:t>
            </w:r>
            <w:r w:rsidRPr="00452805">
              <w:rPr>
                <w:b/>
                <w:bCs/>
              </w:rPr>
              <w:t xml:space="preserve">China </w:t>
            </w:r>
            <w:r w:rsidRPr="00452805" w:rsidR="00E02CE4">
              <w:rPr>
                <w:b/>
                <w:bCs/>
              </w:rPr>
              <w:t>Unicom (Americas) Operations Limited</w:t>
            </w:r>
            <w:r w:rsidRPr="00452805">
              <w:t xml:space="preserve"> subject to section 214 of the Communications Act of 1934. </w:t>
            </w:r>
          </w:p>
        </w:tc>
        <w:tc>
          <w:tcPr>
            <w:tcW w:w="2610" w:type="dxa"/>
          </w:tcPr>
          <w:p w:rsidR="00380F4C" w:rsidRPr="00452805" w:rsidP="00380F4C" w14:paraId="79A2B9C6" w14:textId="11EADCC2">
            <w:pPr>
              <w:jc w:val="center"/>
              <w:rPr>
                <w:szCs w:val="22"/>
              </w:rPr>
            </w:pPr>
            <w:r w:rsidRPr="00452805">
              <w:rPr>
                <w:szCs w:val="22"/>
              </w:rPr>
              <w:t xml:space="preserve">September </w:t>
            </w:r>
            <w:r w:rsidR="00452805">
              <w:rPr>
                <w:szCs w:val="22"/>
              </w:rPr>
              <w:t>20</w:t>
            </w:r>
            <w:r w:rsidRPr="00452805">
              <w:rPr>
                <w:szCs w:val="22"/>
              </w:rPr>
              <w:t>, 2022</w:t>
            </w:r>
          </w:p>
        </w:tc>
      </w:tr>
    </w:tbl>
    <w:p w:rsidR="0082165D" w:rsidP="00452805" w14:paraId="1113E782" w14:textId="77777777">
      <w:pPr>
        <w:spacing w:before="120"/>
        <w:rPr>
          <w:szCs w:val="22"/>
        </w:rPr>
      </w:pPr>
      <w:r>
        <w:rPr>
          <w:szCs w:val="22"/>
        </w:rPr>
        <w:t>*</w:t>
      </w:r>
      <w:r w:rsidR="00FB3EAB">
        <w:rPr>
          <w:szCs w:val="22"/>
        </w:rPr>
        <w:t>T</w:t>
      </w:r>
      <w:r w:rsidR="00AD085A">
        <w:rPr>
          <w:szCs w:val="22"/>
        </w:rPr>
        <w:t xml:space="preserve">he inclusion of </w:t>
      </w:r>
      <w:r w:rsidR="00DF336C">
        <w:rPr>
          <w:szCs w:val="22"/>
        </w:rPr>
        <w:t xml:space="preserve">producers or </w:t>
      </w:r>
      <w:r w:rsidR="00970ED7">
        <w:rPr>
          <w:szCs w:val="22"/>
        </w:rPr>
        <w:t xml:space="preserve">providers of equipment or services identified on this list should be read to include the subsidiaries and affiliates of such entities. </w:t>
      </w:r>
    </w:p>
    <w:p w:rsidR="003666D7" w:rsidRPr="000A626E" w:rsidP="00452805" w14:paraId="43A532A7" w14:textId="77777777">
      <w:pPr>
        <w:spacing w:before="120"/>
        <w:rPr>
          <w:rFonts w:eastAsia="Gungsuh"/>
          <w:szCs w:val="22"/>
        </w:rPr>
      </w:pPr>
      <w:r>
        <w:rPr>
          <w:rFonts w:eastAsia="Gungsuh"/>
          <w:szCs w:val="22"/>
        </w:rPr>
        <w:t>†</w:t>
      </w:r>
      <w:r w:rsidR="00FB3EAB">
        <w:rPr>
          <w:rFonts w:eastAsia="Gungsuh"/>
          <w:szCs w:val="22"/>
        </w:rPr>
        <w:t>W</w:t>
      </w:r>
      <w:r w:rsidR="00291933">
        <w:rPr>
          <w:rFonts w:eastAsia="Gungsuh"/>
          <w:szCs w:val="22"/>
        </w:rPr>
        <w:t xml:space="preserve">here equipment </w:t>
      </w:r>
      <w:r w:rsidR="000A626E">
        <w:rPr>
          <w:rFonts w:eastAsia="Gungsuh"/>
          <w:szCs w:val="22"/>
        </w:rPr>
        <w:t xml:space="preserve">or services on the list are identified by category, such category should be </w:t>
      </w:r>
      <w:r w:rsidR="008D79C9">
        <w:rPr>
          <w:rFonts w:eastAsia="Gungsuh"/>
          <w:szCs w:val="22"/>
        </w:rPr>
        <w:t xml:space="preserve">construed to include only equipment or services </w:t>
      </w:r>
      <w:r w:rsidRPr="00A1783E" w:rsidR="008D79C9">
        <w:t xml:space="preserve">capable of the functions outlined in sections 2(b)(2)(A), (B), or (C) of the </w:t>
      </w:r>
      <w:r w:rsidR="008D79C9">
        <w:t xml:space="preserve">Secure and Trusted Communications Networks Act of 2019, </w:t>
      </w:r>
      <w:r w:rsidR="00E96230">
        <w:t>47 U.S.C. § 1601(b)(2)(</w:t>
      </w:r>
      <w:r w:rsidR="00067DB1">
        <w:t>A)-(C)</w:t>
      </w:r>
      <w:r w:rsidR="0068376B">
        <w:t>.</w:t>
      </w: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0000000000000000000"/>
    <w:charset w:val="86"/>
    <w:family w:val="auto"/>
    <w:notTrueType/>
    <w:pitch w:val="variable"/>
    <w:sig w:usb0="A00002BF" w:usb1="38CF7CFA" w:usb2="00000016" w:usb3="00000000" w:csb0="0004000F" w:csb1="00000000"/>
  </w:font>
  <w:font w:name="Segoe UI">
    <w:altName w:val="Arial"/>
    <w:panose1 w:val="020B0502040204020203"/>
    <w:charset w:val="00"/>
    <w:family w:val="swiss"/>
    <w:pitch w:val="variable"/>
    <w:sig w:usb0="E4002EFF" w:usb1="C000E47F" w:usb2="00000009" w:usb3="00000000" w:csb0="000001FF" w:csb1="00000000"/>
  </w:font>
  <w:font w:name="TimesNewRomanPSMT">
    <w:altName w:val="Times New Roman"/>
    <w:charset w:val="00"/>
    <w:family w:val="roman"/>
    <w:pitch w:val="variable"/>
    <w:sig w:usb0="E0002AFF" w:usb1="C0007841" w:usb2="00000009" w:usb3="00000000" w:csb0="000001FF"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9D2CE2A"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73BDF6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4F301CF5" w14:textId="77777777">
    <w:pPr>
      <w:pStyle w:val="Footer"/>
      <w:jc w:val="cen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9BA52B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1A37" w14:paraId="627EF0F8" w14:textId="77777777">
      <w:r>
        <w:separator/>
      </w:r>
    </w:p>
  </w:footnote>
  <w:footnote w:type="continuationSeparator" w:id="1">
    <w:p w:rsidR="002F1A37" w14:paraId="08D2C508" w14:textId="77777777">
      <w:pPr>
        <w:rPr>
          <w:sz w:val="20"/>
        </w:rPr>
      </w:pPr>
      <w:r>
        <w:rPr>
          <w:sz w:val="20"/>
        </w:rPr>
        <w:t xml:space="preserve">(Continued from previous page)  </w:t>
      </w:r>
      <w:r>
        <w:rPr>
          <w:sz w:val="20"/>
        </w:rPr>
        <w:separator/>
      </w:r>
    </w:p>
  </w:footnote>
  <w:footnote w:type="continuationNotice" w:id="2">
    <w:p w:rsidR="002F1A37" w:rsidP="00910F12" w14:paraId="01795074" w14:textId="77777777">
      <w:pPr>
        <w:jc w:val="right"/>
        <w:rPr>
          <w:sz w:val="20"/>
        </w:rPr>
      </w:pPr>
      <w:r>
        <w:rPr>
          <w:sz w:val="20"/>
        </w:rPr>
        <w:t>(continued….)</w:t>
      </w:r>
    </w:p>
  </w:footnote>
  <w:footnote w:id="3">
    <w:p w:rsidR="00D93DF1" w:rsidRPr="002418B4" w:rsidP="3679D128" w14:paraId="3E57C7B6" w14:textId="600BB2EC">
      <w:pPr>
        <w:pStyle w:val="FootnoteText"/>
        <w:rPr>
          <w:color w:val="000000" w:themeColor="text1"/>
        </w:rPr>
      </w:pPr>
      <w:r w:rsidRPr="002418B4">
        <w:rPr>
          <w:rStyle w:val="FootnoteReference"/>
          <w:color w:val="000000" w:themeColor="text1"/>
        </w:rPr>
        <w:footnoteRef/>
      </w:r>
      <w:r w:rsidRPr="002418B4" w:rsidR="5E8313D1">
        <w:rPr>
          <w:color w:val="000000" w:themeColor="text1"/>
        </w:rPr>
        <w:t xml:space="preserve"> Secure and Trusted Communications Networks Act of 2019, Pub. L. No. 116-124, </w:t>
      </w:r>
      <w:r w:rsidRPr="002418B4" w:rsidR="5E8313D1">
        <w:rPr>
          <w:color w:val="000000" w:themeColor="text1"/>
          <w:u w:val="single"/>
        </w:rPr>
        <w:t xml:space="preserve">§ 2(a), (d), </w:t>
      </w:r>
      <w:r w:rsidRPr="002418B4" w:rsidR="5E8313D1">
        <w:rPr>
          <w:color w:val="000000" w:themeColor="text1"/>
        </w:rPr>
        <w:t>133 Stat. 158</w:t>
      </w:r>
      <w:r w:rsidRPr="002418B4" w:rsidR="5E8313D1">
        <w:rPr>
          <w:color w:val="000000" w:themeColor="text1"/>
          <w:u w:val="single"/>
        </w:rPr>
        <w:t>,</w:t>
      </w:r>
      <w:r w:rsidRPr="002418B4" w:rsidR="5E8313D1">
        <w:rPr>
          <w:color w:val="000000" w:themeColor="text1"/>
        </w:rPr>
        <w:t xml:space="preserve"> </w:t>
      </w:r>
      <w:r w:rsidRPr="002418B4" w:rsidR="5E8313D1">
        <w:rPr>
          <w:color w:val="000000" w:themeColor="text1"/>
          <w:u w:val="single"/>
        </w:rPr>
        <w:t>158-59</w:t>
      </w:r>
      <w:r w:rsidRPr="002418B4" w:rsidR="5E8313D1">
        <w:rPr>
          <w:color w:val="000000" w:themeColor="text1"/>
        </w:rPr>
        <w:t xml:space="preserve"> (2020) (codified as amended at 47 U.S.C. §§ 1601–1609) (Secure Networks Act).</w:t>
      </w:r>
    </w:p>
  </w:footnote>
  <w:footnote w:id="4">
    <w:p w:rsidR="00D93DF1" w:rsidRPr="002418B4" w14:paraId="489563CD" w14:textId="49F14104">
      <w:pPr>
        <w:pStyle w:val="FootnoteText"/>
        <w:rPr>
          <w:color w:val="000000" w:themeColor="text1"/>
        </w:rPr>
      </w:pPr>
      <w:r w:rsidRPr="002418B4">
        <w:rPr>
          <w:rStyle w:val="FootnoteReference"/>
          <w:color w:val="000000" w:themeColor="text1"/>
        </w:rPr>
        <w:footnoteRef/>
      </w:r>
      <w:r w:rsidRPr="002418B4" w:rsidR="5E8313D1">
        <w:rPr>
          <w:color w:val="000000" w:themeColor="text1"/>
        </w:rPr>
        <w:t xml:space="preserve"> </w:t>
      </w:r>
      <w:r w:rsidRPr="002418B4" w:rsidR="5E8313D1">
        <w:rPr>
          <w:i/>
          <w:iCs/>
          <w:color w:val="000000" w:themeColor="text1"/>
        </w:rPr>
        <w:t>Protecting Against National Security Threats to the Communications Supply Chain Through FCC Programs</w:t>
      </w:r>
      <w:r w:rsidRPr="002418B4" w:rsidR="5E8313D1">
        <w:rPr>
          <w:color w:val="000000" w:themeColor="text1"/>
        </w:rPr>
        <w:t xml:space="preserve">, WC Docket No. 18-89, Second Report and Order, 35 FCC </w:t>
      </w:r>
      <w:r w:rsidRPr="002418B4" w:rsidR="5E8313D1">
        <w:rPr>
          <w:color w:val="000000" w:themeColor="text1"/>
        </w:rPr>
        <w:t>Rcd</w:t>
      </w:r>
      <w:r w:rsidRPr="002418B4" w:rsidR="5E8313D1">
        <w:rPr>
          <w:color w:val="000000" w:themeColor="text1"/>
        </w:rPr>
        <w:t xml:space="preserve"> 14284</w:t>
      </w:r>
      <w:r w:rsidRPr="002418B4" w:rsidR="5E8313D1">
        <w:rPr>
          <w:color w:val="000000" w:themeColor="text1"/>
          <w:u w:val="single"/>
        </w:rPr>
        <w:t>, 14375-76</w:t>
      </w:r>
      <w:r w:rsidRPr="002418B4" w:rsidR="5E8313D1">
        <w:rPr>
          <w:color w:val="000000" w:themeColor="text1"/>
        </w:rPr>
        <w:t xml:space="preserve"> (2020) (</w:t>
      </w:r>
      <w:r w:rsidRPr="002418B4" w:rsidR="5E8313D1">
        <w:rPr>
          <w:i/>
          <w:iCs/>
          <w:color w:val="000000" w:themeColor="text1"/>
        </w:rPr>
        <w:t>Supply Chain Second Report and Order</w:t>
      </w:r>
      <w:r w:rsidRPr="002418B4" w:rsidR="5E8313D1">
        <w:rPr>
          <w:color w:val="000000" w:themeColor="text1"/>
        </w:rPr>
        <w:t>) (adopting 47 CFR §§ 1.50002, 1.50003).</w:t>
      </w:r>
    </w:p>
  </w:footnote>
  <w:footnote w:id="5">
    <w:p w:rsidR="00093E51" w:rsidRPr="002418B4" w14:paraId="262286FE" w14:textId="77777777">
      <w:pPr>
        <w:pStyle w:val="FootnoteText"/>
        <w:rPr>
          <w:color w:val="000000" w:themeColor="text1"/>
        </w:rPr>
      </w:pPr>
      <w:r w:rsidRPr="002418B4">
        <w:rPr>
          <w:rStyle w:val="FootnoteReference"/>
          <w:color w:val="000000" w:themeColor="text1"/>
        </w:rPr>
        <w:footnoteRef/>
      </w:r>
      <w:r w:rsidRPr="002418B4">
        <w:rPr>
          <w:color w:val="000000" w:themeColor="text1"/>
        </w:rPr>
        <w:t xml:space="preserve"> </w:t>
      </w:r>
      <w:r w:rsidRPr="002418B4" w:rsidR="00382BE9">
        <w:rPr>
          <w:color w:val="000000" w:themeColor="text1"/>
        </w:rPr>
        <w:t xml:space="preserve">47 U.S.C. § 1601(d)(1); </w:t>
      </w:r>
      <w:r w:rsidRPr="002418B4" w:rsidR="00781DE3">
        <w:rPr>
          <w:color w:val="000000" w:themeColor="text1"/>
        </w:rPr>
        <w:t>47 CFR § 1.50003(a).</w:t>
      </w:r>
    </w:p>
  </w:footnote>
  <w:footnote w:id="6">
    <w:p w:rsidR="00D93DF1" w:rsidRPr="002418B4" w:rsidP="002700B1" w14:paraId="15A177BF" w14:textId="77777777">
      <w:pPr>
        <w:pStyle w:val="FootnoteText"/>
        <w:rPr>
          <w:color w:val="000000" w:themeColor="text1"/>
        </w:rPr>
      </w:pPr>
      <w:r w:rsidRPr="002418B4">
        <w:rPr>
          <w:rStyle w:val="FootnoteReference"/>
          <w:color w:val="000000" w:themeColor="text1"/>
        </w:rPr>
        <w:footnoteRef/>
      </w:r>
      <w:r w:rsidRPr="002418B4">
        <w:rPr>
          <w:color w:val="000000" w:themeColor="text1"/>
        </w:rPr>
        <w:t xml:space="preserve"> </w:t>
      </w:r>
      <w:r w:rsidRPr="002418B4">
        <w:rPr>
          <w:i/>
          <w:iCs/>
          <w:color w:val="000000" w:themeColor="text1"/>
        </w:rPr>
        <w:t xml:space="preserve">See </w:t>
      </w:r>
      <w:r w:rsidRPr="002418B4" w:rsidR="00251915">
        <w:rPr>
          <w:i/>
          <w:iCs/>
          <w:color w:val="000000" w:themeColor="text1"/>
        </w:rPr>
        <w:t>Supply Chain Second Report and Order</w:t>
      </w:r>
      <w:r w:rsidRPr="002418B4" w:rsidR="00586729">
        <w:rPr>
          <w:color w:val="000000" w:themeColor="text1"/>
        </w:rPr>
        <w:t>,</w:t>
      </w:r>
      <w:r w:rsidRPr="002418B4" w:rsidR="00251915">
        <w:rPr>
          <w:color w:val="000000" w:themeColor="text1"/>
        </w:rPr>
        <w:t xml:space="preserve"> 35 FCC </w:t>
      </w:r>
      <w:r w:rsidRPr="002418B4" w:rsidR="00251915">
        <w:rPr>
          <w:color w:val="000000" w:themeColor="text1"/>
        </w:rPr>
        <w:t>Rcd</w:t>
      </w:r>
      <w:r w:rsidRPr="002418B4" w:rsidR="00023EEF">
        <w:rPr>
          <w:color w:val="000000" w:themeColor="text1"/>
        </w:rPr>
        <w:t xml:space="preserve"> at</w:t>
      </w:r>
      <w:r w:rsidRPr="002418B4" w:rsidR="00251915">
        <w:rPr>
          <w:color w:val="000000" w:themeColor="text1"/>
        </w:rPr>
        <w:t xml:space="preserve"> </w:t>
      </w:r>
      <w:r w:rsidRPr="002418B4" w:rsidR="0064558E">
        <w:rPr>
          <w:color w:val="000000" w:themeColor="text1"/>
        </w:rPr>
        <w:t>14311-</w:t>
      </w:r>
      <w:r w:rsidRPr="002418B4" w:rsidR="002C6A5F">
        <w:rPr>
          <w:color w:val="000000" w:themeColor="text1"/>
        </w:rPr>
        <w:t>2</w:t>
      </w:r>
      <w:r w:rsidRPr="002418B4" w:rsidR="00F743E0">
        <w:rPr>
          <w:color w:val="000000" w:themeColor="text1"/>
        </w:rPr>
        <w:t>5</w:t>
      </w:r>
      <w:r w:rsidRPr="002418B4" w:rsidR="00023EEF">
        <w:rPr>
          <w:color w:val="000000" w:themeColor="text1"/>
        </w:rPr>
        <w:t>,</w:t>
      </w:r>
      <w:r w:rsidRPr="002418B4">
        <w:rPr>
          <w:color w:val="000000" w:themeColor="text1"/>
        </w:rPr>
        <w:t xml:space="preserve"> paras. 57-92. </w:t>
      </w:r>
    </w:p>
  </w:footnote>
  <w:footnote w:id="7">
    <w:p w:rsidR="00A9497B" w:rsidRPr="002418B4" w:rsidP="00A9497B" w14:paraId="6E7B9A13" w14:textId="7A139DC5">
      <w:pPr>
        <w:pStyle w:val="FootnoteText"/>
        <w:rPr>
          <w:color w:val="000000" w:themeColor="text1"/>
        </w:rPr>
      </w:pPr>
      <w:r w:rsidRPr="002418B4">
        <w:rPr>
          <w:rStyle w:val="FootnoteReference"/>
          <w:color w:val="000000" w:themeColor="text1"/>
        </w:rPr>
        <w:footnoteRef/>
      </w:r>
      <w:r w:rsidRPr="002418B4" w:rsidR="5E8313D1">
        <w:rPr>
          <w:color w:val="000000" w:themeColor="text1"/>
        </w:rPr>
        <w:t xml:space="preserve"> The Commission found that if a determination by an enumerated national security agency, or intergovernmental agency with national security expertise, “indicates that a specific piece of equipment or service poses an unacceptable risk to the national security of the United States and the security and safety of United States persons, the Commission will automatically include this determination on the Covered List.”  </w:t>
      </w:r>
      <w:r w:rsidRPr="002418B4" w:rsidR="5E8313D1">
        <w:rPr>
          <w:i/>
          <w:iCs/>
          <w:color w:val="000000" w:themeColor="text1"/>
        </w:rPr>
        <w:t>Supply Chain Second Report and Order</w:t>
      </w:r>
      <w:r w:rsidRPr="002418B4" w:rsidR="5E8313D1">
        <w:rPr>
          <w:color w:val="000000" w:themeColor="text1"/>
        </w:rPr>
        <w:t xml:space="preserve">, 35 FCC </w:t>
      </w:r>
      <w:r w:rsidRPr="002418B4" w:rsidR="5E8313D1">
        <w:rPr>
          <w:color w:val="000000" w:themeColor="text1"/>
        </w:rPr>
        <w:t>Rcd</w:t>
      </w:r>
      <w:r w:rsidRPr="002418B4" w:rsidR="5E8313D1">
        <w:rPr>
          <w:color w:val="000000" w:themeColor="text1"/>
        </w:rPr>
        <w:t xml:space="preserve"> at 14320, para. 80.  The Commission took this approach “because of the plain language in section 2(b)(2)(C) which lists, among other equipment or service capabilities mandating inclusion on the Covered List, whether the equipment or service poses an unacceptable risk to the national security of the United States or the security and safety of United States persons.  If an enumerated source has already performed this analysis as part of its determination, the only action we need take is to incorporate this determination onto the Covered List.”</w:t>
      </w:r>
      <w:r w:rsidRPr="002418B4" w:rsidR="00D40B16">
        <w:rPr>
          <w:color w:val="000000" w:themeColor="text1"/>
        </w:rPr>
        <w:t xml:space="preserve"> </w:t>
      </w:r>
      <w:r w:rsidRPr="002418B4" w:rsidR="5E8313D1">
        <w:rPr>
          <w:color w:val="000000" w:themeColor="text1"/>
        </w:rPr>
        <w:t xml:space="preserve"> </w:t>
      </w:r>
      <w:r w:rsidRPr="002418B4" w:rsidR="5E8313D1">
        <w:rPr>
          <w:i/>
          <w:iCs/>
          <w:color w:val="000000" w:themeColor="text1"/>
        </w:rPr>
        <w:t>Id.</w:t>
      </w:r>
      <w:r w:rsidRPr="002418B4" w:rsidR="5E8313D1">
        <w:rPr>
          <w:color w:val="000000" w:themeColor="text1"/>
        </w:rPr>
        <w:t xml:space="preserve">  The Commission, in adopting the rules, interpreted Congress’s use of the words “shall place” to mean it had no discretion to disregard determinations from these enumerated sources.  </w:t>
      </w:r>
      <w:r w:rsidRPr="002418B4" w:rsidR="5E8313D1">
        <w:rPr>
          <w:i/>
          <w:iCs/>
          <w:color w:val="000000" w:themeColor="text1"/>
        </w:rPr>
        <w:t>Supply Chain Second Report and Order</w:t>
      </w:r>
      <w:r w:rsidRPr="002418B4" w:rsidR="5E8313D1">
        <w:rPr>
          <w:color w:val="000000" w:themeColor="text1"/>
        </w:rPr>
        <w:t xml:space="preserve">, 35 FCC </w:t>
      </w:r>
      <w:r w:rsidRPr="002418B4" w:rsidR="5E8313D1">
        <w:rPr>
          <w:color w:val="000000" w:themeColor="text1"/>
        </w:rPr>
        <w:t>Rcd</w:t>
      </w:r>
      <w:r w:rsidRPr="002418B4" w:rsidR="5E8313D1">
        <w:rPr>
          <w:color w:val="000000" w:themeColor="text1"/>
        </w:rPr>
        <w:t xml:space="preserve"> at 14312, para. 59.</w:t>
      </w:r>
    </w:p>
  </w:footnote>
  <w:footnote w:id="8">
    <w:p w:rsidR="002F1A34" w:rsidRPr="002418B4" w14:paraId="16D2B3E1" w14:textId="5D987597">
      <w:pPr>
        <w:pStyle w:val="FootnoteText"/>
        <w:rPr>
          <w:color w:val="000000" w:themeColor="text1"/>
        </w:rPr>
      </w:pPr>
      <w:r w:rsidRPr="002418B4">
        <w:rPr>
          <w:rStyle w:val="FootnoteReference"/>
          <w:color w:val="000000" w:themeColor="text1"/>
        </w:rPr>
        <w:footnoteRef/>
      </w:r>
      <w:r w:rsidRPr="002418B4">
        <w:rPr>
          <w:color w:val="000000" w:themeColor="text1"/>
        </w:rPr>
        <w:t xml:space="preserve"> </w:t>
      </w:r>
      <w:r w:rsidRPr="002418B4" w:rsidR="00CA34DF">
        <w:rPr>
          <w:color w:val="000000" w:themeColor="text1"/>
        </w:rPr>
        <w:t xml:space="preserve">47 CFR § 1.50002; </w:t>
      </w:r>
      <w:r w:rsidRPr="002418B4" w:rsidR="00CA34DF">
        <w:rPr>
          <w:i/>
          <w:iCs/>
          <w:color w:val="000000" w:themeColor="text1"/>
        </w:rPr>
        <w:t xml:space="preserve">see also </w:t>
      </w:r>
      <w:r w:rsidRPr="002418B4" w:rsidR="001128B4">
        <w:rPr>
          <w:color w:val="000000" w:themeColor="text1"/>
        </w:rPr>
        <w:t>47 U.S.C. §</w:t>
      </w:r>
      <w:r w:rsidRPr="002418B4" w:rsidR="007B5157">
        <w:rPr>
          <w:color w:val="000000" w:themeColor="text1"/>
        </w:rPr>
        <w:t>§</w:t>
      </w:r>
      <w:r w:rsidRPr="002418B4" w:rsidR="001128B4">
        <w:rPr>
          <w:color w:val="000000" w:themeColor="text1"/>
        </w:rPr>
        <w:t> 1601</w:t>
      </w:r>
      <w:r w:rsidRPr="002418B4" w:rsidR="00CA34DF">
        <w:rPr>
          <w:color w:val="000000" w:themeColor="text1"/>
        </w:rPr>
        <w:t>(b)</w:t>
      </w:r>
      <w:r w:rsidRPr="002418B4" w:rsidR="0012368F">
        <w:rPr>
          <w:color w:val="000000" w:themeColor="text1"/>
        </w:rPr>
        <w:t>(1</w:t>
      </w:r>
      <w:r w:rsidRPr="002418B4" w:rsidR="008D2782">
        <w:rPr>
          <w:color w:val="000000" w:themeColor="text1"/>
        </w:rPr>
        <w:t xml:space="preserve">), </w:t>
      </w:r>
      <w:r w:rsidRPr="002418B4" w:rsidR="007E2667">
        <w:rPr>
          <w:color w:val="000000" w:themeColor="text1"/>
        </w:rPr>
        <w:t>1601</w:t>
      </w:r>
      <w:r w:rsidRPr="002418B4" w:rsidR="007B11AC">
        <w:rPr>
          <w:color w:val="000000" w:themeColor="text1"/>
        </w:rPr>
        <w:t>(b)(</w:t>
      </w:r>
      <w:r w:rsidRPr="002418B4" w:rsidR="00BB494B">
        <w:rPr>
          <w:color w:val="000000" w:themeColor="text1"/>
        </w:rPr>
        <w:t>2)(C), 16</w:t>
      </w:r>
      <w:r w:rsidRPr="002418B4" w:rsidR="008F7B98">
        <w:rPr>
          <w:color w:val="000000" w:themeColor="text1"/>
        </w:rPr>
        <w:t>01</w:t>
      </w:r>
      <w:r w:rsidRPr="002418B4" w:rsidR="00CA34DF">
        <w:rPr>
          <w:color w:val="000000" w:themeColor="text1"/>
        </w:rPr>
        <w:t>(c)</w:t>
      </w:r>
      <w:r w:rsidRPr="002418B4">
        <w:rPr>
          <w:color w:val="000000" w:themeColor="text1"/>
        </w:rPr>
        <w:t>.</w:t>
      </w:r>
    </w:p>
  </w:footnote>
  <w:footnote w:id="9">
    <w:p w:rsidR="00037DDB" w:rsidRPr="002418B4" w14:paraId="696CF763" w14:textId="3CE418C4">
      <w:pPr>
        <w:pStyle w:val="FootnoteText"/>
        <w:rPr>
          <w:color w:val="000000" w:themeColor="text1"/>
        </w:rPr>
      </w:pPr>
      <w:r w:rsidRPr="002418B4">
        <w:rPr>
          <w:rStyle w:val="FootnoteReference"/>
          <w:color w:val="000000" w:themeColor="text1"/>
        </w:rPr>
        <w:footnoteRef/>
      </w:r>
      <w:r w:rsidRPr="002418B4" w:rsidR="5E8313D1">
        <w:rPr>
          <w:color w:val="000000" w:themeColor="text1"/>
        </w:rPr>
        <w:t xml:space="preserve"> </w:t>
      </w:r>
      <w:r w:rsidRPr="002418B4" w:rsidR="5E8313D1">
        <w:rPr>
          <w:color w:val="000000" w:themeColor="text1"/>
          <w:lang w:eastAsia="ja-JP"/>
        </w:rPr>
        <w:t>Letter from Kathy Smith, Chief Counsel, National Telecommunications and Information Administration, U.S. Department of Commerce, to Denise Coca, Chief, Telecommunications and Analysis Division, FCC International Bureau at 1 (Nov. 16, 2020) (on file in GN Docket No. 20-111, File Nos. ITC-214-20090105-00006, ITC-214-20090424-00199) (</w:t>
      </w:r>
      <w:r w:rsidRPr="002418B4" w:rsidR="5E8313D1">
        <w:rPr>
          <w:color w:val="000000" w:themeColor="text1"/>
          <w:lang w:eastAsia="ja-JP"/>
        </w:rPr>
        <w:t>PacNet</w:t>
      </w:r>
      <w:r w:rsidRPr="002418B4" w:rsidR="5E8313D1">
        <w:rPr>
          <w:color w:val="000000" w:themeColor="text1"/>
          <w:lang w:eastAsia="ja-JP"/>
        </w:rPr>
        <w:t>/</w:t>
      </w:r>
      <w:r w:rsidRPr="002418B4" w:rsidR="5E8313D1">
        <w:rPr>
          <w:color w:val="000000" w:themeColor="text1"/>
          <w:lang w:eastAsia="ja-JP"/>
        </w:rPr>
        <w:t>ComNet</w:t>
      </w:r>
      <w:r w:rsidRPr="002418B4" w:rsidR="5E8313D1">
        <w:rPr>
          <w:color w:val="000000" w:themeColor="text1"/>
          <w:lang w:eastAsia="ja-JP"/>
        </w:rPr>
        <w:t xml:space="preserve"> Executive Branch Letter).  The interested Executive Branch entities include the Department of Justice, Department of Homeland Security, Department of Defense, Department of Commerce, Department of the Treasury, Department of State, Office of Management and Budget, Office of the U.S. Trade Representative, General Services Administration, and Council of Economic Advisers. </w:t>
      </w:r>
      <w:r w:rsidRPr="002418B4" w:rsidR="5E8313D1">
        <w:rPr>
          <w:color w:val="000000" w:themeColor="text1"/>
        </w:rPr>
        <w:t xml:space="preserve"> </w:t>
      </w:r>
      <w:r w:rsidRPr="002418B4" w:rsidR="5E8313D1">
        <w:rPr>
          <w:i/>
          <w:iCs/>
          <w:color w:val="000000" w:themeColor="text1"/>
        </w:rPr>
        <w:t xml:space="preserve">See </w:t>
      </w:r>
      <w:r w:rsidRPr="002418B4" w:rsidR="5E8313D1">
        <w:rPr>
          <w:color w:val="000000" w:themeColor="text1"/>
        </w:rPr>
        <w:t>PacNet</w:t>
      </w:r>
      <w:r w:rsidRPr="002418B4" w:rsidR="5E8313D1">
        <w:rPr>
          <w:color w:val="000000" w:themeColor="text1"/>
        </w:rPr>
        <w:t>/</w:t>
      </w:r>
      <w:r w:rsidRPr="002418B4" w:rsidR="5E8313D1">
        <w:rPr>
          <w:color w:val="000000" w:themeColor="text1"/>
        </w:rPr>
        <w:t>ComNet</w:t>
      </w:r>
      <w:r w:rsidRPr="002418B4" w:rsidR="5E8313D1">
        <w:rPr>
          <w:color w:val="000000" w:themeColor="text1"/>
        </w:rPr>
        <w:t xml:space="preserve"> Executive Branch Letter at 1 n.3.</w:t>
      </w:r>
    </w:p>
  </w:footnote>
  <w:footnote w:id="10">
    <w:p w:rsidR="00037DDB" w:rsidRPr="002418B4" w14:paraId="48691FAB" w14:textId="2AB4C7DA">
      <w:pPr>
        <w:pStyle w:val="FootnoteText"/>
        <w:rPr>
          <w:color w:val="000000" w:themeColor="text1"/>
        </w:rPr>
      </w:pPr>
      <w:r w:rsidRPr="002418B4">
        <w:rPr>
          <w:rStyle w:val="FootnoteReference"/>
          <w:color w:val="000000" w:themeColor="text1"/>
        </w:rPr>
        <w:footnoteRef/>
      </w:r>
      <w:r w:rsidRPr="002418B4" w:rsidR="5E8313D1">
        <w:rPr>
          <w:color w:val="000000" w:themeColor="text1"/>
        </w:rPr>
        <w:t xml:space="preserve"> </w:t>
      </w:r>
      <w:r w:rsidRPr="002418B4" w:rsidR="5E8313D1">
        <w:rPr>
          <w:color w:val="000000" w:themeColor="text1"/>
          <w:lang w:eastAsia="ja-JP"/>
        </w:rPr>
        <w:t>Letter from Kathy Smith, Chief Counsel, National Telecommunications and Information Administration, U.S. Department of Commerce, to Denise Coca, Chief, Telecommunications and Analysis Division, FCC International Bureau at 1 (Nov. 16, 2020) (on file in GN Docket No. 20-110, File Nos. ITC-214-20020728-00361, ITC-214-20020724-00427) (CUA Executive Branch Letter).</w:t>
      </w:r>
    </w:p>
  </w:footnote>
  <w:footnote w:id="11">
    <w:p w:rsidR="0015750E" w:rsidRPr="002418B4" w:rsidP="0015750E" w14:paraId="66274F29" w14:textId="37831AA9">
      <w:pPr>
        <w:pStyle w:val="FootnoteText"/>
        <w:rPr>
          <w:color w:val="000000" w:themeColor="text1"/>
        </w:rPr>
      </w:pPr>
      <w:r w:rsidRPr="002418B4">
        <w:rPr>
          <w:rStyle w:val="FootnoteReference"/>
          <w:color w:val="000000" w:themeColor="text1"/>
        </w:rPr>
        <w:footnoteRef/>
      </w:r>
      <w:r w:rsidRPr="002418B4">
        <w:rPr>
          <w:color w:val="000000" w:themeColor="text1"/>
        </w:rPr>
        <w:t xml:space="preserve"> </w:t>
      </w:r>
      <w:r w:rsidRPr="002418B4" w:rsidR="00FE0129">
        <w:rPr>
          <w:i/>
          <w:color w:val="000000" w:themeColor="text1"/>
        </w:rPr>
        <w:t xml:space="preserve">See </w:t>
      </w:r>
      <w:r w:rsidRPr="002418B4" w:rsidR="00FE0129">
        <w:rPr>
          <w:color w:val="000000" w:themeColor="text1"/>
          <w:lang w:eastAsia="ja-JP"/>
        </w:rPr>
        <w:t>PacNet</w:t>
      </w:r>
      <w:r w:rsidRPr="002418B4" w:rsidR="00FE0129">
        <w:rPr>
          <w:color w:val="000000" w:themeColor="text1"/>
          <w:lang w:eastAsia="ja-JP"/>
        </w:rPr>
        <w:t>/</w:t>
      </w:r>
      <w:r w:rsidRPr="002418B4" w:rsidR="00FE0129">
        <w:rPr>
          <w:color w:val="000000" w:themeColor="text1"/>
          <w:lang w:eastAsia="ja-JP"/>
        </w:rPr>
        <w:t>ComNet</w:t>
      </w:r>
      <w:r w:rsidRPr="002418B4" w:rsidR="00FE0129">
        <w:rPr>
          <w:color w:val="000000" w:themeColor="text1"/>
          <w:lang w:eastAsia="ja-JP"/>
        </w:rPr>
        <w:t xml:space="preserve"> Executive Branch Letter</w:t>
      </w:r>
      <w:r w:rsidRPr="002418B4" w:rsidR="00577D3D">
        <w:rPr>
          <w:color w:val="000000" w:themeColor="text1"/>
          <w:lang w:eastAsia="ja-JP"/>
        </w:rPr>
        <w:t>; CUA Executive Branch Letter.</w:t>
      </w:r>
    </w:p>
  </w:footnote>
  <w:footnote w:id="12">
    <w:p w:rsidR="00FE0129" w:rsidRPr="002418B4" w:rsidP="5E8313D1" w14:paraId="56D52478" w14:textId="293C1892">
      <w:pPr>
        <w:pStyle w:val="FootnoteText"/>
        <w:rPr>
          <w:i/>
          <w:iCs/>
          <w:color w:val="000000" w:themeColor="text1"/>
          <w:lang w:eastAsia="ja-JP"/>
        </w:rPr>
      </w:pPr>
      <w:r w:rsidRPr="002418B4">
        <w:rPr>
          <w:rStyle w:val="FootnoteReference"/>
          <w:color w:val="000000" w:themeColor="text1"/>
        </w:rPr>
        <w:footnoteRef/>
      </w:r>
      <w:r w:rsidRPr="002418B4" w:rsidR="5E8313D1">
        <w:rPr>
          <w:color w:val="000000" w:themeColor="text1"/>
        </w:rPr>
        <w:t xml:space="preserve"> </w:t>
      </w:r>
      <w:r w:rsidRPr="002418B4" w:rsidR="5E8313D1">
        <w:rPr>
          <w:color w:val="000000" w:themeColor="text1"/>
          <w:lang w:eastAsia="ja-JP"/>
        </w:rPr>
        <w:t>Letter from Lee Licata, Deputy Section Chief for Telecom and Supply Chain, Foreign Investment Review Section, National Security Division, U.S. Department of Justice, to Marlene H. Dortch, Secretary, Federal Communications Commission (Sept. 15, 2022) (on file in WC Docket No. 18-89, ET Docket No. 21-232, EA Docket No. 21-233).  In its letter</w:t>
      </w:r>
      <w:r w:rsidRPr="002418B4" w:rsidR="00FE1E2B">
        <w:rPr>
          <w:color w:val="000000" w:themeColor="text1"/>
          <w:lang w:eastAsia="ja-JP"/>
        </w:rPr>
        <w:t>s</w:t>
      </w:r>
      <w:r w:rsidRPr="002418B4" w:rsidR="5E8313D1">
        <w:rPr>
          <w:color w:val="000000" w:themeColor="text1"/>
          <w:lang w:eastAsia="ja-JP"/>
        </w:rPr>
        <w:t xml:space="preserve">, </w:t>
      </w:r>
      <w:r w:rsidRPr="002418B4" w:rsidR="5E8313D1">
        <w:rPr>
          <w:color w:val="000000" w:themeColor="text1"/>
          <w:lang w:eastAsia="ja-JP"/>
        </w:rPr>
        <w:t>DoJ</w:t>
      </w:r>
      <w:r w:rsidRPr="002418B4" w:rsidR="5E8313D1">
        <w:rPr>
          <w:color w:val="000000" w:themeColor="text1"/>
          <w:lang w:eastAsia="ja-JP"/>
        </w:rPr>
        <w:t xml:space="preserve"> also notes that the </w:t>
      </w:r>
      <w:r w:rsidRPr="002418B4" w:rsidR="5E8313D1">
        <w:rPr>
          <w:color w:val="000000" w:themeColor="text1"/>
          <w:lang w:eastAsia="ja-JP"/>
        </w:rPr>
        <w:t>PacNet</w:t>
      </w:r>
      <w:r w:rsidRPr="002418B4" w:rsidR="5E8313D1">
        <w:rPr>
          <w:color w:val="000000" w:themeColor="text1"/>
          <w:lang w:eastAsia="ja-JP"/>
        </w:rPr>
        <w:t>/</w:t>
      </w:r>
      <w:r w:rsidRPr="002418B4" w:rsidR="5E8313D1">
        <w:rPr>
          <w:color w:val="000000" w:themeColor="text1"/>
          <w:lang w:eastAsia="ja-JP"/>
        </w:rPr>
        <w:t>ComNet</w:t>
      </w:r>
      <w:r w:rsidRPr="002418B4" w:rsidR="5E8313D1">
        <w:rPr>
          <w:color w:val="000000" w:themeColor="text1"/>
          <w:lang w:eastAsia="ja-JP"/>
        </w:rPr>
        <w:t xml:space="preserve"> and China Unicom Executive Branch Letters </w:t>
      </w:r>
      <w:r w:rsidRPr="002418B4" w:rsidR="00A22F78">
        <w:rPr>
          <w:color w:val="000000" w:themeColor="text1"/>
          <w:lang w:eastAsia="ja-JP"/>
        </w:rPr>
        <w:t xml:space="preserve">represented the </w:t>
      </w:r>
      <w:r w:rsidRPr="002418B4" w:rsidR="00CB44EC">
        <w:rPr>
          <w:color w:val="000000" w:themeColor="text1"/>
          <w:lang w:eastAsia="ja-JP"/>
        </w:rPr>
        <w:t>view of</w:t>
      </w:r>
      <w:r w:rsidRPr="002418B4" w:rsidR="5E8313D1">
        <w:rPr>
          <w:color w:val="000000" w:themeColor="text1"/>
          <w:lang w:eastAsia="ja-JP"/>
        </w:rPr>
        <w:t xml:space="preserve"> DoD, wh</w:t>
      </w:r>
      <w:r w:rsidRPr="002418B4" w:rsidR="00553CAA">
        <w:rPr>
          <w:color w:val="000000" w:themeColor="text1"/>
          <w:lang w:eastAsia="ja-JP"/>
        </w:rPr>
        <w:t>ich</w:t>
      </w:r>
      <w:r w:rsidRPr="002418B4" w:rsidR="5E8313D1">
        <w:rPr>
          <w:color w:val="000000" w:themeColor="text1"/>
          <w:lang w:eastAsia="ja-JP"/>
        </w:rPr>
        <w:t xml:space="preserve"> qualifies as an "appropriate national security agency" authorized to make determinations pursuant to section 2 of the Secure Networks Act.  </w:t>
      </w:r>
      <w:r w:rsidRPr="002418B4" w:rsidR="5E8313D1">
        <w:rPr>
          <w:i/>
          <w:iCs/>
          <w:color w:val="000000" w:themeColor="text1"/>
          <w:lang w:eastAsia="ja-JP"/>
        </w:rPr>
        <w:t xml:space="preserve">Id. </w:t>
      </w:r>
      <w:r w:rsidRPr="002418B4" w:rsidR="5E8313D1">
        <w:rPr>
          <w:color w:val="000000" w:themeColor="text1"/>
          <w:lang w:eastAsia="ja-JP"/>
        </w:rPr>
        <w:t>at 2.</w:t>
      </w:r>
    </w:p>
  </w:footnote>
  <w:footnote w:id="13">
    <w:p w:rsidR="006F5C45" w:rsidRPr="002418B4" w14:paraId="65CE6006" w14:textId="1E5CA353">
      <w:pPr>
        <w:pStyle w:val="FootnoteText"/>
        <w:rPr>
          <w:color w:val="000000" w:themeColor="text1"/>
        </w:rPr>
      </w:pPr>
      <w:r w:rsidRPr="002418B4">
        <w:rPr>
          <w:rStyle w:val="FootnoteReference"/>
          <w:color w:val="000000" w:themeColor="text1"/>
        </w:rPr>
        <w:footnoteRef/>
      </w:r>
      <w:r w:rsidRPr="002418B4">
        <w:rPr>
          <w:color w:val="000000" w:themeColor="text1"/>
        </w:rPr>
        <w:t xml:space="preserve"> </w:t>
      </w:r>
      <w:r w:rsidRPr="002418B4" w:rsidR="007D72AC">
        <w:rPr>
          <w:color w:val="000000" w:themeColor="text1"/>
          <w:lang w:eastAsia="ja-JP"/>
        </w:rPr>
        <w:t>PacNet</w:t>
      </w:r>
      <w:r w:rsidRPr="002418B4" w:rsidR="007D72AC">
        <w:rPr>
          <w:color w:val="000000" w:themeColor="text1"/>
          <w:lang w:eastAsia="ja-JP"/>
        </w:rPr>
        <w:t>/</w:t>
      </w:r>
      <w:r w:rsidRPr="002418B4" w:rsidR="007D72AC">
        <w:rPr>
          <w:color w:val="000000" w:themeColor="text1"/>
          <w:lang w:eastAsia="ja-JP"/>
        </w:rPr>
        <w:t>ComNet</w:t>
      </w:r>
      <w:r w:rsidRPr="002418B4" w:rsidR="007D72AC">
        <w:rPr>
          <w:color w:val="000000" w:themeColor="text1"/>
          <w:lang w:eastAsia="ja-JP"/>
        </w:rPr>
        <w:t xml:space="preserve"> Executive Branch Letter at 6.</w:t>
      </w:r>
    </w:p>
  </w:footnote>
  <w:footnote w:id="14">
    <w:p w:rsidR="00F84077" w:rsidRPr="002418B4" w14:paraId="608E89B6" w14:textId="74B4B0E2">
      <w:pPr>
        <w:pStyle w:val="FootnoteText"/>
        <w:rPr>
          <w:color w:val="000000" w:themeColor="text1"/>
        </w:rPr>
      </w:pPr>
      <w:r w:rsidRPr="002418B4">
        <w:rPr>
          <w:rStyle w:val="FootnoteReference"/>
          <w:color w:val="000000" w:themeColor="text1"/>
        </w:rPr>
        <w:footnoteRef/>
      </w:r>
      <w:r w:rsidRPr="002418B4">
        <w:rPr>
          <w:color w:val="000000" w:themeColor="text1"/>
        </w:rPr>
        <w:t xml:space="preserve"> </w:t>
      </w:r>
      <w:r w:rsidRPr="002418B4" w:rsidR="00D3239F">
        <w:rPr>
          <w:color w:val="000000" w:themeColor="text1"/>
          <w:lang w:eastAsia="ja-JP"/>
        </w:rPr>
        <w:t>PacNet</w:t>
      </w:r>
      <w:r w:rsidRPr="002418B4" w:rsidR="00D3239F">
        <w:rPr>
          <w:color w:val="000000" w:themeColor="text1"/>
          <w:lang w:eastAsia="ja-JP"/>
        </w:rPr>
        <w:t>/</w:t>
      </w:r>
      <w:r w:rsidRPr="002418B4" w:rsidR="00D3239F">
        <w:rPr>
          <w:color w:val="000000" w:themeColor="text1"/>
          <w:lang w:eastAsia="ja-JP"/>
        </w:rPr>
        <w:t>ComNet</w:t>
      </w:r>
      <w:r w:rsidRPr="002418B4" w:rsidR="00D3239F">
        <w:rPr>
          <w:color w:val="000000" w:themeColor="text1"/>
          <w:lang w:eastAsia="ja-JP"/>
        </w:rPr>
        <w:t xml:space="preserve"> Executive Branch Letter at 10.</w:t>
      </w:r>
    </w:p>
  </w:footnote>
  <w:footnote w:id="15">
    <w:p w:rsidR="00D3239F" w:rsidRPr="002418B4" w14:paraId="66A40D2C" w14:textId="48440626">
      <w:pPr>
        <w:pStyle w:val="FootnoteText"/>
        <w:rPr>
          <w:color w:val="000000" w:themeColor="text1"/>
        </w:rPr>
      </w:pPr>
      <w:r w:rsidRPr="002418B4">
        <w:rPr>
          <w:rStyle w:val="FootnoteReference"/>
          <w:color w:val="000000" w:themeColor="text1"/>
        </w:rPr>
        <w:footnoteRef/>
      </w:r>
      <w:r w:rsidRPr="002418B4">
        <w:rPr>
          <w:color w:val="000000" w:themeColor="text1"/>
        </w:rPr>
        <w:t xml:space="preserve"> </w:t>
      </w:r>
      <w:r w:rsidRPr="002418B4">
        <w:rPr>
          <w:color w:val="000000" w:themeColor="text1"/>
          <w:lang w:eastAsia="ja-JP"/>
        </w:rPr>
        <w:t>PacNet</w:t>
      </w:r>
      <w:r w:rsidRPr="002418B4">
        <w:rPr>
          <w:color w:val="000000" w:themeColor="text1"/>
          <w:lang w:eastAsia="ja-JP"/>
        </w:rPr>
        <w:t>/</w:t>
      </w:r>
      <w:r w:rsidRPr="002418B4">
        <w:rPr>
          <w:color w:val="000000" w:themeColor="text1"/>
          <w:lang w:eastAsia="ja-JP"/>
        </w:rPr>
        <w:t>ComNet</w:t>
      </w:r>
      <w:r w:rsidRPr="002418B4">
        <w:rPr>
          <w:color w:val="000000" w:themeColor="text1"/>
          <w:lang w:eastAsia="ja-JP"/>
        </w:rPr>
        <w:t xml:space="preserve"> Executive Branch Letter at 10-11.</w:t>
      </w:r>
    </w:p>
  </w:footnote>
  <w:footnote w:id="16">
    <w:p w:rsidR="00E828A2" w:rsidRPr="002418B4" w14:paraId="220CEC10" w14:textId="6DB993DA">
      <w:pPr>
        <w:pStyle w:val="FootnoteText"/>
        <w:rPr>
          <w:color w:val="000000" w:themeColor="text1"/>
        </w:rPr>
      </w:pPr>
      <w:r w:rsidRPr="002418B4">
        <w:rPr>
          <w:rStyle w:val="FootnoteReference"/>
          <w:color w:val="000000" w:themeColor="text1"/>
        </w:rPr>
        <w:footnoteRef/>
      </w:r>
      <w:r w:rsidRPr="002418B4">
        <w:rPr>
          <w:color w:val="000000" w:themeColor="text1"/>
        </w:rPr>
        <w:t xml:space="preserve"> </w:t>
      </w:r>
      <w:r w:rsidRPr="002418B4" w:rsidR="00D3239F">
        <w:rPr>
          <w:color w:val="000000" w:themeColor="text1"/>
          <w:lang w:eastAsia="ja-JP"/>
        </w:rPr>
        <w:t>CUA Executive Branch Letter at 2, 2-6.</w:t>
      </w:r>
    </w:p>
  </w:footnote>
  <w:footnote w:id="17">
    <w:p w:rsidR="00E828A2" w:rsidRPr="002418B4" w14:paraId="26E598E3" w14:textId="0187586F">
      <w:pPr>
        <w:pStyle w:val="FootnoteText"/>
        <w:rPr>
          <w:color w:val="000000" w:themeColor="text1"/>
        </w:rPr>
      </w:pPr>
      <w:r w:rsidRPr="002418B4">
        <w:rPr>
          <w:rStyle w:val="FootnoteReference"/>
          <w:color w:val="000000" w:themeColor="text1"/>
        </w:rPr>
        <w:footnoteRef/>
      </w:r>
      <w:r w:rsidRPr="002418B4" w:rsidR="25473B08">
        <w:rPr>
          <w:color w:val="000000" w:themeColor="text1"/>
        </w:rPr>
        <w:t xml:space="preserve"> </w:t>
      </w:r>
      <w:r w:rsidRPr="002418B4" w:rsidR="25473B08">
        <w:rPr>
          <w:color w:val="000000" w:themeColor="text1"/>
          <w:lang w:eastAsia="ja-JP"/>
        </w:rPr>
        <w:t>CUA Executive Branch Letter at 2, 6-11.</w:t>
      </w:r>
    </w:p>
  </w:footnote>
  <w:footnote w:id="18">
    <w:p w:rsidR="00E828A2" w:rsidRPr="002418B4" w14:paraId="3216F767" w14:textId="7C962668">
      <w:pPr>
        <w:pStyle w:val="FootnoteText"/>
        <w:rPr>
          <w:color w:val="000000" w:themeColor="text1"/>
        </w:rPr>
      </w:pPr>
      <w:r w:rsidRPr="002418B4">
        <w:rPr>
          <w:rStyle w:val="FootnoteReference"/>
          <w:color w:val="000000" w:themeColor="text1"/>
        </w:rPr>
        <w:footnoteRef/>
      </w:r>
      <w:r w:rsidRPr="002418B4">
        <w:rPr>
          <w:color w:val="000000" w:themeColor="text1"/>
        </w:rPr>
        <w:t xml:space="preserve"> </w:t>
      </w:r>
      <w:r w:rsidRPr="002418B4" w:rsidR="006721D3">
        <w:rPr>
          <w:color w:val="000000" w:themeColor="text1"/>
          <w:lang w:eastAsia="ja-JP"/>
        </w:rPr>
        <w:t>CUA Executive Branch Letter at 2-9</w:t>
      </w:r>
      <w:r w:rsidRPr="002418B4" w:rsidR="00752C37">
        <w:rPr>
          <w:color w:val="000000" w:themeColor="text1"/>
          <w:lang w:eastAsia="ja-JP"/>
        </w:rPr>
        <w:t>.</w:t>
      </w:r>
    </w:p>
  </w:footnote>
  <w:footnote w:id="19">
    <w:p w:rsidR="004C0CA6" w:rsidRPr="002418B4" w14:paraId="1C473090" w14:textId="375C2F75">
      <w:pPr>
        <w:pStyle w:val="FootnoteText"/>
        <w:rPr>
          <w:color w:val="000000" w:themeColor="text1"/>
        </w:rPr>
      </w:pPr>
      <w:r w:rsidRPr="002418B4">
        <w:rPr>
          <w:rStyle w:val="FootnoteReference"/>
          <w:color w:val="000000" w:themeColor="text1"/>
        </w:rPr>
        <w:footnoteRef/>
      </w:r>
      <w:r w:rsidRPr="002418B4">
        <w:rPr>
          <w:color w:val="000000" w:themeColor="text1"/>
        </w:rPr>
        <w:t xml:space="preserve"> </w:t>
      </w:r>
      <w:r w:rsidRPr="002418B4" w:rsidR="006721D3">
        <w:rPr>
          <w:color w:val="000000" w:themeColor="text1"/>
          <w:lang w:eastAsia="ja-JP"/>
        </w:rPr>
        <w:t>CUA Executive Branch Letter</w:t>
      </w:r>
      <w:r w:rsidRPr="002418B4" w:rsidR="006721D3">
        <w:rPr>
          <w:i/>
          <w:iCs/>
          <w:color w:val="000000" w:themeColor="text1"/>
        </w:rPr>
        <w:t xml:space="preserve"> </w:t>
      </w:r>
      <w:r w:rsidRPr="002418B4" w:rsidR="006721D3">
        <w:rPr>
          <w:iCs/>
          <w:color w:val="000000" w:themeColor="text1"/>
        </w:rPr>
        <w:t>at 2, 34-35.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41259F0" w14:textId="5C9D8E75">
    <w:pPr>
      <w:tabs>
        <w:tab w:val="center" w:pos="4680"/>
        <w:tab w:val="right" w:pos="9360"/>
      </w:tabs>
    </w:pPr>
    <w:r w:rsidRPr="009838BC">
      <w:rPr>
        <w:b/>
      </w:rPr>
      <w:tab/>
      <w:t>Federal Communications Commission</w:t>
    </w:r>
    <w:r w:rsidRPr="009838BC">
      <w:rPr>
        <w:b/>
      </w:rPr>
      <w:tab/>
    </w:r>
    <w:r w:rsidR="002C6E0B">
      <w:rPr>
        <w:b/>
      </w:rPr>
      <w:t>DA 22-</w:t>
    </w:r>
    <w:r w:rsidRPr="00452805" w:rsidR="00452805">
      <w:rPr>
        <w:b/>
      </w:rPr>
      <w:t>979</w:t>
    </w:r>
  </w:p>
  <w:p w:rsidR="009838BC" w:rsidRPr="009838BC" w:rsidP="009838BC" w14:paraId="2F113C5B"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w10:wrap anchorx="margin"/>
            </v:rect>
          </w:pict>
        </mc:Fallback>
      </mc:AlternateContent>
    </w:r>
  </w:p>
  <w:p w:rsidR="009838BC" w:rsidRPr="009838BC" w:rsidP="009838BC" w14:paraId="434545A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D7EF673" w14:textId="77777777">
    <w:pPr>
      <w:spacing w:before="40"/>
      <w:rPr>
        <w:rFonts w:ascii="Arial" w:hAnsi="Arial" w:cs="Arial"/>
        <w:b/>
        <w:sz w:val="96"/>
      </w:rPr>
    </w:pPr>
    <w:r>
      <w:rPr>
        <w:noProof/>
      </w:rPr>
      <mc:AlternateContent>
        <mc:Choice Requires="wps">
          <w:drawing>
            <wp:anchor distT="0" distB="0" distL="114300" distR="114300" simplePos="0" relativeHeight="251659264"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w:t>
                          </w:r>
                          <w:r w:rsidR="0041731F">
                            <w:rPr>
                              <w:rFonts w:ascii="Arial" w:hAnsi="Arial"/>
                              <w:b/>
                            </w:rPr>
                            <w:t>5 L St., N.E.</w:t>
                          </w:r>
                        </w:p>
                        <w:p w:rsidR="009838BC" w:rsidP="009838BC" w14:textId="77777777">
                          <w:pPr>
                            <w:rPr>
                              <w:rFonts w:ascii="Arial" w:hAnsi="Arial"/>
                              <w:sz w:val="24"/>
                            </w:rPr>
                          </w:pPr>
                          <w:r>
                            <w:rPr>
                              <w:rFonts w:ascii="Arial" w:hAnsi="Arial"/>
                              <w:b/>
                            </w:rPr>
                            <w:t xml:space="preserve">Washington, D.C. </w:t>
                          </w:r>
                          <w:r w:rsidR="00A86ECB">
                            <w:rPr>
                              <w:rFonts w:ascii="Arial" w:hAnsi="Arial"/>
                              <w:b/>
                            </w:rPr>
                            <w:t>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0288" o:allowincell="f" stroked="f">
              <v:textbox>
                <w:txbxContent>
                  <w:p w:rsidR="009838BC" w:rsidP="009838BC" w14:paraId="4EDFA85F" w14:textId="77777777">
                    <w:pPr>
                      <w:rPr>
                        <w:rFonts w:ascii="Arial" w:hAnsi="Arial"/>
                        <w:b/>
                      </w:rPr>
                    </w:pPr>
                    <w:r>
                      <w:rPr>
                        <w:rFonts w:ascii="Arial" w:hAnsi="Arial"/>
                        <w:b/>
                      </w:rPr>
                      <w:t>Federal Communications Commission</w:t>
                    </w:r>
                  </w:p>
                  <w:p w:rsidR="009838BC" w:rsidP="009838BC" w14:paraId="754B301B" w14:textId="77777777">
                    <w:pPr>
                      <w:rPr>
                        <w:rFonts w:ascii="Arial" w:hAnsi="Arial"/>
                        <w:b/>
                      </w:rPr>
                    </w:pPr>
                    <w:r>
                      <w:rPr>
                        <w:rFonts w:ascii="Arial" w:hAnsi="Arial"/>
                        <w:b/>
                      </w:rPr>
                      <w:t>4</w:t>
                    </w:r>
                    <w:r w:rsidR="0041731F">
                      <w:rPr>
                        <w:rFonts w:ascii="Arial" w:hAnsi="Arial"/>
                        <w:b/>
                      </w:rPr>
                      <w:t>5 L St., N.E.</w:t>
                    </w:r>
                  </w:p>
                  <w:p w:rsidR="009838BC" w:rsidP="009838BC" w14:paraId="608175B7" w14:textId="77777777">
                    <w:pPr>
                      <w:rPr>
                        <w:rFonts w:ascii="Arial" w:hAnsi="Arial"/>
                        <w:sz w:val="24"/>
                      </w:rPr>
                    </w:pPr>
                    <w:r>
                      <w:rPr>
                        <w:rFonts w:ascii="Arial" w:hAnsi="Arial"/>
                        <w:b/>
                      </w:rPr>
                      <w:t xml:space="preserve">Washington, D.C. </w:t>
                    </w:r>
                    <w:r w:rsidR="00A86ECB">
                      <w:rPr>
                        <w:rFonts w:ascii="Arial" w:hAnsi="Arial"/>
                        <w:b/>
                      </w:rPr>
                      <w:t>20554</w:t>
                    </w:r>
                  </w:p>
                </w:txbxContent>
              </v:textbox>
              <w10:wrap anchorx="margin"/>
            </v:shape>
          </w:pict>
        </mc:Fallback>
      </mc:AlternateContent>
    </w:r>
    <w:r w:rsidR="00504C43">
      <w:rPr>
        <w:noProof/>
      </w:rPr>
      <w:drawing>
        <wp:anchor distT="0" distB="0" distL="114300" distR="114300" simplePos="0" relativeHeight="251661312"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6" name="Picture 1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41E9C31D" w:rsidR="41E9C31D">
      <w:rPr>
        <w:rFonts w:ascii="Arial" w:hAnsi="Arial" w:cs="Arial"/>
        <w:b/>
        <w:bCs/>
        <w:sz w:val="96"/>
        <w:szCs w:val="96"/>
      </w:rPr>
      <w:t>PUBLIC NOTICE</w:t>
    </w:r>
  </w:p>
  <w:p w:rsidR="009838BC" w:rsidRPr="00357D50" w:rsidP="009838BC" w14:paraId="3AC17DA8" w14:textId="77777777">
    <w:pPr>
      <w:spacing w:before="40"/>
      <w:rPr>
        <w:rFonts w:ascii="Arial" w:hAnsi="Arial" w:cs="Arial"/>
        <w:b/>
        <w:sz w:val="96"/>
      </w:rPr>
    </w:pPr>
    <w:r>
      <w:rPr>
        <w:noProof/>
      </w:rPr>
      <mc:AlternateContent>
        <mc:Choice Requires="wps">
          <w:drawing>
            <wp:anchor distT="0" distB="0" distL="114300" distR="114300" simplePos="0" relativeHeight="251662336"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6432"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1A324349" w14:textId="77777777">
                    <w:pPr>
                      <w:spacing w:before="40"/>
                      <w:jc w:val="right"/>
                      <w:rPr>
                        <w:rFonts w:ascii="Arial" w:hAnsi="Arial"/>
                        <w:b/>
                        <w:sz w:val="16"/>
                      </w:rPr>
                    </w:pPr>
                    <w:r>
                      <w:rPr>
                        <w:rFonts w:ascii="Arial" w:hAnsi="Arial"/>
                        <w:b/>
                        <w:sz w:val="16"/>
                      </w:rPr>
                      <w:t>News Media Information 202 / 418-0500</w:t>
                    </w:r>
                  </w:p>
                  <w:p w:rsidR="009838BC" w:rsidP="009838BC" w14:paraId="154C1885"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2355675B" w14:textId="77777777">
                    <w:pPr>
                      <w:jc w:val="right"/>
                    </w:pPr>
                    <w:r>
                      <w:rPr>
                        <w:rFonts w:ascii="Arial" w:hAnsi="Arial"/>
                        <w:b/>
                        <w:sz w:val="16"/>
                      </w:rPr>
                      <w:t>TTY: 1-888-835-5322</w:t>
                    </w:r>
                  </w:p>
                </w:txbxContent>
              </v:textbox>
            </v:shape>
          </w:pict>
        </mc:Fallback>
      </mc:AlternateContent>
    </w:r>
  </w:p>
  <w:p w:rsidR="006F7393" w:rsidRPr="009838BC" w:rsidP="009838BC" w14:paraId="2BFE74D1"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firstLine="720"/>
      </w:pPr>
      <w:rPr>
        <w:rFonts w:cs="Times New Roman"/>
      </w:r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firstLine="720"/>
      </w:pPr>
      <w:rPr>
        <w:rFonts w:cs="Times New Roman"/>
      </w:r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4">
    <w:nsid w:val="4DF61CE4"/>
    <w:multiLevelType w:val="multilevel"/>
    <w:tmpl w:val="F1A86982"/>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5">
    <w:nsid w:val="5FE52D17"/>
    <w:multiLevelType w:val="hybridMultilevel"/>
    <w:tmpl w:val="32F8E0F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6">
    <w:nsid w:val="61182925"/>
    <w:multiLevelType w:val="singleLevel"/>
    <w:tmpl w:val="A4D2861E"/>
    <w:lvl w:ilvl="0">
      <w:start w:val="1"/>
      <w:numFmt w:val="decimal"/>
      <w:pStyle w:val="ParaNum"/>
      <w:lvlText w:val="%1."/>
      <w:lvlJc w:val="left"/>
      <w:pPr>
        <w:tabs>
          <w:tab w:val="num" w:pos="1080"/>
        </w:tabs>
        <w:ind w:firstLine="720"/>
      </w:pPr>
      <w:rPr>
        <w:rFonts w:cs="Times New Roman"/>
        <w:b w:val="0"/>
        <w:bCs w:val="0"/>
      </w:rPr>
    </w:lvl>
  </w:abstractNum>
  <w:abstractNum w:abstractNumId="7">
    <w:nsid w:val="7B083CD9"/>
    <w:multiLevelType w:val="hybridMultilevel"/>
    <w:tmpl w:val="C8DE9F58"/>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6"/>
    <w:lvlOverride w:ilvl="0">
      <w:startOverride w:val="1"/>
    </w:lvlOverride>
  </w:num>
  <w:num w:numId="8">
    <w:abstractNumId w:val="5"/>
  </w:num>
  <w:num w:numId="9">
    <w:abstractNumId w:val="6"/>
    <w:lvlOverride w:ilvl="0">
      <w:startOverride w:val="1"/>
    </w:lvlOverride>
  </w:num>
  <w:num w:numId="10">
    <w:abstractNumId w:val="6"/>
    <w:lvlOverride w:ilvl="0">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C17"/>
    <w:rsid w:val="000036A0"/>
    <w:rsid w:val="00006FFA"/>
    <w:rsid w:val="00007120"/>
    <w:rsid w:val="000072CE"/>
    <w:rsid w:val="00007D76"/>
    <w:rsid w:val="00013A8B"/>
    <w:rsid w:val="00015530"/>
    <w:rsid w:val="00016DD9"/>
    <w:rsid w:val="00021445"/>
    <w:rsid w:val="00021FDD"/>
    <w:rsid w:val="00022510"/>
    <w:rsid w:val="00023C85"/>
    <w:rsid w:val="00023EEF"/>
    <w:rsid w:val="00025557"/>
    <w:rsid w:val="000308F5"/>
    <w:rsid w:val="00033CAC"/>
    <w:rsid w:val="000344D4"/>
    <w:rsid w:val="00035A85"/>
    <w:rsid w:val="00036039"/>
    <w:rsid w:val="00037626"/>
    <w:rsid w:val="00037DDB"/>
    <w:rsid w:val="00037F90"/>
    <w:rsid w:val="00040912"/>
    <w:rsid w:val="00040F37"/>
    <w:rsid w:val="00044E12"/>
    <w:rsid w:val="0004655D"/>
    <w:rsid w:val="000475FE"/>
    <w:rsid w:val="0004782E"/>
    <w:rsid w:val="00047F09"/>
    <w:rsid w:val="00051CBC"/>
    <w:rsid w:val="00052512"/>
    <w:rsid w:val="00053094"/>
    <w:rsid w:val="000549CF"/>
    <w:rsid w:val="00055760"/>
    <w:rsid w:val="000564C3"/>
    <w:rsid w:val="000602BE"/>
    <w:rsid w:val="0006118C"/>
    <w:rsid w:val="000614DD"/>
    <w:rsid w:val="000644CE"/>
    <w:rsid w:val="00067DB1"/>
    <w:rsid w:val="00070824"/>
    <w:rsid w:val="00070C78"/>
    <w:rsid w:val="000713BD"/>
    <w:rsid w:val="0007452C"/>
    <w:rsid w:val="000750A7"/>
    <w:rsid w:val="00076C48"/>
    <w:rsid w:val="0008018E"/>
    <w:rsid w:val="00081796"/>
    <w:rsid w:val="000842C6"/>
    <w:rsid w:val="0008541F"/>
    <w:rsid w:val="000871B8"/>
    <w:rsid w:val="000872D7"/>
    <w:rsid w:val="000875BF"/>
    <w:rsid w:val="00091FB5"/>
    <w:rsid w:val="00092756"/>
    <w:rsid w:val="00093527"/>
    <w:rsid w:val="00093E51"/>
    <w:rsid w:val="00095665"/>
    <w:rsid w:val="000959B6"/>
    <w:rsid w:val="00096D8C"/>
    <w:rsid w:val="000972E6"/>
    <w:rsid w:val="0009743B"/>
    <w:rsid w:val="00097708"/>
    <w:rsid w:val="000A10C0"/>
    <w:rsid w:val="000A18B4"/>
    <w:rsid w:val="000A2A00"/>
    <w:rsid w:val="000A2A17"/>
    <w:rsid w:val="000A3A7B"/>
    <w:rsid w:val="000A3E55"/>
    <w:rsid w:val="000A595D"/>
    <w:rsid w:val="000A626E"/>
    <w:rsid w:val="000A74A6"/>
    <w:rsid w:val="000A78F4"/>
    <w:rsid w:val="000A79C3"/>
    <w:rsid w:val="000B03CD"/>
    <w:rsid w:val="000B1C03"/>
    <w:rsid w:val="000B3A6A"/>
    <w:rsid w:val="000B60F0"/>
    <w:rsid w:val="000B695A"/>
    <w:rsid w:val="000C0B65"/>
    <w:rsid w:val="000C0F79"/>
    <w:rsid w:val="000C52B1"/>
    <w:rsid w:val="000C554B"/>
    <w:rsid w:val="000C66C7"/>
    <w:rsid w:val="000C6E73"/>
    <w:rsid w:val="000D2025"/>
    <w:rsid w:val="000D43AE"/>
    <w:rsid w:val="000D56C7"/>
    <w:rsid w:val="000D6527"/>
    <w:rsid w:val="000D6E8A"/>
    <w:rsid w:val="000D767D"/>
    <w:rsid w:val="000D7979"/>
    <w:rsid w:val="000E055E"/>
    <w:rsid w:val="000E3D42"/>
    <w:rsid w:val="000E41FB"/>
    <w:rsid w:val="000E5884"/>
    <w:rsid w:val="000F1542"/>
    <w:rsid w:val="000F4646"/>
    <w:rsid w:val="000F4A62"/>
    <w:rsid w:val="000F5127"/>
    <w:rsid w:val="000F53A4"/>
    <w:rsid w:val="000F6A2C"/>
    <w:rsid w:val="000F7869"/>
    <w:rsid w:val="000F7CD8"/>
    <w:rsid w:val="00101E4C"/>
    <w:rsid w:val="001044DD"/>
    <w:rsid w:val="001128B4"/>
    <w:rsid w:val="001154B0"/>
    <w:rsid w:val="0012028E"/>
    <w:rsid w:val="00120C77"/>
    <w:rsid w:val="00120DA5"/>
    <w:rsid w:val="00121751"/>
    <w:rsid w:val="00122BD5"/>
    <w:rsid w:val="0012368F"/>
    <w:rsid w:val="00124D4F"/>
    <w:rsid w:val="001340C1"/>
    <w:rsid w:val="0013461B"/>
    <w:rsid w:val="00135978"/>
    <w:rsid w:val="00136FBD"/>
    <w:rsid w:val="001378E8"/>
    <w:rsid w:val="00141647"/>
    <w:rsid w:val="00141DF4"/>
    <w:rsid w:val="001433FB"/>
    <w:rsid w:val="00143FDA"/>
    <w:rsid w:val="00145AD5"/>
    <w:rsid w:val="0014759E"/>
    <w:rsid w:val="001528C7"/>
    <w:rsid w:val="001534B0"/>
    <w:rsid w:val="00154C85"/>
    <w:rsid w:val="00156200"/>
    <w:rsid w:val="0015750E"/>
    <w:rsid w:val="00160DB7"/>
    <w:rsid w:val="0016146B"/>
    <w:rsid w:val="0016213D"/>
    <w:rsid w:val="00162E7E"/>
    <w:rsid w:val="001653C7"/>
    <w:rsid w:val="00165963"/>
    <w:rsid w:val="0017088F"/>
    <w:rsid w:val="00171FF7"/>
    <w:rsid w:val="00180756"/>
    <w:rsid w:val="00181E76"/>
    <w:rsid w:val="00186F48"/>
    <w:rsid w:val="001873D8"/>
    <w:rsid w:val="00193E11"/>
    <w:rsid w:val="00193E3A"/>
    <w:rsid w:val="00194D56"/>
    <w:rsid w:val="001979D9"/>
    <w:rsid w:val="001A2128"/>
    <w:rsid w:val="001A741B"/>
    <w:rsid w:val="001A7AAE"/>
    <w:rsid w:val="001A7D7E"/>
    <w:rsid w:val="001B1624"/>
    <w:rsid w:val="001B3EB2"/>
    <w:rsid w:val="001D012F"/>
    <w:rsid w:val="001D6BCF"/>
    <w:rsid w:val="001E01CA"/>
    <w:rsid w:val="001E0B63"/>
    <w:rsid w:val="001E0DDA"/>
    <w:rsid w:val="001E22D5"/>
    <w:rsid w:val="001E5CF8"/>
    <w:rsid w:val="001E6BA7"/>
    <w:rsid w:val="001F07C1"/>
    <w:rsid w:val="001F1525"/>
    <w:rsid w:val="001F1542"/>
    <w:rsid w:val="001F1B47"/>
    <w:rsid w:val="001F46BE"/>
    <w:rsid w:val="00200524"/>
    <w:rsid w:val="00203B23"/>
    <w:rsid w:val="0020456A"/>
    <w:rsid w:val="00204A17"/>
    <w:rsid w:val="00204B5C"/>
    <w:rsid w:val="002060D9"/>
    <w:rsid w:val="00207D3D"/>
    <w:rsid w:val="002108F8"/>
    <w:rsid w:val="00211434"/>
    <w:rsid w:val="002141D4"/>
    <w:rsid w:val="00217381"/>
    <w:rsid w:val="00217FD7"/>
    <w:rsid w:val="0022124D"/>
    <w:rsid w:val="002212DF"/>
    <w:rsid w:val="00222177"/>
    <w:rsid w:val="002222C0"/>
    <w:rsid w:val="00226822"/>
    <w:rsid w:val="00240FBE"/>
    <w:rsid w:val="002418B4"/>
    <w:rsid w:val="00243F1A"/>
    <w:rsid w:val="00245546"/>
    <w:rsid w:val="00250142"/>
    <w:rsid w:val="0025085C"/>
    <w:rsid w:val="00251915"/>
    <w:rsid w:val="00252D7F"/>
    <w:rsid w:val="00253E26"/>
    <w:rsid w:val="00254126"/>
    <w:rsid w:val="00254E39"/>
    <w:rsid w:val="002553B6"/>
    <w:rsid w:val="00255612"/>
    <w:rsid w:val="00255729"/>
    <w:rsid w:val="0025580E"/>
    <w:rsid w:val="00260594"/>
    <w:rsid w:val="0026147D"/>
    <w:rsid w:val="0026152D"/>
    <w:rsid w:val="00261579"/>
    <w:rsid w:val="0026161A"/>
    <w:rsid w:val="00264FD3"/>
    <w:rsid w:val="002664F9"/>
    <w:rsid w:val="002700B1"/>
    <w:rsid w:val="00270383"/>
    <w:rsid w:val="002703C9"/>
    <w:rsid w:val="00270C8A"/>
    <w:rsid w:val="00272214"/>
    <w:rsid w:val="002733F5"/>
    <w:rsid w:val="002746E1"/>
    <w:rsid w:val="00274DB9"/>
    <w:rsid w:val="00275CBD"/>
    <w:rsid w:val="002762A1"/>
    <w:rsid w:val="00280133"/>
    <w:rsid w:val="002809EB"/>
    <w:rsid w:val="00281336"/>
    <w:rsid w:val="0028147A"/>
    <w:rsid w:val="00281B71"/>
    <w:rsid w:val="00285017"/>
    <w:rsid w:val="00285792"/>
    <w:rsid w:val="00285868"/>
    <w:rsid w:val="00285B8D"/>
    <w:rsid w:val="00286AF2"/>
    <w:rsid w:val="00291933"/>
    <w:rsid w:val="00292798"/>
    <w:rsid w:val="00294497"/>
    <w:rsid w:val="002949E2"/>
    <w:rsid w:val="00294DEA"/>
    <w:rsid w:val="002A0F52"/>
    <w:rsid w:val="002A15AD"/>
    <w:rsid w:val="002A2D2E"/>
    <w:rsid w:val="002A2EDB"/>
    <w:rsid w:val="002A4A33"/>
    <w:rsid w:val="002A4A94"/>
    <w:rsid w:val="002A4EF8"/>
    <w:rsid w:val="002A785A"/>
    <w:rsid w:val="002B029B"/>
    <w:rsid w:val="002B301A"/>
    <w:rsid w:val="002B4B71"/>
    <w:rsid w:val="002B5D13"/>
    <w:rsid w:val="002B5EA3"/>
    <w:rsid w:val="002B6D73"/>
    <w:rsid w:val="002C064E"/>
    <w:rsid w:val="002C0BAE"/>
    <w:rsid w:val="002C1041"/>
    <w:rsid w:val="002C1E1A"/>
    <w:rsid w:val="002C21CD"/>
    <w:rsid w:val="002C3665"/>
    <w:rsid w:val="002C386A"/>
    <w:rsid w:val="002C5A25"/>
    <w:rsid w:val="002C6A5F"/>
    <w:rsid w:val="002C6E0B"/>
    <w:rsid w:val="002C7AAD"/>
    <w:rsid w:val="002D6875"/>
    <w:rsid w:val="002D70A1"/>
    <w:rsid w:val="002D7FE7"/>
    <w:rsid w:val="002E14C8"/>
    <w:rsid w:val="002E19F3"/>
    <w:rsid w:val="002E1D6A"/>
    <w:rsid w:val="002E23A9"/>
    <w:rsid w:val="002E7DB0"/>
    <w:rsid w:val="002E7FD2"/>
    <w:rsid w:val="002F0542"/>
    <w:rsid w:val="002F0C76"/>
    <w:rsid w:val="002F1A34"/>
    <w:rsid w:val="002F1A37"/>
    <w:rsid w:val="002F2C96"/>
    <w:rsid w:val="002F4ADD"/>
    <w:rsid w:val="002F5468"/>
    <w:rsid w:val="002F6AFC"/>
    <w:rsid w:val="002F7461"/>
    <w:rsid w:val="00300584"/>
    <w:rsid w:val="00302004"/>
    <w:rsid w:val="003035E3"/>
    <w:rsid w:val="0030591E"/>
    <w:rsid w:val="003157B1"/>
    <w:rsid w:val="00315F78"/>
    <w:rsid w:val="00320E33"/>
    <w:rsid w:val="0032150B"/>
    <w:rsid w:val="00322932"/>
    <w:rsid w:val="003241F5"/>
    <w:rsid w:val="0032586C"/>
    <w:rsid w:val="00326B53"/>
    <w:rsid w:val="00326C84"/>
    <w:rsid w:val="00326CC7"/>
    <w:rsid w:val="00331948"/>
    <w:rsid w:val="00333640"/>
    <w:rsid w:val="00333B4F"/>
    <w:rsid w:val="003350F6"/>
    <w:rsid w:val="003405DB"/>
    <w:rsid w:val="003413AF"/>
    <w:rsid w:val="003418D1"/>
    <w:rsid w:val="0034299F"/>
    <w:rsid w:val="00342F26"/>
    <w:rsid w:val="00343749"/>
    <w:rsid w:val="003437FC"/>
    <w:rsid w:val="00347A6D"/>
    <w:rsid w:val="0035239D"/>
    <w:rsid w:val="00354277"/>
    <w:rsid w:val="00354EEB"/>
    <w:rsid w:val="00357D50"/>
    <w:rsid w:val="00360EF7"/>
    <w:rsid w:val="00361C1D"/>
    <w:rsid w:val="00362521"/>
    <w:rsid w:val="00363C0B"/>
    <w:rsid w:val="00364588"/>
    <w:rsid w:val="003666D7"/>
    <w:rsid w:val="003679DD"/>
    <w:rsid w:val="00370F2E"/>
    <w:rsid w:val="00372956"/>
    <w:rsid w:val="00373177"/>
    <w:rsid w:val="0037392D"/>
    <w:rsid w:val="00380189"/>
    <w:rsid w:val="00380825"/>
    <w:rsid w:val="00380C26"/>
    <w:rsid w:val="00380E05"/>
    <w:rsid w:val="00380F4C"/>
    <w:rsid w:val="00382BE9"/>
    <w:rsid w:val="003925DC"/>
    <w:rsid w:val="0039597A"/>
    <w:rsid w:val="00395BCC"/>
    <w:rsid w:val="00396649"/>
    <w:rsid w:val="00396952"/>
    <w:rsid w:val="003A0B0E"/>
    <w:rsid w:val="003A15C8"/>
    <w:rsid w:val="003A3267"/>
    <w:rsid w:val="003A5191"/>
    <w:rsid w:val="003A6213"/>
    <w:rsid w:val="003A7B5A"/>
    <w:rsid w:val="003B0550"/>
    <w:rsid w:val="003B2EC4"/>
    <w:rsid w:val="003B694F"/>
    <w:rsid w:val="003B6DD4"/>
    <w:rsid w:val="003B6EE4"/>
    <w:rsid w:val="003C0B13"/>
    <w:rsid w:val="003C6537"/>
    <w:rsid w:val="003C6FA1"/>
    <w:rsid w:val="003D1EA9"/>
    <w:rsid w:val="003D5DD6"/>
    <w:rsid w:val="003D7B34"/>
    <w:rsid w:val="003E355D"/>
    <w:rsid w:val="003F06F0"/>
    <w:rsid w:val="003F171C"/>
    <w:rsid w:val="003F6670"/>
    <w:rsid w:val="003F7305"/>
    <w:rsid w:val="00400422"/>
    <w:rsid w:val="00400E92"/>
    <w:rsid w:val="00403679"/>
    <w:rsid w:val="004037DD"/>
    <w:rsid w:val="00403C3B"/>
    <w:rsid w:val="004040FC"/>
    <w:rsid w:val="0040599A"/>
    <w:rsid w:val="004112B9"/>
    <w:rsid w:val="00412FC5"/>
    <w:rsid w:val="0041336D"/>
    <w:rsid w:val="00413AF1"/>
    <w:rsid w:val="00413FD5"/>
    <w:rsid w:val="00416FEB"/>
    <w:rsid w:val="0041725A"/>
    <w:rsid w:val="0041731F"/>
    <w:rsid w:val="00422276"/>
    <w:rsid w:val="004242F1"/>
    <w:rsid w:val="00431D1E"/>
    <w:rsid w:val="00432A42"/>
    <w:rsid w:val="00435471"/>
    <w:rsid w:val="004402AC"/>
    <w:rsid w:val="00440C3F"/>
    <w:rsid w:val="00445A00"/>
    <w:rsid w:val="0045103C"/>
    <w:rsid w:val="00451B0F"/>
    <w:rsid w:val="00452805"/>
    <w:rsid w:val="0045370F"/>
    <w:rsid w:val="00460463"/>
    <w:rsid w:val="0046125F"/>
    <w:rsid w:val="00461E03"/>
    <w:rsid w:val="00462A17"/>
    <w:rsid w:val="00463107"/>
    <w:rsid w:val="00463287"/>
    <w:rsid w:val="004638E7"/>
    <w:rsid w:val="00465124"/>
    <w:rsid w:val="00465CF9"/>
    <w:rsid w:val="00470C8F"/>
    <w:rsid w:val="004747B0"/>
    <w:rsid w:val="00477263"/>
    <w:rsid w:val="00482561"/>
    <w:rsid w:val="00482EA5"/>
    <w:rsid w:val="004852EA"/>
    <w:rsid w:val="004871D9"/>
    <w:rsid w:val="00487524"/>
    <w:rsid w:val="004926D7"/>
    <w:rsid w:val="004958F3"/>
    <w:rsid w:val="00496106"/>
    <w:rsid w:val="00497EFA"/>
    <w:rsid w:val="004A1280"/>
    <w:rsid w:val="004A1DD9"/>
    <w:rsid w:val="004A20F5"/>
    <w:rsid w:val="004A33A9"/>
    <w:rsid w:val="004A3D9B"/>
    <w:rsid w:val="004A4205"/>
    <w:rsid w:val="004B340A"/>
    <w:rsid w:val="004B68FC"/>
    <w:rsid w:val="004B6975"/>
    <w:rsid w:val="004C0625"/>
    <w:rsid w:val="004C0CA6"/>
    <w:rsid w:val="004C12D0"/>
    <w:rsid w:val="004C2EE3"/>
    <w:rsid w:val="004C3A1E"/>
    <w:rsid w:val="004C3A9D"/>
    <w:rsid w:val="004C3C56"/>
    <w:rsid w:val="004C4ECE"/>
    <w:rsid w:val="004C69F7"/>
    <w:rsid w:val="004D038E"/>
    <w:rsid w:val="004D03EA"/>
    <w:rsid w:val="004D4266"/>
    <w:rsid w:val="004D4690"/>
    <w:rsid w:val="004D5AF4"/>
    <w:rsid w:val="004D65E8"/>
    <w:rsid w:val="004D6DF3"/>
    <w:rsid w:val="004D7FE4"/>
    <w:rsid w:val="004E1065"/>
    <w:rsid w:val="004E13AB"/>
    <w:rsid w:val="004E476C"/>
    <w:rsid w:val="004E4A22"/>
    <w:rsid w:val="004E4F61"/>
    <w:rsid w:val="004E6315"/>
    <w:rsid w:val="004E64B4"/>
    <w:rsid w:val="004E64FE"/>
    <w:rsid w:val="004F0016"/>
    <w:rsid w:val="004F48D7"/>
    <w:rsid w:val="004F4AAE"/>
    <w:rsid w:val="004F79A5"/>
    <w:rsid w:val="00501198"/>
    <w:rsid w:val="005011A3"/>
    <w:rsid w:val="0050175F"/>
    <w:rsid w:val="00502A1C"/>
    <w:rsid w:val="00503597"/>
    <w:rsid w:val="00503BA8"/>
    <w:rsid w:val="005043B4"/>
    <w:rsid w:val="00504C43"/>
    <w:rsid w:val="005101FD"/>
    <w:rsid w:val="00511968"/>
    <w:rsid w:val="0051304D"/>
    <w:rsid w:val="00515482"/>
    <w:rsid w:val="00516298"/>
    <w:rsid w:val="00517B3A"/>
    <w:rsid w:val="00521A67"/>
    <w:rsid w:val="0052260C"/>
    <w:rsid w:val="00524206"/>
    <w:rsid w:val="00525B54"/>
    <w:rsid w:val="00525F87"/>
    <w:rsid w:val="00526890"/>
    <w:rsid w:val="005313B1"/>
    <w:rsid w:val="0053235D"/>
    <w:rsid w:val="00533791"/>
    <w:rsid w:val="005364C7"/>
    <w:rsid w:val="0053701F"/>
    <w:rsid w:val="005405B2"/>
    <w:rsid w:val="005413F0"/>
    <w:rsid w:val="0054218D"/>
    <w:rsid w:val="005421E9"/>
    <w:rsid w:val="00546732"/>
    <w:rsid w:val="005479D8"/>
    <w:rsid w:val="0055338D"/>
    <w:rsid w:val="00553CAA"/>
    <w:rsid w:val="00554DE6"/>
    <w:rsid w:val="0055614C"/>
    <w:rsid w:val="00557BB8"/>
    <w:rsid w:val="00557F08"/>
    <w:rsid w:val="005611DA"/>
    <w:rsid w:val="00562AC1"/>
    <w:rsid w:val="00564611"/>
    <w:rsid w:val="00567387"/>
    <w:rsid w:val="005721A4"/>
    <w:rsid w:val="00574771"/>
    <w:rsid w:val="00574DE9"/>
    <w:rsid w:val="00577D3D"/>
    <w:rsid w:val="00586729"/>
    <w:rsid w:val="00587C6A"/>
    <w:rsid w:val="005912E0"/>
    <w:rsid w:val="005917DD"/>
    <w:rsid w:val="005925FE"/>
    <w:rsid w:val="005942B6"/>
    <w:rsid w:val="00594DB3"/>
    <w:rsid w:val="00596429"/>
    <w:rsid w:val="005A2173"/>
    <w:rsid w:val="005A2373"/>
    <w:rsid w:val="005A310D"/>
    <w:rsid w:val="005A5E4C"/>
    <w:rsid w:val="005B003C"/>
    <w:rsid w:val="005B109C"/>
    <w:rsid w:val="005B32B9"/>
    <w:rsid w:val="005C1B22"/>
    <w:rsid w:val="005C2BEA"/>
    <w:rsid w:val="005D1081"/>
    <w:rsid w:val="005D24F5"/>
    <w:rsid w:val="005D2AFA"/>
    <w:rsid w:val="005D2C09"/>
    <w:rsid w:val="005D40ED"/>
    <w:rsid w:val="005D6E83"/>
    <w:rsid w:val="005D7000"/>
    <w:rsid w:val="005E09C1"/>
    <w:rsid w:val="005F2D69"/>
    <w:rsid w:val="005F513D"/>
    <w:rsid w:val="005F65C8"/>
    <w:rsid w:val="005F69FE"/>
    <w:rsid w:val="005F7AF7"/>
    <w:rsid w:val="00600184"/>
    <w:rsid w:val="00600371"/>
    <w:rsid w:val="00603250"/>
    <w:rsid w:val="00607BA5"/>
    <w:rsid w:val="00610C34"/>
    <w:rsid w:val="00612875"/>
    <w:rsid w:val="006130AA"/>
    <w:rsid w:val="00613B76"/>
    <w:rsid w:val="006153C7"/>
    <w:rsid w:val="0061584D"/>
    <w:rsid w:val="00615D78"/>
    <w:rsid w:val="00620D38"/>
    <w:rsid w:val="00621985"/>
    <w:rsid w:val="00622EB9"/>
    <w:rsid w:val="00623ADD"/>
    <w:rsid w:val="00626EB6"/>
    <w:rsid w:val="00630468"/>
    <w:rsid w:val="00634416"/>
    <w:rsid w:val="006353A3"/>
    <w:rsid w:val="0064558E"/>
    <w:rsid w:val="00645D44"/>
    <w:rsid w:val="00651AC5"/>
    <w:rsid w:val="006521D2"/>
    <w:rsid w:val="00652311"/>
    <w:rsid w:val="00653BBF"/>
    <w:rsid w:val="00653F00"/>
    <w:rsid w:val="00655D03"/>
    <w:rsid w:val="00667150"/>
    <w:rsid w:val="0067038B"/>
    <w:rsid w:val="006721D3"/>
    <w:rsid w:val="00673C4B"/>
    <w:rsid w:val="0068376B"/>
    <w:rsid w:val="006837D1"/>
    <w:rsid w:val="00683F84"/>
    <w:rsid w:val="00684F66"/>
    <w:rsid w:val="00686EF1"/>
    <w:rsid w:val="00690124"/>
    <w:rsid w:val="00695F73"/>
    <w:rsid w:val="0069763A"/>
    <w:rsid w:val="00697AAD"/>
    <w:rsid w:val="00697E0F"/>
    <w:rsid w:val="006A1507"/>
    <w:rsid w:val="006A1CFF"/>
    <w:rsid w:val="006A3BF4"/>
    <w:rsid w:val="006A6A81"/>
    <w:rsid w:val="006A7FC6"/>
    <w:rsid w:val="006B0DA5"/>
    <w:rsid w:val="006B18F1"/>
    <w:rsid w:val="006B1D73"/>
    <w:rsid w:val="006B28D6"/>
    <w:rsid w:val="006B3637"/>
    <w:rsid w:val="006B60B2"/>
    <w:rsid w:val="006B77BF"/>
    <w:rsid w:val="006C18AC"/>
    <w:rsid w:val="006C48E5"/>
    <w:rsid w:val="006C4C2A"/>
    <w:rsid w:val="006C4D6E"/>
    <w:rsid w:val="006C5101"/>
    <w:rsid w:val="006C6E26"/>
    <w:rsid w:val="006C718E"/>
    <w:rsid w:val="006D0A0B"/>
    <w:rsid w:val="006D0E62"/>
    <w:rsid w:val="006D16D6"/>
    <w:rsid w:val="006D1C17"/>
    <w:rsid w:val="006D4DD3"/>
    <w:rsid w:val="006D5C84"/>
    <w:rsid w:val="006D6A16"/>
    <w:rsid w:val="006E04A1"/>
    <w:rsid w:val="006E26AF"/>
    <w:rsid w:val="006E2D53"/>
    <w:rsid w:val="006E35F9"/>
    <w:rsid w:val="006E7CB6"/>
    <w:rsid w:val="006F05B1"/>
    <w:rsid w:val="006F30AE"/>
    <w:rsid w:val="006F32CA"/>
    <w:rsid w:val="006F36C6"/>
    <w:rsid w:val="006F508F"/>
    <w:rsid w:val="006F5C45"/>
    <w:rsid w:val="006F6210"/>
    <w:rsid w:val="006F7393"/>
    <w:rsid w:val="006F7DA5"/>
    <w:rsid w:val="00700461"/>
    <w:rsid w:val="00701F94"/>
    <w:rsid w:val="0070224F"/>
    <w:rsid w:val="0070278C"/>
    <w:rsid w:val="0070352E"/>
    <w:rsid w:val="00705A25"/>
    <w:rsid w:val="00705B41"/>
    <w:rsid w:val="00710D64"/>
    <w:rsid w:val="007115F7"/>
    <w:rsid w:val="007126EC"/>
    <w:rsid w:val="0071662E"/>
    <w:rsid w:val="007214B5"/>
    <w:rsid w:val="00721A0D"/>
    <w:rsid w:val="0072291B"/>
    <w:rsid w:val="007279D1"/>
    <w:rsid w:val="0073298E"/>
    <w:rsid w:val="00732CC1"/>
    <w:rsid w:val="00737488"/>
    <w:rsid w:val="00742F9F"/>
    <w:rsid w:val="00744BD9"/>
    <w:rsid w:val="00751DA8"/>
    <w:rsid w:val="00752502"/>
    <w:rsid w:val="00752C37"/>
    <w:rsid w:val="00756B94"/>
    <w:rsid w:val="00757DB2"/>
    <w:rsid w:val="0076162A"/>
    <w:rsid w:val="007627C5"/>
    <w:rsid w:val="00762AB5"/>
    <w:rsid w:val="0076465D"/>
    <w:rsid w:val="0076786B"/>
    <w:rsid w:val="00774B4C"/>
    <w:rsid w:val="00776C00"/>
    <w:rsid w:val="00776CE2"/>
    <w:rsid w:val="0078103C"/>
    <w:rsid w:val="00781473"/>
    <w:rsid w:val="00781DE3"/>
    <w:rsid w:val="00785689"/>
    <w:rsid w:val="00786060"/>
    <w:rsid w:val="0078638E"/>
    <w:rsid w:val="00786C73"/>
    <w:rsid w:val="00787C52"/>
    <w:rsid w:val="0079051B"/>
    <w:rsid w:val="00792756"/>
    <w:rsid w:val="007939CE"/>
    <w:rsid w:val="007944F4"/>
    <w:rsid w:val="0079749C"/>
    <w:rsid w:val="0079754B"/>
    <w:rsid w:val="007A02A9"/>
    <w:rsid w:val="007A1E6D"/>
    <w:rsid w:val="007A2183"/>
    <w:rsid w:val="007A3027"/>
    <w:rsid w:val="007A36D6"/>
    <w:rsid w:val="007A3B5E"/>
    <w:rsid w:val="007A7C00"/>
    <w:rsid w:val="007B0944"/>
    <w:rsid w:val="007B11AC"/>
    <w:rsid w:val="007B39F9"/>
    <w:rsid w:val="007B4B67"/>
    <w:rsid w:val="007B5157"/>
    <w:rsid w:val="007B5513"/>
    <w:rsid w:val="007C0EE4"/>
    <w:rsid w:val="007C47BF"/>
    <w:rsid w:val="007C514E"/>
    <w:rsid w:val="007C583B"/>
    <w:rsid w:val="007D0E2C"/>
    <w:rsid w:val="007D459D"/>
    <w:rsid w:val="007D47EF"/>
    <w:rsid w:val="007D4C40"/>
    <w:rsid w:val="007D5C05"/>
    <w:rsid w:val="007D72AC"/>
    <w:rsid w:val="007E21B9"/>
    <w:rsid w:val="007E2667"/>
    <w:rsid w:val="007E4C54"/>
    <w:rsid w:val="007E7FF2"/>
    <w:rsid w:val="007F0056"/>
    <w:rsid w:val="007F0A7C"/>
    <w:rsid w:val="007F1A19"/>
    <w:rsid w:val="007F294A"/>
    <w:rsid w:val="007F39F2"/>
    <w:rsid w:val="007F4B3D"/>
    <w:rsid w:val="007F61CA"/>
    <w:rsid w:val="008001E9"/>
    <w:rsid w:val="008006C6"/>
    <w:rsid w:val="00801BF4"/>
    <w:rsid w:val="008035C2"/>
    <w:rsid w:val="0080493B"/>
    <w:rsid w:val="00806C6F"/>
    <w:rsid w:val="00807466"/>
    <w:rsid w:val="00807CB5"/>
    <w:rsid w:val="008112E9"/>
    <w:rsid w:val="008117F1"/>
    <w:rsid w:val="0081317D"/>
    <w:rsid w:val="0082165D"/>
    <w:rsid w:val="00822CE0"/>
    <w:rsid w:val="008232AF"/>
    <w:rsid w:val="008260E9"/>
    <w:rsid w:val="00826498"/>
    <w:rsid w:val="00826725"/>
    <w:rsid w:val="008303AD"/>
    <w:rsid w:val="00830EC3"/>
    <w:rsid w:val="00835EDC"/>
    <w:rsid w:val="00837C62"/>
    <w:rsid w:val="00841AB1"/>
    <w:rsid w:val="00843429"/>
    <w:rsid w:val="00845209"/>
    <w:rsid w:val="00850C1A"/>
    <w:rsid w:val="00851CAF"/>
    <w:rsid w:val="00852F7B"/>
    <w:rsid w:val="008543D9"/>
    <w:rsid w:val="00856652"/>
    <w:rsid w:val="008646BC"/>
    <w:rsid w:val="008707DB"/>
    <w:rsid w:val="00872D5E"/>
    <w:rsid w:val="00873A84"/>
    <w:rsid w:val="00875C49"/>
    <w:rsid w:val="00881E98"/>
    <w:rsid w:val="00882D12"/>
    <w:rsid w:val="0088549E"/>
    <w:rsid w:val="00885669"/>
    <w:rsid w:val="0089293C"/>
    <w:rsid w:val="00893493"/>
    <w:rsid w:val="008949DB"/>
    <w:rsid w:val="00894A00"/>
    <w:rsid w:val="00894AAD"/>
    <w:rsid w:val="008959F5"/>
    <w:rsid w:val="00895BE7"/>
    <w:rsid w:val="00896BFD"/>
    <w:rsid w:val="008A0060"/>
    <w:rsid w:val="008A1D37"/>
    <w:rsid w:val="008A3F75"/>
    <w:rsid w:val="008A44DD"/>
    <w:rsid w:val="008A6E37"/>
    <w:rsid w:val="008B00C6"/>
    <w:rsid w:val="008B03BB"/>
    <w:rsid w:val="008B1B6B"/>
    <w:rsid w:val="008B1F46"/>
    <w:rsid w:val="008B252B"/>
    <w:rsid w:val="008B4E2D"/>
    <w:rsid w:val="008B5510"/>
    <w:rsid w:val="008B6A0E"/>
    <w:rsid w:val="008C0350"/>
    <w:rsid w:val="008C1862"/>
    <w:rsid w:val="008C1C5B"/>
    <w:rsid w:val="008C22FD"/>
    <w:rsid w:val="008C3F84"/>
    <w:rsid w:val="008C4971"/>
    <w:rsid w:val="008C515B"/>
    <w:rsid w:val="008C6376"/>
    <w:rsid w:val="008D2782"/>
    <w:rsid w:val="008D79C9"/>
    <w:rsid w:val="008E2631"/>
    <w:rsid w:val="008E6AD1"/>
    <w:rsid w:val="008E6CFD"/>
    <w:rsid w:val="008F014C"/>
    <w:rsid w:val="008F0CAA"/>
    <w:rsid w:val="008F102C"/>
    <w:rsid w:val="008F20D5"/>
    <w:rsid w:val="008F3069"/>
    <w:rsid w:val="008F5AF2"/>
    <w:rsid w:val="008F7B98"/>
    <w:rsid w:val="008F7E56"/>
    <w:rsid w:val="00900E12"/>
    <w:rsid w:val="009011ED"/>
    <w:rsid w:val="0090320C"/>
    <w:rsid w:val="00903550"/>
    <w:rsid w:val="0090697E"/>
    <w:rsid w:val="00907407"/>
    <w:rsid w:val="00910376"/>
    <w:rsid w:val="00910605"/>
    <w:rsid w:val="00910F12"/>
    <w:rsid w:val="009121D2"/>
    <w:rsid w:val="00923397"/>
    <w:rsid w:val="009256AC"/>
    <w:rsid w:val="00926503"/>
    <w:rsid w:val="00930ECF"/>
    <w:rsid w:val="00931BC8"/>
    <w:rsid w:val="00933C00"/>
    <w:rsid w:val="00934040"/>
    <w:rsid w:val="00935DE2"/>
    <w:rsid w:val="00936473"/>
    <w:rsid w:val="00936DB7"/>
    <w:rsid w:val="00941C31"/>
    <w:rsid w:val="00943811"/>
    <w:rsid w:val="009447DE"/>
    <w:rsid w:val="00946F61"/>
    <w:rsid w:val="009504EC"/>
    <w:rsid w:val="0095067B"/>
    <w:rsid w:val="00950F41"/>
    <w:rsid w:val="00954ACD"/>
    <w:rsid w:val="009601F9"/>
    <w:rsid w:val="0096034A"/>
    <w:rsid w:val="00961B70"/>
    <w:rsid w:val="00962C65"/>
    <w:rsid w:val="0096352A"/>
    <w:rsid w:val="00963F3D"/>
    <w:rsid w:val="00965FBE"/>
    <w:rsid w:val="00970ED7"/>
    <w:rsid w:val="009714C5"/>
    <w:rsid w:val="009737D7"/>
    <w:rsid w:val="00974E24"/>
    <w:rsid w:val="00976D24"/>
    <w:rsid w:val="0098118C"/>
    <w:rsid w:val="009826E9"/>
    <w:rsid w:val="00982856"/>
    <w:rsid w:val="009838BC"/>
    <w:rsid w:val="00985D6E"/>
    <w:rsid w:val="00987626"/>
    <w:rsid w:val="00987840"/>
    <w:rsid w:val="0099081E"/>
    <w:rsid w:val="0099489C"/>
    <w:rsid w:val="009949AB"/>
    <w:rsid w:val="00996877"/>
    <w:rsid w:val="009A0016"/>
    <w:rsid w:val="009A08CE"/>
    <w:rsid w:val="009A6538"/>
    <w:rsid w:val="009A7E96"/>
    <w:rsid w:val="009B26C8"/>
    <w:rsid w:val="009B2C58"/>
    <w:rsid w:val="009B3A04"/>
    <w:rsid w:val="009B46E4"/>
    <w:rsid w:val="009B4D1A"/>
    <w:rsid w:val="009B6F1C"/>
    <w:rsid w:val="009C125B"/>
    <w:rsid w:val="009C4601"/>
    <w:rsid w:val="009C5EC5"/>
    <w:rsid w:val="009C6ECF"/>
    <w:rsid w:val="009C76DC"/>
    <w:rsid w:val="009D0AA2"/>
    <w:rsid w:val="009D0EF4"/>
    <w:rsid w:val="009D1FC1"/>
    <w:rsid w:val="009D4574"/>
    <w:rsid w:val="009D7E22"/>
    <w:rsid w:val="009E077C"/>
    <w:rsid w:val="009E0D0D"/>
    <w:rsid w:val="009E0F5D"/>
    <w:rsid w:val="009E1336"/>
    <w:rsid w:val="009E255A"/>
    <w:rsid w:val="009E2ECC"/>
    <w:rsid w:val="009E4B5C"/>
    <w:rsid w:val="009E4E52"/>
    <w:rsid w:val="009E57A2"/>
    <w:rsid w:val="009F0FCB"/>
    <w:rsid w:val="009F3D3F"/>
    <w:rsid w:val="009F45D8"/>
    <w:rsid w:val="00A03CEC"/>
    <w:rsid w:val="00A05A30"/>
    <w:rsid w:val="00A14916"/>
    <w:rsid w:val="00A1506C"/>
    <w:rsid w:val="00A150CB"/>
    <w:rsid w:val="00A165E1"/>
    <w:rsid w:val="00A17103"/>
    <w:rsid w:val="00A1783E"/>
    <w:rsid w:val="00A226EC"/>
    <w:rsid w:val="00A22F78"/>
    <w:rsid w:val="00A22FA6"/>
    <w:rsid w:val="00A2493E"/>
    <w:rsid w:val="00A33092"/>
    <w:rsid w:val="00A34121"/>
    <w:rsid w:val="00A41DEF"/>
    <w:rsid w:val="00A4241B"/>
    <w:rsid w:val="00A430B0"/>
    <w:rsid w:val="00A44990"/>
    <w:rsid w:val="00A44EE2"/>
    <w:rsid w:val="00A45F4F"/>
    <w:rsid w:val="00A476FB"/>
    <w:rsid w:val="00A517D8"/>
    <w:rsid w:val="00A5568F"/>
    <w:rsid w:val="00A55B2A"/>
    <w:rsid w:val="00A600A9"/>
    <w:rsid w:val="00A63887"/>
    <w:rsid w:val="00A70359"/>
    <w:rsid w:val="00A72074"/>
    <w:rsid w:val="00A81BE3"/>
    <w:rsid w:val="00A82AAC"/>
    <w:rsid w:val="00A84C5D"/>
    <w:rsid w:val="00A85694"/>
    <w:rsid w:val="00A866AC"/>
    <w:rsid w:val="00A86ECB"/>
    <w:rsid w:val="00A914FA"/>
    <w:rsid w:val="00A9497B"/>
    <w:rsid w:val="00A94D77"/>
    <w:rsid w:val="00A960DB"/>
    <w:rsid w:val="00A96491"/>
    <w:rsid w:val="00A966B9"/>
    <w:rsid w:val="00AA28C1"/>
    <w:rsid w:val="00AA3674"/>
    <w:rsid w:val="00AA5208"/>
    <w:rsid w:val="00AA55B7"/>
    <w:rsid w:val="00AA5B9E"/>
    <w:rsid w:val="00AB22BD"/>
    <w:rsid w:val="00AB2407"/>
    <w:rsid w:val="00AB2C66"/>
    <w:rsid w:val="00AB53DF"/>
    <w:rsid w:val="00AB5DB8"/>
    <w:rsid w:val="00AB6326"/>
    <w:rsid w:val="00AB7410"/>
    <w:rsid w:val="00AC11F4"/>
    <w:rsid w:val="00AC123D"/>
    <w:rsid w:val="00AC1248"/>
    <w:rsid w:val="00AC3406"/>
    <w:rsid w:val="00AC6BA5"/>
    <w:rsid w:val="00AC74DE"/>
    <w:rsid w:val="00AC7CED"/>
    <w:rsid w:val="00AD085A"/>
    <w:rsid w:val="00AD0DAE"/>
    <w:rsid w:val="00AD3089"/>
    <w:rsid w:val="00AD4362"/>
    <w:rsid w:val="00AD4B6C"/>
    <w:rsid w:val="00AD61D0"/>
    <w:rsid w:val="00AD62BF"/>
    <w:rsid w:val="00AD665D"/>
    <w:rsid w:val="00AE2942"/>
    <w:rsid w:val="00AE2EB4"/>
    <w:rsid w:val="00AF1B55"/>
    <w:rsid w:val="00AF3080"/>
    <w:rsid w:val="00AF3EC0"/>
    <w:rsid w:val="00AF73B7"/>
    <w:rsid w:val="00AF7BA1"/>
    <w:rsid w:val="00B00198"/>
    <w:rsid w:val="00B03D86"/>
    <w:rsid w:val="00B045FA"/>
    <w:rsid w:val="00B079C8"/>
    <w:rsid w:val="00B07D6D"/>
    <w:rsid w:val="00B07E5C"/>
    <w:rsid w:val="00B11608"/>
    <w:rsid w:val="00B11A2D"/>
    <w:rsid w:val="00B12B1E"/>
    <w:rsid w:val="00B1567F"/>
    <w:rsid w:val="00B15B8A"/>
    <w:rsid w:val="00B16F6F"/>
    <w:rsid w:val="00B206D2"/>
    <w:rsid w:val="00B214C3"/>
    <w:rsid w:val="00B23251"/>
    <w:rsid w:val="00B24F8F"/>
    <w:rsid w:val="00B2551B"/>
    <w:rsid w:val="00B25DBA"/>
    <w:rsid w:val="00B30FA7"/>
    <w:rsid w:val="00B31340"/>
    <w:rsid w:val="00B326E3"/>
    <w:rsid w:val="00B3469A"/>
    <w:rsid w:val="00B36337"/>
    <w:rsid w:val="00B36382"/>
    <w:rsid w:val="00B41006"/>
    <w:rsid w:val="00B476CF"/>
    <w:rsid w:val="00B47A09"/>
    <w:rsid w:val="00B5148C"/>
    <w:rsid w:val="00B51502"/>
    <w:rsid w:val="00B51594"/>
    <w:rsid w:val="00B56DAD"/>
    <w:rsid w:val="00B63320"/>
    <w:rsid w:val="00B648EA"/>
    <w:rsid w:val="00B653EA"/>
    <w:rsid w:val="00B717F5"/>
    <w:rsid w:val="00B7232B"/>
    <w:rsid w:val="00B739FC"/>
    <w:rsid w:val="00B77AE1"/>
    <w:rsid w:val="00B77B43"/>
    <w:rsid w:val="00B811F7"/>
    <w:rsid w:val="00B85916"/>
    <w:rsid w:val="00B85BC9"/>
    <w:rsid w:val="00B94471"/>
    <w:rsid w:val="00B955F7"/>
    <w:rsid w:val="00B97381"/>
    <w:rsid w:val="00BA5DC6"/>
    <w:rsid w:val="00BA6196"/>
    <w:rsid w:val="00BA6B6D"/>
    <w:rsid w:val="00BA7910"/>
    <w:rsid w:val="00BA7BD5"/>
    <w:rsid w:val="00BA7D63"/>
    <w:rsid w:val="00BB17C7"/>
    <w:rsid w:val="00BB3DD1"/>
    <w:rsid w:val="00BB45EB"/>
    <w:rsid w:val="00BB494B"/>
    <w:rsid w:val="00BB5D53"/>
    <w:rsid w:val="00BC2454"/>
    <w:rsid w:val="00BC501B"/>
    <w:rsid w:val="00BC5751"/>
    <w:rsid w:val="00BC5D19"/>
    <w:rsid w:val="00BC6D8C"/>
    <w:rsid w:val="00BD1D06"/>
    <w:rsid w:val="00BD27AB"/>
    <w:rsid w:val="00BD4717"/>
    <w:rsid w:val="00BD55D7"/>
    <w:rsid w:val="00BD6D8B"/>
    <w:rsid w:val="00BE44C4"/>
    <w:rsid w:val="00BE73D6"/>
    <w:rsid w:val="00BF19C6"/>
    <w:rsid w:val="00C00311"/>
    <w:rsid w:val="00C1132A"/>
    <w:rsid w:val="00C11DD0"/>
    <w:rsid w:val="00C122F4"/>
    <w:rsid w:val="00C12D44"/>
    <w:rsid w:val="00C13D6F"/>
    <w:rsid w:val="00C16AF2"/>
    <w:rsid w:val="00C17483"/>
    <w:rsid w:val="00C21442"/>
    <w:rsid w:val="00C218E1"/>
    <w:rsid w:val="00C245C9"/>
    <w:rsid w:val="00C30EAC"/>
    <w:rsid w:val="00C3269A"/>
    <w:rsid w:val="00C327D1"/>
    <w:rsid w:val="00C34006"/>
    <w:rsid w:val="00C34251"/>
    <w:rsid w:val="00C35218"/>
    <w:rsid w:val="00C36271"/>
    <w:rsid w:val="00C36A42"/>
    <w:rsid w:val="00C426B1"/>
    <w:rsid w:val="00C42827"/>
    <w:rsid w:val="00C449E0"/>
    <w:rsid w:val="00C45E81"/>
    <w:rsid w:val="00C469D2"/>
    <w:rsid w:val="00C507B8"/>
    <w:rsid w:val="00C51FAB"/>
    <w:rsid w:val="00C5720B"/>
    <w:rsid w:val="00C609B8"/>
    <w:rsid w:val="00C613C2"/>
    <w:rsid w:val="00C6231F"/>
    <w:rsid w:val="00C6349B"/>
    <w:rsid w:val="00C63683"/>
    <w:rsid w:val="00C64AB7"/>
    <w:rsid w:val="00C676FC"/>
    <w:rsid w:val="00C67B01"/>
    <w:rsid w:val="00C67FAA"/>
    <w:rsid w:val="00C752CE"/>
    <w:rsid w:val="00C76D09"/>
    <w:rsid w:val="00C8247F"/>
    <w:rsid w:val="00C82B6B"/>
    <w:rsid w:val="00C850D4"/>
    <w:rsid w:val="00C87D99"/>
    <w:rsid w:val="00C90C37"/>
    <w:rsid w:val="00C90D6A"/>
    <w:rsid w:val="00C9125B"/>
    <w:rsid w:val="00C912C9"/>
    <w:rsid w:val="00C91BF5"/>
    <w:rsid w:val="00C930FD"/>
    <w:rsid w:val="00C94174"/>
    <w:rsid w:val="00C95521"/>
    <w:rsid w:val="00C976E8"/>
    <w:rsid w:val="00CA060D"/>
    <w:rsid w:val="00CA296B"/>
    <w:rsid w:val="00CA34DF"/>
    <w:rsid w:val="00CB3F38"/>
    <w:rsid w:val="00CB44EC"/>
    <w:rsid w:val="00CB7AA1"/>
    <w:rsid w:val="00CB7E66"/>
    <w:rsid w:val="00CC0CD7"/>
    <w:rsid w:val="00CC240D"/>
    <w:rsid w:val="00CC2E45"/>
    <w:rsid w:val="00CC2ECF"/>
    <w:rsid w:val="00CC5984"/>
    <w:rsid w:val="00CC72B6"/>
    <w:rsid w:val="00CC7A39"/>
    <w:rsid w:val="00CD1C5D"/>
    <w:rsid w:val="00CD31B4"/>
    <w:rsid w:val="00CD3AB7"/>
    <w:rsid w:val="00CD4B47"/>
    <w:rsid w:val="00CD4EA4"/>
    <w:rsid w:val="00CE014F"/>
    <w:rsid w:val="00CE03F6"/>
    <w:rsid w:val="00CE1570"/>
    <w:rsid w:val="00CE2A89"/>
    <w:rsid w:val="00CE5163"/>
    <w:rsid w:val="00CE760B"/>
    <w:rsid w:val="00CE76D6"/>
    <w:rsid w:val="00CF1967"/>
    <w:rsid w:val="00CF2B46"/>
    <w:rsid w:val="00CF49A3"/>
    <w:rsid w:val="00D00B32"/>
    <w:rsid w:val="00D0218D"/>
    <w:rsid w:val="00D04C2E"/>
    <w:rsid w:val="00D1141E"/>
    <w:rsid w:val="00D11438"/>
    <w:rsid w:val="00D133D4"/>
    <w:rsid w:val="00D14B34"/>
    <w:rsid w:val="00D16881"/>
    <w:rsid w:val="00D17C64"/>
    <w:rsid w:val="00D20B7D"/>
    <w:rsid w:val="00D216CD"/>
    <w:rsid w:val="00D223B1"/>
    <w:rsid w:val="00D223E4"/>
    <w:rsid w:val="00D224F2"/>
    <w:rsid w:val="00D26227"/>
    <w:rsid w:val="00D3239F"/>
    <w:rsid w:val="00D329AC"/>
    <w:rsid w:val="00D34638"/>
    <w:rsid w:val="00D35934"/>
    <w:rsid w:val="00D40B16"/>
    <w:rsid w:val="00D40C4A"/>
    <w:rsid w:val="00D4329B"/>
    <w:rsid w:val="00D4414E"/>
    <w:rsid w:val="00D4645D"/>
    <w:rsid w:val="00D467F7"/>
    <w:rsid w:val="00D47D43"/>
    <w:rsid w:val="00D5048B"/>
    <w:rsid w:val="00D53FFC"/>
    <w:rsid w:val="00D5560E"/>
    <w:rsid w:val="00D5659D"/>
    <w:rsid w:val="00D567B0"/>
    <w:rsid w:val="00D607D7"/>
    <w:rsid w:val="00D63B21"/>
    <w:rsid w:val="00D65B20"/>
    <w:rsid w:val="00D66774"/>
    <w:rsid w:val="00D701C1"/>
    <w:rsid w:val="00D70289"/>
    <w:rsid w:val="00D70FA8"/>
    <w:rsid w:val="00D717B9"/>
    <w:rsid w:val="00D737D3"/>
    <w:rsid w:val="00D73EF7"/>
    <w:rsid w:val="00D7546A"/>
    <w:rsid w:val="00D8285B"/>
    <w:rsid w:val="00D84F94"/>
    <w:rsid w:val="00D8629D"/>
    <w:rsid w:val="00D87464"/>
    <w:rsid w:val="00D9125F"/>
    <w:rsid w:val="00D91360"/>
    <w:rsid w:val="00D918EB"/>
    <w:rsid w:val="00D92AA4"/>
    <w:rsid w:val="00D9318C"/>
    <w:rsid w:val="00D93DF1"/>
    <w:rsid w:val="00D95015"/>
    <w:rsid w:val="00DA2529"/>
    <w:rsid w:val="00DA343C"/>
    <w:rsid w:val="00DB130A"/>
    <w:rsid w:val="00DB3030"/>
    <w:rsid w:val="00DB37AF"/>
    <w:rsid w:val="00DB4249"/>
    <w:rsid w:val="00DB5FA3"/>
    <w:rsid w:val="00DB640C"/>
    <w:rsid w:val="00DB64E6"/>
    <w:rsid w:val="00DB6574"/>
    <w:rsid w:val="00DC072E"/>
    <w:rsid w:val="00DC07CB"/>
    <w:rsid w:val="00DC10A1"/>
    <w:rsid w:val="00DC5965"/>
    <w:rsid w:val="00DC655F"/>
    <w:rsid w:val="00DC6DE5"/>
    <w:rsid w:val="00DC752D"/>
    <w:rsid w:val="00DC7B26"/>
    <w:rsid w:val="00DD05B5"/>
    <w:rsid w:val="00DD05D9"/>
    <w:rsid w:val="00DD09AE"/>
    <w:rsid w:val="00DD529F"/>
    <w:rsid w:val="00DD7175"/>
    <w:rsid w:val="00DD7EBD"/>
    <w:rsid w:val="00DE6C58"/>
    <w:rsid w:val="00DF336C"/>
    <w:rsid w:val="00DF62B6"/>
    <w:rsid w:val="00E00DDA"/>
    <w:rsid w:val="00E028D4"/>
    <w:rsid w:val="00E02CE4"/>
    <w:rsid w:val="00E0647A"/>
    <w:rsid w:val="00E07225"/>
    <w:rsid w:val="00E105B1"/>
    <w:rsid w:val="00E10F2B"/>
    <w:rsid w:val="00E1137D"/>
    <w:rsid w:val="00E13E60"/>
    <w:rsid w:val="00E155B7"/>
    <w:rsid w:val="00E170B7"/>
    <w:rsid w:val="00E17F02"/>
    <w:rsid w:val="00E208D0"/>
    <w:rsid w:val="00E20A43"/>
    <w:rsid w:val="00E2154F"/>
    <w:rsid w:val="00E21EBF"/>
    <w:rsid w:val="00E22607"/>
    <w:rsid w:val="00E22F2D"/>
    <w:rsid w:val="00E23CAE"/>
    <w:rsid w:val="00E26076"/>
    <w:rsid w:val="00E27F1C"/>
    <w:rsid w:val="00E308F6"/>
    <w:rsid w:val="00E3144C"/>
    <w:rsid w:val="00E3186C"/>
    <w:rsid w:val="00E32705"/>
    <w:rsid w:val="00E3300C"/>
    <w:rsid w:val="00E349D8"/>
    <w:rsid w:val="00E35886"/>
    <w:rsid w:val="00E4254E"/>
    <w:rsid w:val="00E44CB4"/>
    <w:rsid w:val="00E50E12"/>
    <w:rsid w:val="00E51823"/>
    <w:rsid w:val="00E5409F"/>
    <w:rsid w:val="00E54395"/>
    <w:rsid w:val="00E550CB"/>
    <w:rsid w:val="00E5751D"/>
    <w:rsid w:val="00E57F5A"/>
    <w:rsid w:val="00E612C1"/>
    <w:rsid w:val="00E62590"/>
    <w:rsid w:val="00E646A3"/>
    <w:rsid w:val="00E65DAD"/>
    <w:rsid w:val="00E66494"/>
    <w:rsid w:val="00E72CAE"/>
    <w:rsid w:val="00E765B8"/>
    <w:rsid w:val="00E828A2"/>
    <w:rsid w:val="00E832AA"/>
    <w:rsid w:val="00E8413C"/>
    <w:rsid w:val="00E85D70"/>
    <w:rsid w:val="00E8720E"/>
    <w:rsid w:val="00E8784E"/>
    <w:rsid w:val="00E90079"/>
    <w:rsid w:val="00E908C3"/>
    <w:rsid w:val="00E92EDC"/>
    <w:rsid w:val="00E96230"/>
    <w:rsid w:val="00E96E44"/>
    <w:rsid w:val="00EA226C"/>
    <w:rsid w:val="00EA2BE8"/>
    <w:rsid w:val="00EA6B3A"/>
    <w:rsid w:val="00EA7615"/>
    <w:rsid w:val="00EB2E87"/>
    <w:rsid w:val="00EB3447"/>
    <w:rsid w:val="00EB34F4"/>
    <w:rsid w:val="00EB428A"/>
    <w:rsid w:val="00EB55E7"/>
    <w:rsid w:val="00EB64E5"/>
    <w:rsid w:val="00EC0185"/>
    <w:rsid w:val="00EC048A"/>
    <w:rsid w:val="00EC10AA"/>
    <w:rsid w:val="00EC2E06"/>
    <w:rsid w:val="00EC4905"/>
    <w:rsid w:val="00EC52F1"/>
    <w:rsid w:val="00EC594A"/>
    <w:rsid w:val="00EC62F2"/>
    <w:rsid w:val="00ED289B"/>
    <w:rsid w:val="00ED3C91"/>
    <w:rsid w:val="00ED3CEF"/>
    <w:rsid w:val="00EE144F"/>
    <w:rsid w:val="00EE31AA"/>
    <w:rsid w:val="00EE3857"/>
    <w:rsid w:val="00EE6393"/>
    <w:rsid w:val="00EE67FE"/>
    <w:rsid w:val="00EF05AD"/>
    <w:rsid w:val="00EF36DD"/>
    <w:rsid w:val="00F021FA"/>
    <w:rsid w:val="00F02F0B"/>
    <w:rsid w:val="00F0457F"/>
    <w:rsid w:val="00F0616D"/>
    <w:rsid w:val="00F06ADE"/>
    <w:rsid w:val="00F07910"/>
    <w:rsid w:val="00F112EF"/>
    <w:rsid w:val="00F11D41"/>
    <w:rsid w:val="00F11F99"/>
    <w:rsid w:val="00F128F6"/>
    <w:rsid w:val="00F15B84"/>
    <w:rsid w:val="00F17BB2"/>
    <w:rsid w:val="00F22AF6"/>
    <w:rsid w:val="00F305BE"/>
    <w:rsid w:val="00F328AA"/>
    <w:rsid w:val="00F33E73"/>
    <w:rsid w:val="00F3672E"/>
    <w:rsid w:val="00F36BCD"/>
    <w:rsid w:val="00F377CB"/>
    <w:rsid w:val="00F3790D"/>
    <w:rsid w:val="00F41079"/>
    <w:rsid w:val="00F41E82"/>
    <w:rsid w:val="00F435D2"/>
    <w:rsid w:val="00F45CCF"/>
    <w:rsid w:val="00F479A7"/>
    <w:rsid w:val="00F51091"/>
    <w:rsid w:val="00F52966"/>
    <w:rsid w:val="00F553AC"/>
    <w:rsid w:val="00F574B8"/>
    <w:rsid w:val="00F57ACA"/>
    <w:rsid w:val="00F57B58"/>
    <w:rsid w:val="00F616C3"/>
    <w:rsid w:val="00F6181D"/>
    <w:rsid w:val="00F62E97"/>
    <w:rsid w:val="00F64209"/>
    <w:rsid w:val="00F656E7"/>
    <w:rsid w:val="00F71B57"/>
    <w:rsid w:val="00F72D61"/>
    <w:rsid w:val="00F733C6"/>
    <w:rsid w:val="00F73829"/>
    <w:rsid w:val="00F743E0"/>
    <w:rsid w:val="00F80931"/>
    <w:rsid w:val="00F80D22"/>
    <w:rsid w:val="00F84077"/>
    <w:rsid w:val="00F8483C"/>
    <w:rsid w:val="00F87E61"/>
    <w:rsid w:val="00F90C0F"/>
    <w:rsid w:val="00F93BF5"/>
    <w:rsid w:val="00F93FC0"/>
    <w:rsid w:val="00F94211"/>
    <w:rsid w:val="00F96F63"/>
    <w:rsid w:val="00FA55C5"/>
    <w:rsid w:val="00FA5646"/>
    <w:rsid w:val="00FA59E6"/>
    <w:rsid w:val="00FA7FC0"/>
    <w:rsid w:val="00FB037D"/>
    <w:rsid w:val="00FB0A19"/>
    <w:rsid w:val="00FB18D2"/>
    <w:rsid w:val="00FB225F"/>
    <w:rsid w:val="00FB25F4"/>
    <w:rsid w:val="00FB340E"/>
    <w:rsid w:val="00FB3EAB"/>
    <w:rsid w:val="00FB508D"/>
    <w:rsid w:val="00FB5221"/>
    <w:rsid w:val="00FB77AA"/>
    <w:rsid w:val="00FB7800"/>
    <w:rsid w:val="00FC2CA6"/>
    <w:rsid w:val="00FC305D"/>
    <w:rsid w:val="00FC55CC"/>
    <w:rsid w:val="00FC565F"/>
    <w:rsid w:val="00FC61C5"/>
    <w:rsid w:val="00FC71A0"/>
    <w:rsid w:val="00FC7E18"/>
    <w:rsid w:val="00FD1E07"/>
    <w:rsid w:val="00FD1EA3"/>
    <w:rsid w:val="00FD2FE6"/>
    <w:rsid w:val="00FD3C72"/>
    <w:rsid w:val="00FD5F1B"/>
    <w:rsid w:val="00FD66D5"/>
    <w:rsid w:val="00FE0129"/>
    <w:rsid w:val="00FE1E2B"/>
    <w:rsid w:val="00FE326A"/>
    <w:rsid w:val="00FE4C33"/>
    <w:rsid w:val="00FE752F"/>
    <w:rsid w:val="00FF0384"/>
    <w:rsid w:val="00FF44BB"/>
    <w:rsid w:val="00FF778E"/>
    <w:rsid w:val="00FF7863"/>
    <w:rsid w:val="013DA44F"/>
    <w:rsid w:val="01FF97F9"/>
    <w:rsid w:val="05B1785E"/>
    <w:rsid w:val="065C0FA1"/>
    <w:rsid w:val="085FCBB6"/>
    <w:rsid w:val="0987C8BE"/>
    <w:rsid w:val="0AB8AF62"/>
    <w:rsid w:val="0B0A2EA9"/>
    <w:rsid w:val="0C34015E"/>
    <w:rsid w:val="11C4DFA0"/>
    <w:rsid w:val="133FAFD7"/>
    <w:rsid w:val="154E4099"/>
    <w:rsid w:val="1553EC13"/>
    <w:rsid w:val="156F84AA"/>
    <w:rsid w:val="18607F87"/>
    <w:rsid w:val="1A982C9B"/>
    <w:rsid w:val="1BFE3EC2"/>
    <w:rsid w:val="1CCC931C"/>
    <w:rsid w:val="1D33408B"/>
    <w:rsid w:val="1D9F8481"/>
    <w:rsid w:val="1DF4BACF"/>
    <w:rsid w:val="21E56F75"/>
    <w:rsid w:val="2211B025"/>
    <w:rsid w:val="226173C7"/>
    <w:rsid w:val="2436C331"/>
    <w:rsid w:val="243874E2"/>
    <w:rsid w:val="25473B08"/>
    <w:rsid w:val="25CD8B74"/>
    <w:rsid w:val="2676C87C"/>
    <w:rsid w:val="271648C2"/>
    <w:rsid w:val="27395594"/>
    <w:rsid w:val="276BA994"/>
    <w:rsid w:val="2A53D246"/>
    <w:rsid w:val="31605C80"/>
    <w:rsid w:val="3311E664"/>
    <w:rsid w:val="33202B3C"/>
    <w:rsid w:val="3486DCF1"/>
    <w:rsid w:val="3638A74D"/>
    <w:rsid w:val="3679D128"/>
    <w:rsid w:val="37DC209B"/>
    <w:rsid w:val="38D5EBEF"/>
    <w:rsid w:val="39D2F588"/>
    <w:rsid w:val="3A50627D"/>
    <w:rsid w:val="3B9042E4"/>
    <w:rsid w:val="3E0DA5E3"/>
    <w:rsid w:val="40843D86"/>
    <w:rsid w:val="40AD9FB8"/>
    <w:rsid w:val="4193537D"/>
    <w:rsid w:val="41E9C31D"/>
    <w:rsid w:val="420C2D07"/>
    <w:rsid w:val="436B67B5"/>
    <w:rsid w:val="46B96616"/>
    <w:rsid w:val="474CA118"/>
    <w:rsid w:val="48553677"/>
    <w:rsid w:val="4976CD74"/>
    <w:rsid w:val="4B300BD0"/>
    <w:rsid w:val="4B777D06"/>
    <w:rsid w:val="4EA7A5D7"/>
    <w:rsid w:val="4EBC56BF"/>
    <w:rsid w:val="504217AD"/>
    <w:rsid w:val="53B3E932"/>
    <w:rsid w:val="590605C6"/>
    <w:rsid w:val="5B096E92"/>
    <w:rsid w:val="5C08E939"/>
    <w:rsid w:val="5E8313D1"/>
    <w:rsid w:val="5EB68B73"/>
    <w:rsid w:val="5F3C8EE7"/>
    <w:rsid w:val="626134B3"/>
    <w:rsid w:val="6414A39B"/>
    <w:rsid w:val="661BD604"/>
    <w:rsid w:val="662477DF"/>
    <w:rsid w:val="6A7C7374"/>
    <w:rsid w:val="6B2E0B34"/>
    <w:rsid w:val="6C01E992"/>
    <w:rsid w:val="6DCC2E66"/>
    <w:rsid w:val="6E166167"/>
    <w:rsid w:val="6E4C0E32"/>
    <w:rsid w:val="753E6F06"/>
    <w:rsid w:val="757B491C"/>
    <w:rsid w:val="771FCD04"/>
    <w:rsid w:val="7A882595"/>
    <w:rsid w:val="7C12DC32"/>
    <w:rsid w:val="7D084B33"/>
    <w:rsid w:val="7E624937"/>
    <w:rsid w:val="7EC2019A"/>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26BB9038"/>
  <w15:docId w15:val="{034CA93C-E29F-4A60-BB21-060BB5F8A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6D1C17"/>
    <w:pPr>
      <w:widowControl w:val="0"/>
    </w:pPr>
    <w:rPr>
      <w:kern w:val="28"/>
      <w:sz w:val="22"/>
    </w:rPr>
  </w:style>
  <w:style w:type="paragraph" w:styleId="Heading1">
    <w:name w:val="heading 1"/>
    <w:aliases w:val="Heading 1 Char Char Char Char,Heading 1 Char Char Char Char Char Char,Heading 1 Char Char Char1 Char,Heading 1 Char Char1 Char Char,Heading 1 Char Char1 Char1,Heading 1 Char Char2 Char,Heading 1 Char1 Char Char,Heading 1 Char2"/>
    <w:basedOn w:val="Normal"/>
    <w:next w:val="ParaNum"/>
    <w:link w:val="Heading1Char"/>
    <w:uiPriority w:val="9"/>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 Char Char,Heading 2 Char Char1,Heading 2 Char Char3 Char Char Char Char,Heading 2 Char1,Heading 2 Char1 Char Char Char Char1 Char Char,Heading 2 Char1 Char Char1 Char Char,UNDERRUBRIK 1-2 Char,h2 Char"/>
    <w:basedOn w:val="Normal"/>
    <w:next w:val="ParaNum"/>
    <w:link w:val="Heading2Char"/>
    <w:autoRedefine/>
    <w:uiPriority w:val="9"/>
    <w:qFormat/>
    <w:rsid w:val="007A1E6D"/>
    <w:pPr>
      <w:keepNext/>
      <w:numPr>
        <w:ilvl w:val="1"/>
        <w:numId w:val="3"/>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link w:val="Heading3Char"/>
    <w:uiPriority w:val="9"/>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
    <w:basedOn w:val="Normal"/>
    <w:next w:val="ParaNum"/>
    <w:link w:val="Heading4Char"/>
    <w:uiPriority w:val="9"/>
    <w:qFormat/>
    <w:rsid w:val="00C426B1"/>
    <w:pPr>
      <w:keepNext/>
      <w:numPr>
        <w:ilvl w:val="3"/>
        <w:numId w:val="3"/>
      </w:numPr>
      <w:tabs>
        <w:tab w:val="left" w:pos="2880"/>
      </w:tabs>
      <w:spacing w:after="120"/>
      <w:outlineLvl w:val="3"/>
    </w:pPr>
    <w:rPr>
      <w:b/>
    </w:rPr>
  </w:style>
  <w:style w:type="paragraph" w:styleId="Heading5">
    <w:name w:val="heading 5"/>
    <w:aliases w:val="Heading 5 Char,Heading 5 Char Char Char Char Char,Heading 5 Char Char Char1,Heading 5 Char Char1 Char,Heading 5 Char Char2,Heading 5 Char1 Char Char Char,Heading 5 Char1 Char Char1,Heading 5 Char1 Char1,Heading 5 Char2"/>
    <w:basedOn w:val="Normal"/>
    <w:next w:val="ParaNum"/>
    <w:link w:val="Heading5Char1"/>
    <w:uiPriority w:val="9"/>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uiPriority w:val="9"/>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link w:val="Heading7Char1"/>
    <w:uiPriority w:val="9"/>
    <w:qFormat/>
    <w:rsid w:val="00036039"/>
    <w:pPr>
      <w:numPr>
        <w:ilvl w:val="6"/>
        <w:numId w:val="3"/>
      </w:numPr>
      <w:tabs>
        <w:tab w:val="left" w:pos="5040"/>
      </w:tabs>
      <w:spacing w:after="120"/>
      <w:outlineLvl w:val="6"/>
    </w:pPr>
    <w:rPr>
      <w:b/>
    </w:rPr>
  </w:style>
  <w:style w:type="paragraph" w:styleId="Heading8">
    <w:name w:val="heading 8"/>
    <w:basedOn w:val="Normal"/>
    <w:next w:val="ParaNum"/>
    <w:link w:val="Heading8Char"/>
    <w:uiPriority w:val="9"/>
    <w:qFormat/>
    <w:rsid w:val="001E01CA"/>
    <w:pPr>
      <w:numPr>
        <w:ilvl w:val="7"/>
        <w:numId w:val="3"/>
      </w:numPr>
      <w:tabs>
        <w:tab w:val="left" w:pos="5760"/>
      </w:tabs>
      <w:spacing w:after="120"/>
      <w:outlineLvl w:val="7"/>
    </w:pPr>
    <w:rPr>
      <w:b/>
    </w:rPr>
  </w:style>
  <w:style w:type="paragraph" w:styleId="Heading9">
    <w:name w:val="heading 9"/>
    <w:aliases w:val="9,Heading 9 Char,Heading 9.table,Titre 9,Topic,t,table"/>
    <w:basedOn w:val="Normal"/>
    <w:next w:val="ParaNum"/>
    <w:link w:val="Heading9Char1"/>
    <w:uiPriority w:val="9"/>
    <w:qFormat/>
    <w:rsid w:val="001E01CA"/>
    <w:pPr>
      <w:numPr>
        <w:ilvl w:val="8"/>
        <w:numId w:val="3"/>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 Char,Heading 1 Char Char Char Char Char Char Char,Heading 1 Char Char Char1 Char Char,Heading 1 Char Char1 Char Char Char,Heading 1 Char Char1 Char1 Char,Heading 1 Char Char2 Char Char,Heading 1 Char2 Char"/>
    <w:basedOn w:val="DefaultParagraphFont"/>
    <w:link w:val="Heading1"/>
    <w:uiPriority w:val="9"/>
    <w:rPr>
      <w:rFonts w:ascii="Times New Roman Bold" w:hAnsi="Times New Roman Bold"/>
      <w:b/>
      <w:caps/>
      <w:kern w:val="28"/>
      <w:sz w:val="22"/>
    </w:rPr>
  </w:style>
  <w:style w:type="character" w:customStyle="1" w:styleId="Heading2Char">
    <w:name w:val="Heading 2 Char"/>
    <w:aliases w:val="Char Char,Heading 2 Char Char Char Char Char,Heading 2 Char Char1 Char,Heading 2 Char Char3 Char Char Char Char Char,Heading 2 Char1 Char,Heading 2 Char1 Char Char Char Char1 Char Char Char,Heading 2 Char1 Char Char1 Char Char Char"/>
    <w:basedOn w:val="DefaultParagraphFont"/>
    <w:link w:val="Heading2"/>
    <w:uiPriority w:val="9"/>
    <w:locked/>
    <w:rsid w:val="00C449E0"/>
    <w:rPr>
      <w:b/>
      <w:kern w:val="28"/>
      <w:sz w:val="22"/>
    </w:rPr>
  </w:style>
  <w:style w:type="character" w:customStyle="1" w:styleId="Heading3Char">
    <w:name w:val="Heading 3 Char"/>
    <w:aliases w:val="1 Char Char,1 Char1,3 Char Char,3 Char1,31 Char Char,31 Char1,?? 3 Char Char,?? 3 Char1,Heading 3 Char Char Char,Heading 3 Char Char Char Char Char,Heading 3 Char Char1 Ch Char,Heading 3 Char1 Char,Heading 3 Char1 Char Char Char"/>
    <w:basedOn w:val="DefaultParagraphFont"/>
    <w:link w:val="Heading3"/>
    <w:uiPriority w:val="9"/>
    <w:locked/>
    <w:rsid w:val="00C449E0"/>
    <w:rPr>
      <w:b/>
      <w:kern w:val="28"/>
      <w:sz w:val="22"/>
    </w:rPr>
  </w:style>
  <w:style w:type="character" w:customStyle="1" w:styleId="Heading4Char">
    <w:name w:val="Heading 4 Char"/>
    <w:aliases w:val="Heading 4 Char Char Char Char,Heading 4 Char Char Char1,Heading 4 Char Char Char1 Char Char Char,Heading 4 Char Char1 Char,Heading 4 Char Char1 Char Char Char,Heading 4 Char1 Char Char,Heading 4 Char1 Char1,Heading 4 Char2 Char"/>
    <w:basedOn w:val="DefaultParagraphFont"/>
    <w:link w:val="Heading4"/>
    <w:uiPriority w:val="9"/>
    <w:semiHidden/>
    <w:rPr>
      <w:rFonts w:asciiTheme="minorHAnsi" w:eastAsiaTheme="minorEastAsia" w:hAnsiTheme="minorHAnsi" w:cstheme="minorBidi"/>
      <w:b/>
      <w:bCs/>
      <w:kern w:val="28"/>
      <w:sz w:val="28"/>
      <w:szCs w:val="28"/>
    </w:rPr>
  </w:style>
  <w:style w:type="character" w:customStyle="1" w:styleId="Heading5Char1">
    <w:name w:val="Heading 5 Char1"/>
    <w:aliases w:val="Heading 5 Char Char,Heading 5 Char Char Char Char Char Char,Heading 5 Char Char Char1 Char,Heading 5 Char Char1 Char Char,Heading 5 Char Char2 Char,Heading 5 Char1 Char Char Char Char,Heading 5 Char1 Char Char1 Char,Heading 5 Char2 Char"/>
    <w:basedOn w:val="DefaultParagraphFont"/>
    <w:link w:val="Heading5"/>
    <w:uiPriority w:val="9"/>
    <w:semiHidden/>
    <w:rPr>
      <w:rFonts w:asciiTheme="minorHAnsi" w:eastAsiaTheme="minorEastAsia" w:hAnsiTheme="minorHAnsi" w:cstheme="minorBidi"/>
      <w:b/>
      <w:bCs/>
      <w:i/>
      <w:iCs/>
      <w:kern w:val="28"/>
      <w:sz w:val="26"/>
      <w:szCs w:val="26"/>
    </w:rPr>
  </w:style>
  <w:style w:type="character" w:customStyle="1" w:styleId="Heading6Char">
    <w:name w:val="Heading 6 Char"/>
    <w:aliases w:val="Heading 6 Char Char Char Char,Heading 6 Char Char Char1,Heading 6 Char Char1 Char,Heading 6 Char1 Char Char,Heading 6 Char1 Char1,Heading 6 Char2 Char,h6 Char"/>
    <w:basedOn w:val="DefaultParagraphFont"/>
    <w:link w:val="Heading6"/>
    <w:uiPriority w:val="9"/>
    <w:semiHidden/>
    <w:rPr>
      <w:rFonts w:asciiTheme="minorHAnsi" w:eastAsiaTheme="minorEastAsia" w:hAnsiTheme="minorHAnsi" w:cstheme="minorBidi"/>
      <w:b/>
      <w:bCs/>
      <w:kern w:val="28"/>
      <w:sz w:val="22"/>
      <w:szCs w:val="22"/>
    </w:rPr>
  </w:style>
  <w:style w:type="character" w:customStyle="1" w:styleId="Heading7Char1">
    <w:name w:val="Heading 7 Char1"/>
    <w:aliases w:val="Heading 7 Char Char"/>
    <w:basedOn w:val="DefaultParagraphFont"/>
    <w:link w:val="Heading7"/>
    <w:uiPriority w:val="9"/>
    <w:semiHidden/>
    <w:rPr>
      <w:rFonts w:asciiTheme="minorHAnsi" w:eastAsiaTheme="minorEastAsia" w:hAnsiTheme="minorHAnsi" w:cstheme="minorBidi"/>
      <w:kern w:val="28"/>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kern w:val="28"/>
      <w:sz w:val="24"/>
      <w:szCs w:val="24"/>
    </w:rPr>
  </w:style>
  <w:style w:type="character" w:customStyle="1" w:styleId="Heading9Char1">
    <w:name w:val="Heading 9 Char1"/>
    <w:aliases w:val="9 Char,Heading 9 Char Char,Heading 9.table Char,Titre 9 Char,Topic Char,t Char,table Char"/>
    <w:basedOn w:val="DefaultParagraphFont"/>
    <w:link w:val="Heading9"/>
    <w:uiPriority w:val="9"/>
    <w:semiHidden/>
    <w:rPr>
      <w:rFonts w:asciiTheme="majorHAnsi" w:eastAsiaTheme="majorEastAsia" w:hAnsiTheme="majorHAnsi" w:cstheme="majorBidi"/>
      <w:kern w:val="28"/>
      <w:sz w:val="22"/>
      <w:szCs w:val="22"/>
    </w:rPr>
  </w:style>
  <w:style w:type="paragraph" w:customStyle="1" w:styleId="ParaNum">
    <w:name w:val="ParaNum"/>
    <w:basedOn w:val="Normal"/>
    <w:link w:val="ParaNumChar"/>
    <w:rsid w:val="00E07225"/>
    <w:pPr>
      <w:numPr>
        <w:numId w:val="10"/>
      </w:numPr>
      <w:tabs>
        <w:tab w:val="num" w:pos="1440"/>
      </w:tabs>
      <w:spacing w:after="120"/>
    </w:pPr>
  </w:style>
  <w:style w:type="paragraph" w:styleId="EndnoteText">
    <w:name w:val="endnote text"/>
    <w:basedOn w:val="Normal"/>
    <w:link w:val="EndnoteTextChar"/>
    <w:uiPriority w:val="99"/>
    <w:semiHidden/>
    <w:rPr>
      <w:sz w:val="20"/>
    </w:rPr>
  </w:style>
  <w:style w:type="character" w:customStyle="1" w:styleId="EndnoteTextChar">
    <w:name w:val="Endnote Text Char"/>
    <w:basedOn w:val="DefaultParagraphFont"/>
    <w:link w:val="EndnoteText"/>
    <w:uiPriority w:val="99"/>
    <w:semiHidden/>
    <w:rPr>
      <w:kern w:val="28"/>
    </w:rPr>
  </w:style>
  <w:style w:type="character" w:styleId="EndnoteReference">
    <w:name w:val="endnote reference"/>
    <w:basedOn w:val="DefaultParagraphFont"/>
    <w:uiPriority w:val="99"/>
    <w:semiHidden/>
    <w:rPr>
      <w:vertAlign w:val="superscript"/>
    </w:rPr>
  </w:style>
  <w:style w:type="paragraph" w:styleId="FootnoteText">
    <w:name w:val="footnote text"/>
    <w:aliases w:val="ALTS FOOTNOTE,ALTS FOOTNOTE Char1,Footnote Text Char Char,Footnote Text Char1,Footnote Text Char2,Footnote Text Char2 Char Char,Footnote Text Char2 Char1 Char1 Char Char,Footnote Text Char3 Char1 Char Char,Footnote Text... + Italic,f,fn"/>
    <w:basedOn w:val="Normal"/>
    <w:link w:val="FootnoteTextChar"/>
    <w:uiPriority w:val="99"/>
    <w:rsid w:val="000E3D42"/>
    <w:pPr>
      <w:widowControl/>
      <w:spacing w:after="120"/>
    </w:pPr>
    <w:rPr>
      <w:kern w:val="0"/>
      <w:sz w:val="20"/>
    </w:rPr>
  </w:style>
  <w:style w:type="character" w:customStyle="1" w:styleId="FootnoteTextChar">
    <w:name w:val="Footnote Text Char"/>
    <w:aliases w:val="ALTS FOOTNOTE Char,ALTS FOOTNOTE Char1 Char,Footnote Text Char Char Char,Footnote Text Char1 Char,Footnote Text Char2 Char,Footnote Text Char2 Char Char Char,Footnote Text Char2 Char1 Char1 Char Char Char,f Char,fn Char"/>
    <w:basedOn w:val="DefaultParagraphFont"/>
    <w:link w:val="FootnoteText"/>
    <w:uiPriority w:val="99"/>
    <w:locked/>
    <w:rsid w:val="006D1C17"/>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basedOn w:val="DefaultParagraphFont"/>
    <w:uiPriority w:val="99"/>
    <w:rPr>
      <w:rFonts w:ascii="Times New Roman" w:hAnsi="Times New Roman"/>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semiHidden/>
    <w:pPr>
      <w:tabs>
        <w:tab w:val="left" w:pos="720"/>
        <w:tab w:val="right" w:leader="dot" w:pos="9360"/>
      </w:tabs>
      <w:suppressAutoHyphens/>
      <w:ind w:left="720" w:right="720" w:hanging="360"/>
    </w:pPr>
    <w:rPr>
      <w:noProof/>
    </w:rPr>
  </w:style>
  <w:style w:type="paragraph" w:styleId="TOC3">
    <w:name w:val="toc 3"/>
    <w:basedOn w:val="Normal"/>
    <w:next w:val="Normal"/>
    <w:uiPriority w:val="39"/>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39"/>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39"/>
    <w:semiHidden/>
    <w:pPr>
      <w:tabs>
        <w:tab w:val="left" w:pos="2160"/>
        <w:tab w:val="right" w:leader="dot" w:pos="9360"/>
      </w:tabs>
      <w:suppressAutoHyphens/>
      <w:ind w:left="2160" w:hanging="360"/>
    </w:pPr>
    <w:rPr>
      <w:noProof/>
    </w:rPr>
  </w:style>
  <w:style w:type="paragraph" w:styleId="TOC7">
    <w:name w:val="toc 7"/>
    <w:basedOn w:val="Normal"/>
    <w:next w:val="Normal"/>
    <w:autoRedefine/>
    <w:uiPriority w:val="39"/>
    <w:semiHidden/>
    <w:pPr>
      <w:tabs>
        <w:tab w:val="left" w:pos="2520"/>
        <w:tab w:val="right" w:leader="dot" w:pos="9360"/>
      </w:tabs>
      <w:suppressAutoHyphens/>
      <w:ind w:left="2520" w:hanging="360"/>
    </w:pPr>
    <w:rPr>
      <w:noProof/>
    </w:rPr>
  </w:style>
  <w:style w:type="paragraph" w:styleId="TOC8">
    <w:name w:val="toc 8"/>
    <w:basedOn w:val="Normal"/>
    <w:next w:val="Normal"/>
    <w:autoRedefine/>
    <w:uiPriority w:val="39"/>
    <w:semiHidden/>
    <w:pPr>
      <w:tabs>
        <w:tab w:val="left" w:pos="2880"/>
        <w:tab w:val="right" w:leader="dot" w:pos="9360"/>
      </w:tabs>
      <w:suppressAutoHyphens/>
      <w:ind w:left="2880" w:hanging="360"/>
    </w:pPr>
    <w:rPr>
      <w:noProof/>
    </w:rPr>
  </w:style>
  <w:style w:type="paragraph" w:styleId="TOC9">
    <w:name w:val="toc 9"/>
    <w:basedOn w:val="Normal"/>
    <w:next w:val="Normal"/>
    <w:autoRedefine/>
    <w:uiPriority w:val="39"/>
    <w:semiHidden/>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rsid w:val="00837C62"/>
    <w:pPr>
      <w:tabs>
        <w:tab w:val="center" w:pos="4680"/>
        <w:tab w:val="right" w:pos="9360"/>
      </w:tabs>
      <w:ind w:firstLine="1080"/>
    </w:pPr>
    <w:rPr>
      <w:rFonts w:ascii="Arial" w:hAnsi="Arial" w:cs="Arial"/>
      <w:b/>
      <w:sz w:val="96"/>
      <w:szCs w:val="96"/>
    </w:rPr>
  </w:style>
  <w:style w:type="character" w:customStyle="1" w:styleId="HeaderChar">
    <w:name w:val="Header Char"/>
    <w:basedOn w:val="DefaultParagraphFont"/>
    <w:link w:val="Header"/>
    <w:uiPriority w:val="99"/>
    <w:semiHidden/>
    <w:rPr>
      <w:kern w:val="28"/>
      <w:sz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910F12"/>
    <w:rPr>
      <w:kern w:val="28"/>
      <w:sz w:val="22"/>
    </w:rPr>
  </w:style>
  <w:style w:type="character" w:styleId="PageNumber">
    <w:name w:val="page number"/>
    <w:basedOn w:val="DefaultParagraphFont"/>
    <w:uiPriority w:val="99"/>
    <w:rPr>
      <w:rFonts w:cs="Times New Roman"/>
    </w:rPr>
  </w:style>
  <w:style w:type="paragraph" w:styleId="BlockText">
    <w:name w:val="Block Text"/>
    <w:basedOn w:val="Normal"/>
    <w:uiPriority w:val="99"/>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basedOn w:val="DefaultParagraphFont"/>
    <w:uiPriority w:val="99"/>
    <w:rsid w:val="002A2D2E"/>
    <w:rPr>
      <w:color w:val="0000FF"/>
      <w:u w:val="single"/>
    </w:rPr>
  </w:style>
  <w:style w:type="character" w:customStyle="1" w:styleId="ParaNumChar">
    <w:name w:val="ParaNum Char"/>
    <w:link w:val="ParaNum"/>
    <w:locked/>
    <w:rsid w:val="006D1C17"/>
    <w:rPr>
      <w:kern w:val="28"/>
      <w:sz w:val="22"/>
    </w:rPr>
  </w:style>
  <w:style w:type="paragraph" w:customStyle="1" w:styleId="xmsonormal">
    <w:name w:val="x_msonormal"/>
    <w:basedOn w:val="Normal"/>
    <w:rsid w:val="006D1C17"/>
    <w:pPr>
      <w:widowControl/>
    </w:pPr>
    <w:rPr>
      <w:rFonts w:ascii="Calibri" w:hAnsi="Calibri" w:cs="Calibri"/>
      <w:kern w:val="0"/>
      <w:szCs w:val="22"/>
    </w:rPr>
  </w:style>
  <w:style w:type="paragraph" w:styleId="BalloonText">
    <w:name w:val="Balloon Text"/>
    <w:basedOn w:val="Normal"/>
    <w:link w:val="BalloonTextChar"/>
    <w:uiPriority w:val="99"/>
    <w:semiHidden/>
    <w:unhideWhenUsed/>
    <w:rsid w:val="00FF038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F0384"/>
    <w:rPr>
      <w:rFonts w:ascii="Segoe UI" w:hAnsi="Segoe UI" w:cs="Segoe UI"/>
      <w:kern w:val="28"/>
      <w:sz w:val="18"/>
      <w:szCs w:val="18"/>
    </w:rPr>
  </w:style>
  <w:style w:type="paragraph" w:styleId="ListParagraph">
    <w:name w:val="List Paragraph"/>
    <w:basedOn w:val="Normal"/>
    <w:uiPriority w:val="34"/>
    <w:qFormat/>
    <w:rsid w:val="00C449E0"/>
    <w:pPr>
      <w:spacing w:after="160" w:line="259" w:lineRule="auto"/>
      <w:ind w:left="720"/>
      <w:contextualSpacing/>
    </w:pPr>
    <w:rPr>
      <w:rFonts w:ascii="Calibri" w:hAnsi="Calibri" w:cs="Arial"/>
    </w:rPr>
  </w:style>
  <w:style w:type="character" w:styleId="CommentReference">
    <w:name w:val="annotation reference"/>
    <w:basedOn w:val="DefaultParagraphFont"/>
    <w:uiPriority w:val="99"/>
    <w:semiHidden/>
    <w:unhideWhenUsed/>
    <w:rsid w:val="006C6E26"/>
    <w:rPr>
      <w:rFonts w:cs="Times New Roman"/>
      <w:sz w:val="16"/>
      <w:szCs w:val="16"/>
    </w:rPr>
  </w:style>
  <w:style w:type="paragraph" w:styleId="CommentText">
    <w:name w:val="annotation text"/>
    <w:basedOn w:val="Normal"/>
    <w:link w:val="CommentTextChar"/>
    <w:uiPriority w:val="99"/>
    <w:unhideWhenUsed/>
    <w:rsid w:val="006C6E26"/>
    <w:rPr>
      <w:sz w:val="20"/>
    </w:rPr>
  </w:style>
  <w:style w:type="character" w:customStyle="1" w:styleId="CommentTextChar">
    <w:name w:val="Comment Text Char"/>
    <w:basedOn w:val="DefaultParagraphFont"/>
    <w:link w:val="CommentText"/>
    <w:uiPriority w:val="99"/>
    <w:locked/>
    <w:rsid w:val="006C6E26"/>
    <w:rPr>
      <w:rFonts w:cs="Times New Roman"/>
      <w:kern w:val="28"/>
    </w:rPr>
  </w:style>
  <w:style w:type="paragraph" w:styleId="CommentSubject">
    <w:name w:val="annotation subject"/>
    <w:basedOn w:val="CommentText"/>
    <w:next w:val="CommentText"/>
    <w:link w:val="CommentSubjectChar"/>
    <w:uiPriority w:val="99"/>
    <w:semiHidden/>
    <w:unhideWhenUsed/>
    <w:rsid w:val="006C6E26"/>
    <w:rPr>
      <w:b/>
      <w:bCs/>
    </w:rPr>
  </w:style>
  <w:style w:type="character" w:customStyle="1" w:styleId="CommentSubjectChar">
    <w:name w:val="Comment Subject Char"/>
    <w:basedOn w:val="CommentTextChar"/>
    <w:link w:val="CommentSubject"/>
    <w:uiPriority w:val="99"/>
    <w:semiHidden/>
    <w:locked/>
    <w:rsid w:val="006C6E26"/>
    <w:rPr>
      <w:rFonts w:cs="Times New Roman"/>
      <w:b/>
      <w:bCs/>
      <w:kern w:val="28"/>
    </w:rPr>
  </w:style>
  <w:style w:type="table" w:styleId="TableGrid">
    <w:name w:val="Table Grid"/>
    <w:basedOn w:val="TableNormal"/>
    <w:uiPriority w:val="59"/>
    <w:rsid w:val="00562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9E4E52"/>
    <w:rPr>
      <w:rFonts w:cs="Times New Roman"/>
      <w:color w:val="605E5C"/>
      <w:shd w:val="clear" w:color="auto" w:fill="E1DFDD"/>
    </w:rPr>
  </w:style>
  <w:style w:type="paragraph" w:styleId="Revision">
    <w:name w:val="Revision"/>
    <w:hidden/>
    <w:uiPriority w:val="99"/>
    <w:semiHidden/>
    <w:rsid w:val="004958F3"/>
    <w:rPr>
      <w:kern w:val="28"/>
      <w:sz w:val="22"/>
    </w:rPr>
  </w:style>
  <w:style w:type="character" w:styleId="FollowedHyperlink">
    <w:name w:val="FollowedHyperlink"/>
    <w:basedOn w:val="DefaultParagraphFont"/>
    <w:uiPriority w:val="99"/>
    <w:semiHidden/>
    <w:unhideWhenUsed/>
    <w:rsid w:val="00D5048B"/>
    <w:rPr>
      <w:color w:val="954F72" w:themeColor="followedHyperlink"/>
      <w:u w:val="single"/>
    </w:rPr>
  </w:style>
  <w:style w:type="character" w:customStyle="1" w:styleId="Mention1">
    <w:name w:val="Mention1"/>
    <w:basedOn w:val="DefaultParagraphFont"/>
    <w:uiPriority w:val="99"/>
    <w:unhideWhenUsed/>
    <w:rsid w:val="001F1525"/>
    <w:rPr>
      <w:color w:val="2B579A"/>
      <w:shd w:val="clear" w:color="auto" w:fill="E1DFDD"/>
    </w:rPr>
  </w:style>
  <w:style w:type="paragraph" w:styleId="NormalWeb">
    <w:name w:val="Normal (Web)"/>
    <w:basedOn w:val="Normal"/>
    <w:uiPriority w:val="99"/>
    <w:unhideWhenUsed/>
    <w:rsid w:val="00E828A2"/>
    <w:pPr>
      <w:widowControl/>
      <w:spacing w:before="100" w:beforeAutospacing="1" w:after="100" w:afterAutospacing="1"/>
    </w:pPr>
    <w:rPr>
      <w:kern w:val="0"/>
      <w:sz w:val="24"/>
      <w:szCs w:val="24"/>
      <w:lang w:eastAsia="ja-JP"/>
    </w:rPr>
  </w:style>
  <w:style w:type="character" w:customStyle="1" w:styleId="highlight">
    <w:name w:val="highlight"/>
    <w:basedOn w:val="DefaultParagraphFont"/>
    <w:rsid w:val="00FA5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supplychain/coveredlist" TargetMode="External" /><Relationship Id="rId6" Type="http://schemas.openxmlformats.org/officeDocument/2006/relationships/hyperlink" Target="mailto:Zenji.Nakazawa@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