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B739D">
        <w:tblPrEx>
          <w:tblW w:w="0" w:type="auto"/>
          <w:tblLayout w:type="fixed"/>
          <w:tblLook w:val="0000"/>
        </w:tblPrEx>
        <w:tc>
          <w:tcPr>
            <w:tcW w:w="4698" w:type="dxa"/>
          </w:tcPr>
          <w:p w:rsidR="00ED5746" w:rsidRPr="00D84548" w:rsidP="00CF6B78" w14:paraId="69708E7F" w14:textId="77777777">
            <w:pPr>
              <w:tabs>
                <w:tab w:val="center" w:pos="4680"/>
              </w:tabs>
              <w:suppressAutoHyphens/>
              <w:rPr>
                <w:spacing w:val="-2"/>
              </w:rPr>
            </w:pPr>
            <w:r w:rsidRPr="00ED5746">
              <w:rPr>
                <w:spacing w:val="-2"/>
              </w:rPr>
              <w:t>In the Matter of</w:t>
            </w:r>
          </w:p>
          <w:p w:rsidR="00ED5746" w:rsidRPr="00D23E19" w:rsidP="00CF6B78" w14:paraId="1E177E1F" w14:textId="77777777">
            <w:pPr>
              <w:tabs>
                <w:tab w:val="left" w:pos="360"/>
                <w:tab w:val="center" w:pos="4680"/>
                <w:tab w:val="right" w:leader="dot" w:pos="9360"/>
              </w:tabs>
              <w:suppressAutoHyphens/>
              <w:ind w:left="360" w:right="720" w:hanging="360"/>
              <w:rPr>
                <w:spacing w:val="-2"/>
              </w:rPr>
            </w:pPr>
          </w:p>
          <w:p w:rsidR="00ED5746" w:rsidP="00AA4B16" w14:paraId="6283E277" w14:textId="77777777">
            <w:pPr>
              <w:autoSpaceDE w:val="0"/>
              <w:autoSpaceDN w:val="0"/>
              <w:adjustRightInd w:val="0"/>
              <w:rPr>
                <w:szCs w:val="22"/>
              </w:rPr>
            </w:pPr>
            <w:r w:rsidRPr="00B32FEF">
              <w:rPr>
                <w:szCs w:val="22"/>
              </w:rPr>
              <w:t>Cleveland-Cliffs Inc.</w:t>
            </w:r>
          </w:p>
          <w:p w:rsidR="00B32FEF" w:rsidP="00AA4B16" w14:paraId="5919C343" w14:textId="77777777">
            <w:pPr>
              <w:autoSpaceDE w:val="0"/>
              <w:autoSpaceDN w:val="0"/>
              <w:adjustRightInd w:val="0"/>
              <w:rPr>
                <w:szCs w:val="22"/>
              </w:rPr>
            </w:pPr>
          </w:p>
          <w:p w:rsidR="00B32FEF" w:rsidRPr="00D84548" w:rsidP="00AA4B16" w14:paraId="055596A3" w14:textId="4C64BCFA">
            <w:pPr>
              <w:autoSpaceDE w:val="0"/>
              <w:autoSpaceDN w:val="0"/>
              <w:adjustRightInd w:val="0"/>
            </w:pPr>
            <w:r w:rsidRPr="00AE214E">
              <w:rPr>
                <w:spacing w:val="-2"/>
              </w:rPr>
              <w:t>Holding Various Licenses in the Wireless Radio Services</w:t>
            </w:r>
          </w:p>
        </w:tc>
        <w:tc>
          <w:tcPr>
            <w:tcW w:w="630" w:type="dxa"/>
          </w:tcPr>
          <w:p w:rsidR="00ED5746" w:rsidRPr="00D84548" w:rsidP="00CF6B78" w14:paraId="4E626BFF" w14:textId="77777777">
            <w:pPr>
              <w:tabs>
                <w:tab w:val="center" w:pos="4680"/>
              </w:tabs>
              <w:suppressAutoHyphens/>
              <w:rPr>
                <w:b/>
                <w:spacing w:val="-2"/>
              </w:rPr>
            </w:pPr>
            <w:r w:rsidRPr="00D84548">
              <w:rPr>
                <w:b/>
                <w:spacing w:val="-2"/>
              </w:rPr>
              <w:t>)</w:t>
            </w:r>
          </w:p>
          <w:p w:rsidR="00ED5746" w:rsidRPr="00D23E19" w:rsidP="00CF6B78" w14:paraId="30D6019C" w14:textId="77777777">
            <w:pPr>
              <w:tabs>
                <w:tab w:val="center" w:pos="4680"/>
              </w:tabs>
              <w:suppressAutoHyphens/>
              <w:rPr>
                <w:b/>
                <w:spacing w:val="-2"/>
              </w:rPr>
            </w:pPr>
            <w:r w:rsidRPr="00D84548">
              <w:rPr>
                <w:b/>
                <w:spacing w:val="-2"/>
              </w:rPr>
              <w:t>)</w:t>
            </w:r>
          </w:p>
          <w:p w:rsidR="00ED5746" w:rsidRPr="00D23E19" w:rsidP="00CF6B78" w14:paraId="1D088DB3" w14:textId="77777777">
            <w:pPr>
              <w:tabs>
                <w:tab w:val="center" w:pos="4680"/>
              </w:tabs>
              <w:suppressAutoHyphens/>
              <w:rPr>
                <w:b/>
                <w:spacing w:val="-2"/>
              </w:rPr>
            </w:pPr>
            <w:r w:rsidRPr="00D84548">
              <w:rPr>
                <w:b/>
                <w:spacing w:val="-2"/>
              </w:rPr>
              <w:t>)</w:t>
            </w:r>
          </w:p>
          <w:p w:rsidR="00ED5746" w:rsidRPr="00D23E19" w:rsidP="00CF6B78" w14:paraId="6C30BF33" w14:textId="77777777">
            <w:pPr>
              <w:tabs>
                <w:tab w:val="center" w:pos="4680"/>
              </w:tabs>
              <w:suppressAutoHyphens/>
              <w:rPr>
                <w:b/>
                <w:spacing w:val="-2"/>
              </w:rPr>
            </w:pPr>
            <w:r w:rsidRPr="00D84548">
              <w:rPr>
                <w:b/>
                <w:spacing w:val="-2"/>
              </w:rPr>
              <w:t>)</w:t>
            </w:r>
          </w:p>
          <w:p w:rsidR="00ED5746" w:rsidRPr="00D23E19" w:rsidP="00CF6B78" w14:paraId="25240A0E" w14:textId="77777777">
            <w:pPr>
              <w:tabs>
                <w:tab w:val="center" w:pos="4680"/>
              </w:tabs>
              <w:suppressAutoHyphens/>
              <w:rPr>
                <w:b/>
                <w:spacing w:val="-2"/>
              </w:rPr>
            </w:pPr>
            <w:r w:rsidRPr="00D84548">
              <w:rPr>
                <w:b/>
                <w:spacing w:val="-2"/>
              </w:rPr>
              <w:t>)</w:t>
            </w:r>
          </w:p>
          <w:p w:rsidR="00ED5746" w:rsidRPr="00D23E19" w:rsidP="00CF6B78" w14:paraId="72A27E98" w14:textId="77777777">
            <w:pPr>
              <w:tabs>
                <w:tab w:val="center" w:pos="4680"/>
              </w:tabs>
              <w:suppressAutoHyphens/>
              <w:rPr>
                <w:b/>
                <w:spacing w:val="-2"/>
              </w:rPr>
            </w:pPr>
            <w:r w:rsidRPr="00D84548">
              <w:rPr>
                <w:b/>
                <w:spacing w:val="-2"/>
              </w:rPr>
              <w:t>)</w:t>
            </w:r>
          </w:p>
          <w:p w:rsidR="00ED5746" w:rsidRPr="00D23E19" w:rsidP="00CF6B78" w14:paraId="5EDF804F" w14:textId="77777777">
            <w:pPr>
              <w:tabs>
                <w:tab w:val="center" w:pos="4680"/>
              </w:tabs>
              <w:suppressAutoHyphens/>
              <w:rPr>
                <w:b/>
                <w:spacing w:val="-2"/>
              </w:rPr>
            </w:pPr>
            <w:r w:rsidRPr="00D84548">
              <w:rPr>
                <w:b/>
                <w:spacing w:val="-2"/>
              </w:rPr>
              <w:t>)</w:t>
            </w:r>
          </w:p>
          <w:p w:rsidR="00ED5746" w:rsidRPr="00D23E19" w:rsidP="003B739D" w14:paraId="693E72AD" w14:textId="0302AFE7">
            <w:pPr>
              <w:tabs>
                <w:tab w:val="center" w:pos="4680"/>
              </w:tabs>
              <w:suppressAutoHyphens/>
              <w:rPr>
                <w:b/>
                <w:spacing w:val="-2"/>
              </w:rPr>
            </w:pPr>
          </w:p>
        </w:tc>
        <w:tc>
          <w:tcPr>
            <w:tcW w:w="4248" w:type="dxa"/>
          </w:tcPr>
          <w:p w:rsidR="00E44AC6" w:rsidP="00CF6B78" w14:paraId="05719545" w14:textId="77777777">
            <w:pPr>
              <w:tabs>
                <w:tab w:val="center" w:pos="4680"/>
              </w:tabs>
              <w:suppressAutoHyphens/>
              <w:ind w:left="432"/>
              <w:rPr>
                <w:spacing w:val="-2"/>
                <w:szCs w:val="22"/>
              </w:rPr>
            </w:pPr>
          </w:p>
          <w:p w:rsidR="00E44AC6" w:rsidP="00CF6B78" w14:paraId="71783AD3" w14:textId="77777777">
            <w:pPr>
              <w:tabs>
                <w:tab w:val="center" w:pos="4680"/>
              </w:tabs>
              <w:suppressAutoHyphens/>
              <w:ind w:left="432"/>
              <w:rPr>
                <w:spacing w:val="-2"/>
                <w:szCs w:val="22"/>
              </w:rPr>
            </w:pPr>
          </w:p>
          <w:p w:rsidR="00ED5746" w:rsidRPr="00D84548" w:rsidP="00CF6B78" w14:paraId="3B860B02" w14:textId="1751E8A4">
            <w:pPr>
              <w:tabs>
                <w:tab w:val="center" w:pos="4680"/>
              </w:tabs>
              <w:suppressAutoHyphens/>
              <w:ind w:left="432"/>
              <w:rPr>
                <w:spacing w:val="-2"/>
                <w:szCs w:val="22"/>
              </w:rPr>
            </w:pPr>
            <w:r w:rsidRPr="00D84548">
              <w:rPr>
                <w:spacing w:val="-2"/>
                <w:szCs w:val="22"/>
              </w:rPr>
              <w:t xml:space="preserve">File No.:  </w:t>
            </w:r>
            <w:r w:rsidRPr="009316FF" w:rsidR="001E348A">
              <w:rPr>
                <w:rFonts w:cstheme="minorHAnsi"/>
              </w:rPr>
              <w:t>EB-IHD-21-00032275</w:t>
            </w:r>
          </w:p>
          <w:p w:rsidR="00ED5746" w:rsidRPr="001E348A" w:rsidP="001E348A" w14:paraId="746EF4E3" w14:textId="4989AAEE">
            <w:pPr>
              <w:ind w:left="432"/>
              <w:rPr>
                <w:spacing w:val="-2"/>
                <w:szCs w:val="22"/>
              </w:rPr>
            </w:pPr>
            <w:r>
              <w:rPr>
                <w:spacing w:val="-2"/>
                <w:szCs w:val="22"/>
              </w:rPr>
              <w:t xml:space="preserve">CD </w:t>
            </w:r>
            <w:r w:rsidRPr="00D84548">
              <w:rPr>
                <w:spacing w:val="-2"/>
                <w:szCs w:val="22"/>
              </w:rPr>
              <w:t xml:space="preserve">Acct. No.:  </w:t>
            </w:r>
            <w:r w:rsidR="00B32FEF">
              <w:rPr>
                <w:spacing w:val="-2"/>
                <w:szCs w:val="22"/>
              </w:rPr>
              <w:t>202232080011</w:t>
            </w:r>
          </w:p>
          <w:p w:rsidR="00ED5746" w:rsidRPr="00D84548" w:rsidP="00D23E19" w14:paraId="1DACCC82" w14:textId="2AC937EC">
            <w:pPr>
              <w:tabs>
                <w:tab w:val="center" w:pos="4680"/>
              </w:tabs>
              <w:suppressAutoHyphens/>
              <w:ind w:left="432"/>
              <w:rPr>
                <w:snapToGrid/>
                <w:spacing w:val="-2"/>
              </w:rPr>
            </w:pPr>
            <w:r w:rsidRPr="00D84548">
              <w:rPr>
                <w:szCs w:val="22"/>
              </w:rPr>
              <w:t xml:space="preserve">FRN:  </w:t>
            </w:r>
            <w:r w:rsidRPr="009D666C" w:rsidR="00B32FEF">
              <w:rPr>
                <w:spacing w:val="-2"/>
                <w:szCs w:val="22"/>
              </w:rPr>
              <w:t>0030126932</w:t>
            </w:r>
          </w:p>
        </w:tc>
      </w:tr>
    </w:tbl>
    <w:p w:rsidR="00F84BCA" w:rsidRPr="00D84548" w:rsidP="00AA4B16" w14:paraId="378D8910" w14:textId="115C29C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696A4F29">
      <w:pPr>
        <w:tabs>
          <w:tab w:val="left" w:pos="720"/>
          <w:tab w:val="right" w:pos="9360"/>
        </w:tabs>
        <w:suppressAutoHyphens/>
        <w:spacing w:line="227" w:lineRule="auto"/>
        <w:rPr>
          <w:spacing w:val="-2"/>
        </w:rPr>
      </w:pPr>
      <w:r w:rsidRPr="00D84548">
        <w:rPr>
          <w:b/>
          <w:spacing w:val="-2"/>
        </w:rPr>
        <w:t xml:space="preserve">Adopted:  </w:t>
      </w:r>
      <w:r w:rsidRPr="009C6B2A" w:rsidR="009C6B2A">
        <w:rPr>
          <w:b/>
          <w:spacing w:val="-2"/>
        </w:rPr>
        <w:t>October 19</w:t>
      </w:r>
      <w:r w:rsidRPr="009C6B2A" w:rsidR="00CF77B7">
        <w:rPr>
          <w:b/>
          <w:spacing w:val="-2"/>
        </w:rPr>
        <w:t>, 20</w:t>
      </w:r>
      <w:r w:rsidRPr="009C6B2A" w:rsidR="00B045DF">
        <w:rPr>
          <w:b/>
          <w:spacing w:val="-2"/>
        </w:rPr>
        <w:t>22</w:t>
      </w:r>
      <w:r w:rsidRPr="00D84548">
        <w:rPr>
          <w:b/>
          <w:spacing w:val="-2"/>
        </w:rPr>
        <w:tab/>
        <w:t xml:space="preserve">Released:  </w:t>
      </w:r>
      <w:r w:rsidR="009C6B2A">
        <w:rPr>
          <w:b/>
          <w:spacing w:val="-2"/>
        </w:rPr>
        <w:t xml:space="preserve">October 19, </w:t>
      </w:r>
      <w:r w:rsidRPr="00D84548">
        <w:rPr>
          <w:b/>
          <w:spacing w:val="-2"/>
        </w:rPr>
        <w:t>20</w:t>
      </w:r>
      <w:r w:rsidR="00B045DF">
        <w:rPr>
          <w:b/>
          <w:spacing w:val="-2"/>
        </w:rPr>
        <w:t>22</w:t>
      </w:r>
    </w:p>
    <w:p w:rsidR="00F84BCA" w:rsidRPr="00D84548" w:rsidP="00F84BCA" w14:paraId="21319640" w14:textId="77777777"/>
    <w:p w:rsidR="00F84BCA" w:rsidRPr="00D84548" w:rsidP="00F84BCA" w14:paraId="065DDB16" w14:textId="61885AE2">
      <w:pPr>
        <w:rPr>
          <w:spacing w:val="-2"/>
        </w:rPr>
      </w:pPr>
      <w:r w:rsidRPr="00D84548">
        <w:rPr>
          <w:spacing w:val="-2"/>
          <w:szCs w:val="22"/>
        </w:rPr>
        <w:t xml:space="preserve">By the </w:t>
      </w:r>
      <w:r w:rsidR="00BD257E">
        <w:rPr>
          <w:spacing w:val="-2"/>
          <w:szCs w:val="22"/>
        </w:rPr>
        <w:t xml:space="preserve">Acting </w:t>
      </w:r>
      <w:r w:rsidRPr="00D84548">
        <w:rPr>
          <w:spacing w:val="-2"/>
          <w:szCs w:val="22"/>
        </w:rPr>
        <w:t>Chief, Enforcement Bureau:</w:t>
      </w:r>
    </w:p>
    <w:p w:rsidR="00F84BCA" w:rsidRPr="00D84548" w:rsidP="00F84BCA" w14:paraId="59AA998E" w14:textId="77777777"/>
    <w:p w:rsidR="00F84BCA" w:rsidRPr="00D84548" w:rsidP="00776B70" w14:paraId="00D1D021" w14:textId="5DCD2C41">
      <w:pPr>
        <w:pStyle w:val="ParaNum"/>
        <w:widowControl/>
        <w:numPr>
          <w:ilvl w:val="0"/>
          <w:numId w:val="4"/>
        </w:numPr>
        <w:tabs>
          <w:tab w:val="clear" w:pos="1080"/>
        </w:tabs>
        <w:rPr>
          <w:color w:val="000000"/>
          <w:szCs w:val="22"/>
        </w:rPr>
      </w:pPr>
      <w:r w:rsidRPr="00D84548">
        <w:rPr>
          <w:szCs w:val="22"/>
        </w:rPr>
        <w:t>T</w:t>
      </w:r>
      <w:r w:rsidRPr="00D84548">
        <w:rPr>
          <w:szCs w:val="22"/>
        </w:rPr>
        <w:t xml:space="preserve">he Enforcement Bureau </w:t>
      </w:r>
      <w:r w:rsidRPr="00D84548">
        <w:rPr>
          <w:szCs w:val="22"/>
        </w:rPr>
        <w:t>of the Federal Communications Commission has entered into a Consent Decree to resolve its investigation into whether</w:t>
      </w:r>
      <w:r w:rsidR="00B045DF">
        <w:rPr>
          <w:szCs w:val="22"/>
        </w:rPr>
        <w:t xml:space="preserve"> </w:t>
      </w:r>
      <w:r w:rsidRPr="00B045DF" w:rsidR="00B045DF">
        <w:rPr>
          <w:szCs w:val="22"/>
        </w:rPr>
        <w:t>Cleveland-Cliffs Inc. (Cleveland-Cliffs)</w:t>
      </w:r>
      <w:r w:rsidR="00865DC9">
        <w:rPr>
          <w:szCs w:val="22"/>
        </w:rPr>
        <w:t xml:space="preserve"> </w:t>
      </w:r>
      <w:r w:rsidRPr="003F5C7D" w:rsidR="00865DC9">
        <w:rPr>
          <w:szCs w:val="22"/>
        </w:rPr>
        <w:t>violated the Communications Act of 1934, as amended (Act)</w:t>
      </w:r>
      <w:r w:rsidR="006A3A2C">
        <w:rPr>
          <w:szCs w:val="22"/>
        </w:rPr>
        <w:t>,</w:t>
      </w:r>
      <w:r w:rsidRPr="003F5C7D" w:rsidR="00865DC9">
        <w:rPr>
          <w:szCs w:val="22"/>
        </w:rPr>
        <w:t xml:space="preserve"> </w:t>
      </w:r>
      <w:r w:rsidRPr="008C5719" w:rsidR="00865DC9">
        <w:rPr>
          <w:szCs w:val="22"/>
        </w:rPr>
        <w:t>and the Commission’s rules</w:t>
      </w:r>
      <w:r w:rsidRPr="00BF0BDB" w:rsidR="00865DC9">
        <w:rPr>
          <w:szCs w:val="22"/>
        </w:rPr>
        <w:t>.</w:t>
      </w:r>
      <w:r w:rsidR="00865DC9">
        <w:rPr>
          <w:szCs w:val="22"/>
        </w:rPr>
        <w:t xml:space="preserve">  </w:t>
      </w:r>
      <w:r w:rsidRPr="008C5719" w:rsidR="00865DC9">
        <w:rPr>
          <w:szCs w:val="22"/>
        </w:rPr>
        <w:t xml:space="preserve">These violations </w:t>
      </w:r>
      <w:r w:rsidRPr="00BF0BDB" w:rsidR="00865DC9">
        <w:rPr>
          <w:szCs w:val="22"/>
        </w:rPr>
        <w:t>pertain to unauthorized transfers of control and assignments of licenses in the wireless radio service</w:t>
      </w:r>
      <w:r w:rsidR="00585FE9">
        <w:rPr>
          <w:szCs w:val="22"/>
        </w:rPr>
        <w:t>s</w:t>
      </w:r>
      <w:r w:rsidRPr="00BF0BDB" w:rsidR="00865DC9">
        <w:rPr>
          <w:szCs w:val="22"/>
        </w:rPr>
        <w:t xml:space="preserve"> </w:t>
      </w:r>
      <w:r w:rsidRPr="003F5C7D" w:rsidR="00865DC9">
        <w:rPr>
          <w:szCs w:val="22"/>
        </w:rPr>
        <w:t>in connection with</w:t>
      </w:r>
      <w:r w:rsidR="003E2E66">
        <w:rPr>
          <w:szCs w:val="22"/>
        </w:rPr>
        <w:t xml:space="preserve"> </w:t>
      </w:r>
      <w:r w:rsidRPr="003F5C7D" w:rsidR="00865DC9">
        <w:rPr>
          <w:szCs w:val="22"/>
        </w:rPr>
        <w:t>C</w:t>
      </w:r>
      <w:r w:rsidR="00865DC9">
        <w:rPr>
          <w:szCs w:val="22"/>
        </w:rPr>
        <w:t xml:space="preserve">leveland-Cliffs’ </w:t>
      </w:r>
      <w:r w:rsidRPr="003F5C7D" w:rsidR="00865DC9">
        <w:rPr>
          <w:szCs w:val="22"/>
        </w:rPr>
        <w:t>acquisition</w:t>
      </w:r>
      <w:r w:rsidR="00585FE9">
        <w:rPr>
          <w:szCs w:val="22"/>
        </w:rPr>
        <w:t>s</w:t>
      </w:r>
      <w:r w:rsidRPr="003F5C7D" w:rsidR="00865DC9">
        <w:rPr>
          <w:szCs w:val="22"/>
        </w:rPr>
        <w:t xml:space="preserve"> of </w:t>
      </w:r>
      <w:r w:rsidRPr="007A22ED" w:rsidR="00865DC9">
        <w:t xml:space="preserve">AK Steel Holding Corporation </w:t>
      </w:r>
      <w:r w:rsidRPr="007A22ED" w:rsidR="00865DC9">
        <w:rPr>
          <w:szCs w:val="22"/>
        </w:rPr>
        <w:t>and ArcelorMittal USA LLC</w:t>
      </w:r>
      <w:r w:rsidRPr="003F5C7D" w:rsidR="00865DC9">
        <w:rPr>
          <w:szCs w:val="22"/>
        </w:rPr>
        <w:t>.</w:t>
      </w:r>
      <w:r w:rsidR="00865DC9">
        <w:rPr>
          <w:szCs w:val="22"/>
        </w:rPr>
        <w:t xml:space="preserve">  </w:t>
      </w:r>
      <w:r w:rsidRPr="00D84548" w:rsidR="00852F69">
        <w:rPr>
          <w:szCs w:val="22"/>
        </w:rPr>
        <w:t xml:space="preserve">To settle this matter, </w:t>
      </w:r>
      <w:r w:rsidRPr="00B045DF" w:rsidR="00B045DF">
        <w:rPr>
          <w:szCs w:val="22"/>
        </w:rPr>
        <w:t>Cleveland-Cliffs</w:t>
      </w:r>
      <w:r w:rsidRPr="00D84548" w:rsidR="00E87831">
        <w:rPr>
          <w:szCs w:val="22"/>
        </w:rPr>
        <w:t xml:space="preserve"> </w:t>
      </w:r>
      <w:r w:rsidR="009D10E8">
        <w:rPr>
          <w:szCs w:val="22"/>
        </w:rPr>
        <w:t>agrees to</w:t>
      </w:r>
      <w:r w:rsidRPr="00D84548" w:rsidR="00202B90">
        <w:rPr>
          <w:szCs w:val="22"/>
        </w:rPr>
        <w:t xml:space="preserve"> implement a compliance plan</w:t>
      </w:r>
      <w:r w:rsidRPr="00D84548" w:rsidR="009632A6">
        <w:rPr>
          <w:szCs w:val="22"/>
        </w:rPr>
        <w:t xml:space="preserve"> and </w:t>
      </w:r>
      <w:r w:rsidRPr="00D84548" w:rsidR="00E87831">
        <w:rPr>
          <w:szCs w:val="22"/>
        </w:rPr>
        <w:t>pay</w:t>
      </w:r>
      <w:r w:rsidRPr="00D84548">
        <w:rPr>
          <w:szCs w:val="22"/>
        </w:rPr>
        <w:t xml:space="preserve"> </w:t>
      </w:r>
      <w:r w:rsidRPr="00D84548">
        <w:rPr>
          <w:szCs w:val="22"/>
        </w:rPr>
        <w:t xml:space="preserve">a </w:t>
      </w:r>
      <w:r w:rsidRPr="002850E5" w:rsidR="00B045DF">
        <w:t>$</w:t>
      </w:r>
      <w:r w:rsidR="00B045DF">
        <w:t>50</w:t>
      </w:r>
      <w:r w:rsidRPr="002850E5" w:rsidR="00B045DF">
        <w:t xml:space="preserve">,000 </w:t>
      </w:r>
      <w:r w:rsidRPr="00D84548">
        <w:rPr>
          <w:szCs w:val="22"/>
        </w:rPr>
        <w:t>civil penalty</w:t>
      </w:r>
      <w:r w:rsidRPr="00D84548" w:rsidR="00E87831">
        <w:rPr>
          <w:szCs w:val="22"/>
        </w:rPr>
        <w:t>.</w:t>
      </w:r>
      <w:r w:rsidR="009D10E8">
        <w:rPr>
          <w:szCs w:val="22"/>
        </w:rPr>
        <w:t xml:space="preserve">  </w:t>
      </w:r>
      <w:r w:rsidRPr="003F5C7D" w:rsidR="009D10E8">
        <w:rPr>
          <w:szCs w:val="22"/>
        </w:rPr>
        <w:t xml:space="preserve">This </w:t>
      </w:r>
      <w:r w:rsidR="00A55AD7">
        <w:rPr>
          <w:szCs w:val="22"/>
        </w:rPr>
        <w:t>resolution</w:t>
      </w:r>
      <w:r w:rsidRPr="003F5C7D" w:rsidR="009D10E8">
        <w:rPr>
          <w:szCs w:val="22"/>
        </w:rPr>
        <w:t xml:space="preserve"> reinforce</w:t>
      </w:r>
      <w:r w:rsidR="00A55AD7">
        <w:rPr>
          <w:szCs w:val="22"/>
        </w:rPr>
        <w:t>s</w:t>
      </w:r>
      <w:r w:rsidRPr="003F5C7D" w:rsidR="009D10E8">
        <w:rPr>
          <w:szCs w:val="22"/>
        </w:rPr>
        <w:t xml:space="preserve"> the Commission’s commitment to </w:t>
      </w:r>
      <w:r w:rsidRPr="008C5719" w:rsidR="009D10E8">
        <w:rPr>
          <w:szCs w:val="22"/>
        </w:rPr>
        <w:t>ensuring</w:t>
      </w:r>
      <w:r w:rsidRPr="00BF0BDB" w:rsidR="009D10E8">
        <w:rPr>
          <w:szCs w:val="22"/>
        </w:rPr>
        <w:t xml:space="preserve"> that the transfer and assignment of wireless authorizations is limited to instances where the</w:t>
      </w:r>
      <w:r w:rsidR="00585FE9">
        <w:rPr>
          <w:szCs w:val="22"/>
        </w:rPr>
        <w:t xml:space="preserve"> Commission has determined</w:t>
      </w:r>
      <w:r w:rsidRPr="00BF0BDB" w:rsidR="009D10E8">
        <w:rPr>
          <w:szCs w:val="22"/>
        </w:rPr>
        <w:t xml:space="preserve"> that the </w:t>
      </w:r>
      <w:r w:rsidRPr="003F5C7D" w:rsidR="009D10E8">
        <w:rPr>
          <w:szCs w:val="22"/>
        </w:rPr>
        <w:t>transfer or assignment is in the public</w:t>
      </w:r>
      <w:r w:rsidR="00E868CB">
        <w:rPr>
          <w:szCs w:val="22"/>
        </w:rPr>
        <w:t xml:space="preserve"> </w:t>
      </w:r>
      <w:r w:rsidRPr="003F5C7D" w:rsidR="009D10E8">
        <w:rPr>
          <w:szCs w:val="22"/>
        </w:rPr>
        <w:t>interest, convenience, and necessity.</w:t>
      </w:r>
      <w:r w:rsidRPr="00BF0BDB" w:rsidR="009D10E8">
        <w:rPr>
          <w:szCs w:val="22"/>
        </w:rPr>
        <w:t xml:space="preserve">  </w:t>
      </w:r>
      <w:r w:rsidRPr="00D84548">
        <w:rPr>
          <w:szCs w:val="22"/>
        </w:rPr>
        <w:t xml:space="preserve"> </w:t>
      </w:r>
    </w:p>
    <w:p w:rsidR="00B277A4" w:rsidRPr="00D84548" w:rsidP="00776B70" w14:paraId="0C2A38EA" w14:textId="1B97D5D0">
      <w:pPr>
        <w:pStyle w:val="ParaNum"/>
        <w:widowControl/>
        <w:numPr>
          <w:ilvl w:val="0"/>
          <w:numId w:val="4"/>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Pr="00D84548">
        <w:rPr>
          <w:szCs w:val="22"/>
        </w:rPr>
        <w:t xml:space="preserve"> regarding</w:t>
      </w:r>
      <w:r w:rsidR="00B045DF">
        <w:rPr>
          <w:szCs w:val="22"/>
        </w:rPr>
        <w:t xml:space="preserve"> </w:t>
      </w:r>
      <w:bookmarkStart w:id="0" w:name="_Hlk103260725"/>
      <w:r w:rsidRPr="00EA42ED" w:rsidR="00B045DF">
        <w:t>Cleveland-Cliffs</w:t>
      </w:r>
      <w:bookmarkEnd w:id="0"/>
      <w:r w:rsidR="00B045DF">
        <w:t>’</w:t>
      </w:r>
      <w:r w:rsidR="00B045DF">
        <w:rPr>
          <w:szCs w:val="22"/>
        </w:rPr>
        <w:t xml:space="preserve"> </w:t>
      </w:r>
      <w:r w:rsidRPr="00D84548">
        <w:rPr>
          <w:szCs w:val="22"/>
        </w:rPr>
        <w:t>compliance with</w:t>
      </w:r>
      <w:r w:rsidR="009D10E8">
        <w:rPr>
          <w:szCs w:val="22"/>
        </w:rPr>
        <w:t xml:space="preserve"> </w:t>
      </w:r>
      <w:r w:rsidRPr="003F5C7D" w:rsidR="009D10E8">
        <w:rPr>
          <w:szCs w:val="22"/>
        </w:rPr>
        <w:t>section 310(d) of the Act</w:t>
      </w:r>
      <w:r>
        <w:rPr>
          <w:rStyle w:val="FootnoteReference"/>
          <w:sz w:val="22"/>
          <w:szCs w:val="22"/>
        </w:rPr>
        <w:footnoteReference w:id="3"/>
      </w:r>
      <w:r w:rsidRPr="003F5C7D" w:rsidR="009D10E8">
        <w:rPr>
          <w:szCs w:val="22"/>
        </w:rPr>
        <w:t xml:space="preserve"> </w:t>
      </w:r>
      <w:r w:rsidRPr="008C5719" w:rsidR="009D10E8">
        <w:rPr>
          <w:szCs w:val="22"/>
        </w:rPr>
        <w:t>and section 1.948</w:t>
      </w:r>
      <w:r w:rsidR="009D10E8">
        <w:rPr>
          <w:szCs w:val="22"/>
        </w:rPr>
        <w:t xml:space="preserve"> </w:t>
      </w:r>
      <w:r w:rsidRPr="008C5719" w:rsidR="009D10E8">
        <w:rPr>
          <w:szCs w:val="22"/>
        </w:rPr>
        <w:t>of the Commission’s rules</w:t>
      </w:r>
      <w:r>
        <w:rPr>
          <w:rStyle w:val="FootnoteReference"/>
          <w:sz w:val="22"/>
          <w:szCs w:val="22"/>
        </w:rPr>
        <w:footnoteReference w:id="4"/>
      </w:r>
      <w:r w:rsidR="009D10E8">
        <w:rPr>
          <w:szCs w:val="22"/>
        </w:rPr>
        <w:t xml:space="preserve"> pertaining to </w:t>
      </w:r>
      <w:r w:rsidRPr="00BF0BDB" w:rsidR="009D10E8">
        <w:rPr>
          <w:szCs w:val="22"/>
        </w:rPr>
        <w:t>unauthorized transfers of control and assignments of licenses</w:t>
      </w:r>
      <w:r w:rsidR="009D10E8">
        <w:rPr>
          <w:szCs w:val="22"/>
        </w:rPr>
        <w:t>.</w:t>
      </w:r>
      <w:r w:rsidRPr="00D84548">
        <w:rPr>
          <w:szCs w:val="22"/>
        </w:rPr>
        <w:t xml:space="preserve"> </w:t>
      </w:r>
    </w:p>
    <w:p w:rsidR="00F84BCA" w:rsidRPr="00D84548" w:rsidP="00776B70" w14:paraId="4AD621F4" w14:textId="09F00F57">
      <w:pPr>
        <w:pStyle w:val="ParaNum"/>
        <w:widowControl/>
        <w:numPr>
          <w:ilvl w:val="0"/>
          <w:numId w:val="4"/>
        </w:numPr>
        <w:tabs>
          <w:tab w:val="clear" w:pos="1080"/>
          <w:tab w:val="left" w:pos="1440"/>
        </w:tabs>
        <w:rPr>
          <w:szCs w:val="22"/>
        </w:rPr>
      </w:pPr>
      <w:r>
        <w:rPr>
          <w:szCs w:val="22"/>
        </w:rPr>
        <w:t xml:space="preserve">In the absence of material new evidence relating to this matter, we do not set for hearing the question of </w:t>
      </w:r>
      <w:r w:rsidRPr="00B045DF" w:rsidR="00B045DF">
        <w:rPr>
          <w:szCs w:val="22"/>
        </w:rPr>
        <w:t>Cleveland-Cliffs</w:t>
      </w:r>
      <w:r w:rsidR="00B045DF">
        <w:rPr>
          <w:szCs w:val="22"/>
        </w:rPr>
        <w:t xml:space="preserve">’ </w:t>
      </w:r>
      <w:r>
        <w:rPr>
          <w:szCs w:val="22"/>
        </w:rPr>
        <w:t>basic qualifications to hold or obtain an</w:t>
      </w:r>
      <w:r w:rsidR="00F74D07">
        <w:rPr>
          <w:szCs w:val="22"/>
        </w:rPr>
        <w:t>y</w:t>
      </w:r>
      <w:r>
        <w:rPr>
          <w:szCs w:val="22"/>
        </w:rPr>
        <w:t xml:space="preserve"> Commission license or authorization.</w:t>
      </w:r>
      <w:r>
        <w:rPr>
          <w:rStyle w:val="FootnoteReference"/>
          <w:szCs w:val="22"/>
        </w:rPr>
        <w:footnoteReference w:id="5"/>
      </w:r>
    </w:p>
    <w:p w:rsidR="00F84BCA" w:rsidP="00776B70" w14:paraId="13E174C8" w14:textId="524837E7">
      <w:pPr>
        <w:pStyle w:val="ParaNum"/>
        <w:widowControl/>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sidR="001609C7">
        <w:rPr>
          <w:szCs w:val="22"/>
        </w:rPr>
        <w:t>s</w:t>
      </w:r>
      <w:r w:rsidRPr="00D84548">
        <w:rPr>
          <w:szCs w:val="22"/>
        </w:rPr>
        <w:t>ection</w:t>
      </w:r>
      <w:r w:rsidRPr="00D84548" w:rsidR="00B75912">
        <w:rPr>
          <w:szCs w:val="22"/>
        </w:rPr>
        <w:t xml:space="preserve"> 4(</w:t>
      </w:r>
      <w:r w:rsidRPr="00D84548" w:rsidR="00B75912">
        <w:rPr>
          <w:szCs w:val="22"/>
        </w:rPr>
        <w:t>i</w:t>
      </w:r>
      <w:r w:rsidRPr="00D84548" w:rsidR="00B75912">
        <w:rPr>
          <w:szCs w:val="22"/>
        </w:rPr>
        <w:t>)</w:t>
      </w:r>
      <w:r w:rsidR="00B045DF">
        <w:rPr>
          <w:szCs w:val="22"/>
        </w:rPr>
        <w:t xml:space="preserve"> </w:t>
      </w:r>
      <w:r w:rsidRPr="00D84548" w:rsidR="009632A6">
        <w:rPr>
          <w:szCs w:val="22"/>
        </w:rPr>
        <w:t>of the Act</w:t>
      </w:r>
      <w:r>
        <w:rPr>
          <w:rStyle w:val="FootnoteReference"/>
          <w:szCs w:val="22"/>
        </w:rPr>
        <w:footnoteReference w:id="6"/>
      </w:r>
      <w:r w:rsidRPr="00D84548">
        <w:rPr>
          <w:szCs w:val="22"/>
        </w:rPr>
        <w:t xml:space="preserve"> and the authority delegated by </w:t>
      </w:r>
      <w:r w:rsidR="001609C7">
        <w:rPr>
          <w:szCs w:val="22"/>
        </w:rPr>
        <w:t>s</w:t>
      </w:r>
      <w:r w:rsidRPr="00D84548">
        <w:rPr>
          <w:szCs w:val="22"/>
        </w:rPr>
        <w:t>ections 0.1</w:t>
      </w:r>
      <w:r w:rsidRPr="00D84548" w:rsidR="0051080A">
        <w:rPr>
          <w:szCs w:val="22"/>
        </w:rPr>
        <w:t xml:space="preserve">11 and 0.311 of the </w:t>
      </w:r>
      <w:r w:rsidR="001609C7">
        <w:rPr>
          <w:szCs w:val="22"/>
        </w:rPr>
        <w:t>Commission’s r</w:t>
      </w:r>
      <w:r w:rsidRPr="00D84548" w:rsidR="009632A6">
        <w:rPr>
          <w:szCs w:val="22"/>
        </w:rPr>
        <w:t>ules,</w:t>
      </w:r>
      <w:r>
        <w:rPr>
          <w:rStyle w:val="FootnoteReference"/>
          <w:szCs w:val="22"/>
        </w:rPr>
        <w:footnoteReference w:id="7"/>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94240B" w:rsidRPr="00854D99" w:rsidP="00776B70" w14:paraId="6CCD76F9" w14:textId="2ECC3BC2">
      <w:pPr>
        <w:pStyle w:val="ParaNum"/>
        <w:widowControl/>
        <w:numPr>
          <w:ilvl w:val="0"/>
          <w:numId w:val="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54D99" w:rsidP="00854D99" w14:paraId="6C1D4090" w14:textId="3942D245">
      <w:pPr>
        <w:pStyle w:val="ParaNum"/>
        <w:widowControl/>
        <w:numPr>
          <w:ilvl w:val="0"/>
          <w:numId w:val="0"/>
        </w:numPr>
        <w:tabs>
          <w:tab w:val="left" w:pos="1440"/>
        </w:tabs>
        <w:ind w:firstLine="720"/>
        <w:rPr>
          <w:b/>
        </w:rPr>
      </w:pPr>
    </w:p>
    <w:p w:rsidR="00854D99" w:rsidRPr="0090635A" w:rsidP="00854D99" w14:paraId="53896194" w14:textId="77777777">
      <w:pPr>
        <w:pStyle w:val="ParaNum"/>
        <w:widowControl/>
        <w:numPr>
          <w:ilvl w:val="0"/>
          <w:numId w:val="0"/>
        </w:numPr>
        <w:tabs>
          <w:tab w:val="left" w:pos="1440"/>
        </w:tabs>
        <w:ind w:firstLine="720"/>
        <w:rPr>
          <w:b/>
        </w:rPr>
      </w:pPr>
    </w:p>
    <w:p w:rsidR="00F84BCA" w:rsidRPr="00D84548" w:rsidP="00776B70" w14:paraId="215A29F1" w14:textId="3FABDB2E">
      <w:pPr>
        <w:pStyle w:val="ParaNum"/>
        <w:widowControl/>
        <w:numPr>
          <w:ilvl w:val="0"/>
          <w:numId w:val="4"/>
        </w:numPr>
        <w:tabs>
          <w:tab w:val="clear" w:pos="1080"/>
          <w:tab w:val="left" w:pos="1440"/>
        </w:tabs>
        <w:rPr>
          <w:szCs w:val="22"/>
        </w:rPr>
      </w:pPr>
      <w:r w:rsidRPr="00D84548">
        <w:rPr>
          <w:b/>
        </w:rPr>
        <w:t>IT IS FURTHER ORDERED</w:t>
      </w:r>
      <w:r w:rsidRPr="00D84548">
        <w:t xml:space="preserve"> that a copy of this Order and Consent Decree </w:t>
      </w:r>
      <w:r w:rsidRPr="00981F23" w:rsidR="00D84548">
        <w:rPr>
          <w:color w:val="000000" w:themeColor="text1"/>
          <w:szCs w:val="22"/>
        </w:rPr>
        <w:t xml:space="preserve">shall be sent by </w:t>
      </w:r>
      <w:r w:rsidR="00C652D0">
        <w:rPr>
          <w:color w:val="000000" w:themeColor="text1"/>
          <w:szCs w:val="22"/>
        </w:rPr>
        <w:t xml:space="preserve">e-mail to </w:t>
      </w:r>
      <w:r w:rsidRPr="00266788" w:rsidR="00266788">
        <w:rPr>
          <w:color w:val="000000" w:themeColor="text1"/>
          <w:szCs w:val="22"/>
        </w:rPr>
        <w:t xml:space="preserve">James </w:t>
      </w:r>
      <w:r w:rsidR="00585FE9">
        <w:rPr>
          <w:color w:val="000000" w:themeColor="text1"/>
          <w:szCs w:val="22"/>
        </w:rPr>
        <w:t xml:space="preserve">D. </w:t>
      </w:r>
      <w:r w:rsidRPr="00266788" w:rsidR="00266788">
        <w:rPr>
          <w:color w:val="000000" w:themeColor="text1"/>
          <w:szCs w:val="22"/>
        </w:rPr>
        <w:t>Graham</w:t>
      </w:r>
      <w:r w:rsidRPr="00981F23" w:rsidR="00D84548">
        <w:rPr>
          <w:color w:val="000000" w:themeColor="text1"/>
          <w:szCs w:val="22"/>
        </w:rPr>
        <w:t xml:space="preserve">, </w:t>
      </w:r>
      <w:r w:rsidRPr="00266788" w:rsidR="00266788">
        <w:rPr>
          <w:color w:val="000000" w:themeColor="text1"/>
          <w:szCs w:val="22"/>
        </w:rPr>
        <w:t xml:space="preserve">Executive Vice President, </w:t>
      </w:r>
      <w:r w:rsidR="00D806D5">
        <w:rPr>
          <w:color w:val="000000" w:themeColor="text1"/>
          <w:szCs w:val="22"/>
        </w:rPr>
        <w:t xml:space="preserve">Human Resources, </w:t>
      </w:r>
      <w:r w:rsidRPr="00266788" w:rsidR="00266788">
        <w:rPr>
          <w:color w:val="000000" w:themeColor="text1"/>
          <w:szCs w:val="22"/>
        </w:rPr>
        <w:t xml:space="preserve">Chief Legal </w:t>
      </w:r>
      <w:r w:rsidR="00D806D5">
        <w:rPr>
          <w:color w:val="000000" w:themeColor="text1"/>
          <w:szCs w:val="22"/>
        </w:rPr>
        <w:t xml:space="preserve">and Administrative </w:t>
      </w:r>
      <w:r w:rsidRPr="00266788" w:rsidR="00266788">
        <w:rPr>
          <w:color w:val="000000" w:themeColor="text1"/>
          <w:szCs w:val="22"/>
        </w:rPr>
        <w:t>Officer &amp; Secretary</w:t>
      </w:r>
      <w:r w:rsidRPr="00981F23" w:rsidR="00D84548">
        <w:rPr>
          <w:color w:val="000000" w:themeColor="text1"/>
          <w:szCs w:val="22"/>
        </w:rPr>
        <w:t xml:space="preserve">, </w:t>
      </w:r>
      <w:r w:rsidRPr="00266788" w:rsidR="00266788">
        <w:rPr>
          <w:color w:val="000000" w:themeColor="text1"/>
          <w:szCs w:val="22"/>
        </w:rPr>
        <w:t>Cleveland-Cliffs Inc.</w:t>
      </w:r>
      <w:r w:rsidRPr="00981F23" w:rsidR="00D84548">
        <w:rPr>
          <w:color w:val="000000" w:themeColor="text1"/>
          <w:szCs w:val="22"/>
        </w:rPr>
        <w:t>,</w:t>
      </w:r>
      <w:r w:rsidR="00266788">
        <w:rPr>
          <w:color w:val="000000" w:themeColor="text1"/>
          <w:szCs w:val="22"/>
        </w:rPr>
        <w:t xml:space="preserve"> </w:t>
      </w:r>
      <w:r w:rsidR="00C652D0">
        <w:rPr>
          <w:color w:val="000000" w:themeColor="text1"/>
          <w:szCs w:val="22"/>
        </w:rPr>
        <w:t xml:space="preserve">at </w:t>
      </w:r>
      <w:hyperlink r:id="rId5" w:history="1">
        <w:r w:rsidRPr="00AF0CFB" w:rsidR="00B039E3">
          <w:rPr>
            <w:rStyle w:val="Hyperlink"/>
            <w:szCs w:val="22"/>
          </w:rPr>
          <w:t>james.graham@clevelandcliffs.com</w:t>
        </w:r>
      </w:hyperlink>
      <w:r w:rsidR="00B039E3">
        <w:rPr>
          <w:color w:val="000000" w:themeColor="text1"/>
          <w:szCs w:val="22"/>
        </w:rPr>
        <w:t xml:space="preserve"> </w:t>
      </w:r>
      <w:r w:rsidR="00C652D0">
        <w:rPr>
          <w:color w:val="000000" w:themeColor="text1"/>
          <w:szCs w:val="22"/>
        </w:rPr>
        <w:t xml:space="preserve">and to </w:t>
      </w:r>
      <w:r w:rsidR="00261C5F">
        <w:rPr>
          <w:color w:val="000000" w:themeColor="text1"/>
          <w:szCs w:val="22"/>
        </w:rPr>
        <w:t>Bruce A. Olcott</w:t>
      </w:r>
      <w:r w:rsidRPr="00981F23" w:rsidR="00D84548">
        <w:rPr>
          <w:color w:val="000000" w:themeColor="text1"/>
          <w:szCs w:val="22"/>
        </w:rPr>
        <w:t xml:space="preserve">, </w:t>
      </w:r>
      <w:r w:rsidR="00B56AE5">
        <w:rPr>
          <w:color w:val="000000" w:themeColor="text1"/>
          <w:szCs w:val="22"/>
        </w:rPr>
        <w:t xml:space="preserve">Esquire, Jones Day, </w:t>
      </w:r>
      <w:r w:rsidR="00B039E3">
        <w:rPr>
          <w:color w:val="000000" w:themeColor="text1"/>
          <w:szCs w:val="22"/>
        </w:rPr>
        <w:t>counsel for Cleveland-Cliffs</w:t>
      </w:r>
      <w:r w:rsidR="00D806D5">
        <w:rPr>
          <w:color w:val="000000" w:themeColor="text1"/>
          <w:szCs w:val="22"/>
        </w:rPr>
        <w:t xml:space="preserve"> </w:t>
      </w:r>
      <w:r w:rsidR="00B039E3">
        <w:rPr>
          <w:color w:val="000000" w:themeColor="text1"/>
          <w:szCs w:val="22"/>
        </w:rPr>
        <w:t xml:space="preserve">Inc., </w:t>
      </w:r>
      <w:r w:rsidR="00DB5105">
        <w:rPr>
          <w:color w:val="000000" w:themeColor="text1"/>
          <w:szCs w:val="22"/>
        </w:rPr>
        <w:t xml:space="preserve">at </w:t>
      </w:r>
      <w:hyperlink r:id="rId6" w:history="1">
        <w:r w:rsidRPr="00AF0CFB" w:rsidR="00B039E3">
          <w:rPr>
            <w:rStyle w:val="Hyperlink"/>
            <w:szCs w:val="22"/>
          </w:rPr>
          <w:t>bolcott@jonesday.com</w:t>
        </w:r>
      </w:hyperlink>
      <w:r w:rsidR="00B039E3">
        <w:rPr>
          <w:color w:val="000000" w:themeColor="text1"/>
          <w:szCs w:val="22"/>
        </w:rPr>
        <w:t>.</w:t>
      </w:r>
    </w:p>
    <w:p w:rsidR="00F84BCA" w:rsidP="00F84BCA" w14:paraId="1B07C337" w14:textId="77777777">
      <w:pPr>
        <w:pStyle w:val="ParaNum"/>
        <w:numPr>
          <w:ilvl w:val="0"/>
          <w:numId w:val="0"/>
        </w:numPr>
        <w:tabs>
          <w:tab w:val="left" w:pos="1440"/>
        </w:tabs>
        <w:spacing w:after="240"/>
        <w:ind w:left="720"/>
        <w:rPr>
          <w:b/>
        </w:rPr>
      </w:pPr>
    </w:p>
    <w:p w:rsidR="00F84BCA" w:rsidRPr="00EF505E" w:rsidP="00F84BCA" w14:paraId="13D8E575" w14:textId="0B02D3E4">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Pr="00EF505E">
        <w:rPr>
          <w:szCs w:val="22"/>
          <w:lang w:val="fr-FR"/>
        </w:rPr>
        <w:t>FEDERAL COMMUNICATIONS COMMISSION</w:t>
      </w:r>
    </w:p>
    <w:p w:rsidR="00F84BCA" w:rsidRPr="00EF505E" w:rsidP="00F84BCA" w14:paraId="02E77021" w14:textId="77777777">
      <w:pPr>
        <w:rPr>
          <w:szCs w:val="22"/>
          <w:lang w:val="fr-FR"/>
        </w:rPr>
      </w:pPr>
    </w:p>
    <w:p w:rsidR="00F84BCA" w:rsidRPr="00EF505E" w:rsidP="00F84BCA" w14:paraId="03C5656E" w14:textId="77777777">
      <w:pPr>
        <w:rPr>
          <w:szCs w:val="22"/>
          <w:lang w:val="fr-FR"/>
        </w:rPr>
      </w:pPr>
    </w:p>
    <w:p w:rsidR="00F84BCA" w:rsidRPr="00EF505E" w:rsidP="00F84BCA" w14:paraId="46D0CC5C" w14:textId="5037E2C1">
      <w:pPr>
        <w:rPr>
          <w:szCs w:val="22"/>
          <w:lang w:val="fr-FR"/>
        </w:rPr>
      </w:pPr>
    </w:p>
    <w:p w:rsidR="00F84BCA" w:rsidRPr="00EF505E" w:rsidP="00F84BCA" w14:paraId="533CB404" w14:textId="77777777">
      <w:pPr>
        <w:outlineLvl w:val="0"/>
        <w:rPr>
          <w:szCs w:val="22"/>
          <w:lang w:val="fr-FR"/>
        </w:rPr>
      </w:pPr>
    </w:p>
    <w:p w:rsidR="00F84BCA" w:rsidP="00F84BCA" w14:paraId="5AD2E467" w14:textId="2B5788B9">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Pr="00BD257E" w:rsidR="00BD257E">
        <w:rPr>
          <w:szCs w:val="22"/>
          <w:lang w:val="fr-FR"/>
        </w:rPr>
        <w:t>Loyaan A. Ega</w:t>
      </w:r>
      <w:r w:rsidR="00020926">
        <w:rPr>
          <w:szCs w:val="22"/>
          <w:lang w:val="fr-FR"/>
        </w:rPr>
        <w:t>l</w:t>
      </w:r>
      <w:r w:rsidR="00D84548">
        <w:rPr>
          <w:szCs w:val="22"/>
          <w:lang w:val="fr-FR"/>
        </w:rPr>
        <w:t xml:space="preserve"> </w:t>
      </w:r>
    </w:p>
    <w:p w:rsidR="00D84548" w:rsidP="00F84BCA" w14:paraId="24F40FCB" w14:textId="5824ECA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0A4143">
        <w:rPr>
          <w:szCs w:val="22"/>
          <w:lang w:val="fr-FR"/>
        </w:rPr>
        <w:tab/>
      </w:r>
      <w:r w:rsidR="00BD257E">
        <w:rPr>
          <w:szCs w:val="22"/>
          <w:lang w:val="fr-FR"/>
        </w:rPr>
        <w:t xml:space="preserve">Acting </w:t>
      </w:r>
      <w:r w:rsidRPr="00A15CBD" w:rsidR="00F84BCA">
        <w:rPr>
          <w:szCs w:val="22"/>
        </w:rPr>
        <w:t>C</w:t>
      </w:r>
      <w:r w:rsidR="00F84BCA">
        <w:rPr>
          <w:szCs w:val="22"/>
        </w:rPr>
        <w:t>hief</w:t>
      </w:r>
      <w:r w:rsidR="00EF1C44">
        <w:rPr>
          <w:szCs w:val="22"/>
        </w:rPr>
        <w:t xml:space="preserve"> </w:t>
      </w:r>
    </w:p>
    <w:p w:rsidR="00776B70" w:rsidP="000A4143" w14:paraId="67913349" w14:textId="7F644CD1">
      <w:pPr>
        <w:ind w:left="3600" w:firstLine="720"/>
        <w:outlineLvl w:val="0"/>
        <w:rPr>
          <w:szCs w:val="22"/>
        </w:rPr>
      </w:pPr>
      <w:r>
        <w:rPr>
          <w:szCs w:val="22"/>
        </w:rPr>
        <w:t>Enforcement Bureau</w:t>
      </w:r>
    </w:p>
    <w:p w:rsidR="005B2F52" w:rsidP="00776B70" w14:paraId="2BA2EB92" w14:textId="77777777">
      <w:pPr>
        <w:jc w:val="center"/>
        <w:rPr>
          <w:rFonts w:ascii="Times New Roman Bold" w:hAnsi="Times New Roman Bold"/>
          <w:b/>
          <w:kern w:val="0"/>
          <w:szCs w:val="22"/>
        </w:rPr>
        <w:sectPr w:rsidSect="00A36B4A">
          <w:headerReference w:type="default" r:id="rId7"/>
          <w:footerReference w:type="even" r:id="rId8"/>
          <w:footerReference w:type="default" r:id="rId9"/>
          <w:headerReference w:type="first" r:id="rId10"/>
          <w:footerReference w:type="first" r:id="rId11"/>
          <w:endnotePr>
            <w:numFmt w:val="decimal"/>
          </w:endnotePr>
          <w:pgSz w:w="12240" w:h="15840"/>
          <w:pgMar w:top="1095" w:right="1440" w:bottom="720" w:left="1440" w:header="720" w:footer="720" w:gutter="0"/>
          <w:pgNumType w:start="1"/>
          <w:cols w:space="720"/>
          <w:noEndnote/>
          <w:titlePg/>
          <w:docGrid w:linePitch="299"/>
        </w:sectPr>
      </w:pPr>
    </w:p>
    <w:p w:rsidR="00776B70" w:rsidRPr="00843A5F" w:rsidP="00776B70" w14:paraId="539800B8" w14:textId="77777777">
      <w:pPr>
        <w:jc w:val="center"/>
        <w:rPr>
          <w:b/>
        </w:rPr>
      </w:pPr>
      <w:r w:rsidRPr="00843A5F">
        <w:rPr>
          <w:rFonts w:ascii="Times New Roman Bold" w:hAnsi="Times New Roman Bold"/>
          <w:b/>
          <w:kern w:val="0"/>
          <w:szCs w:val="22"/>
        </w:rPr>
        <w:t>Before</w:t>
      </w:r>
      <w:r w:rsidRPr="00843A5F">
        <w:rPr>
          <w:b/>
        </w:rPr>
        <w:t xml:space="preserve"> the</w:t>
      </w:r>
    </w:p>
    <w:p w:rsidR="00776B70" w:rsidRPr="00843A5F" w:rsidP="00776B70" w14:paraId="09606B90" w14:textId="77777777">
      <w:pPr>
        <w:pStyle w:val="StyleBoldCentered"/>
      </w:pPr>
      <w:r w:rsidRPr="00843A5F">
        <w:t>F</w:t>
      </w:r>
      <w:r w:rsidRPr="00843A5F">
        <w:rPr>
          <w:caps w:val="0"/>
        </w:rPr>
        <w:t>ederal Communications Commission</w:t>
      </w:r>
    </w:p>
    <w:p w:rsidR="00776B70" w:rsidRPr="00843A5F" w:rsidP="00776B70" w14:paraId="530B292F" w14:textId="77777777">
      <w:pPr>
        <w:pStyle w:val="StyleBoldCentered"/>
      </w:pPr>
      <w:r w:rsidRPr="00843A5F">
        <w:rPr>
          <w:caps w:val="0"/>
        </w:rPr>
        <w:t>Washington, D</w:t>
      </w:r>
      <w:r>
        <w:rPr>
          <w:caps w:val="0"/>
        </w:rPr>
        <w:t>.</w:t>
      </w:r>
      <w:r w:rsidRPr="00843A5F">
        <w:rPr>
          <w:caps w:val="0"/>
        </w:rPr>
        <w:t>C</w:t>
      </w:r>
      <w:r>
        <w:rPr>
          <w:caps w:val="0"/>
        </w:rPr>
        <w:t>.</w:t>
      </w:r>
      <w:r w:rsidRPr="00843A5F">
        <w:rPr>
          <w:caps w:val="0"/>
        </w:rPr>
        <w:t xml:space="preserve"> 20554</w:t>
      </w:r>
    </w:p>
    <w:p w:rsidR="00776B70" w:rsidRPr="00843A5F" w:rsidP="00776B70" w14:paraId="6E37E0EA" w14:textId="77777777"/>
    <w:tbl>
      <w:tblPr>
        <w:tblW w:w="9576" w:type="dxa"/>
        <w:tblLayout w:type="fixed"/>
        <w:tblLook w:val="0000"/>
      </w:tblPr>
      <w:tblGrid>
        <w:gridCol w:w="4698"/>
        <w:gridCol w:w="630"/>
        <w:gridCol w:w="4248"/>
      </w:tblGrid>
      <w:tr w14:paraId="0353210D" w14:textId="77777777" w:rsidTr="008D35FE">
        <w:tblPrEx>
          <w:tblW w:w="9576" w:type="dxa"/>
          <w:tblLayout w:type="fixed"/>
          <w:tblLook w:val="0000"/>
        </w:tblPrEx>
        <w:trPr>
          <w:trHeight w:val="2043"/>
        </w:trPr>
        <w:tc>
          <w:tcPr>
            <w:tcW w:w="4698" w:type="dxa"/>
          </w:tcPr>
          <w:p w:rsidR="00776B70" w:rsidRPr="00843A5F" w:rsidP="008D35FE" w14:paraId="70BC5FF9" w14:textId="77777777">
            <w:pPr>
              <w:tabs>
                <w:tab w:val="center" w:pos="4680"/>
              </w:tabs>
              <w:suppressAutoHyphens/>
              <w:rPr>
                <w:spacing w:val="-2"/>
              </w:rPr>
            </w:pPr>
            <w:r w:rsidRPr="00843A5F">
              <w:rPr>
                <w:spacing w:val="-2"/>
              </w:rPr>
              <w:t>In the Matter of</w:t>
            </w:r>
          </w:p>
          <w:p w:rsidR="00776B70" w:rsidRPr="00843A5F" w:rsidP="008D35FE" w14:paraId="05BAD41D" w14:textId="77777777">
            <w:pPr>
              <w:tabs>
                <w:tab w:val="center" w:pos="4680"/>
              </w:tabs>
              <w:suppressAutoHyphens/>
              <w:rPr>
                <w:spacing w:val="-2"/>
              </w:rPr>
            </w:pPr>
          </w:p>
          <w:p w:rsidR="00776B70" w:rsidP="008D35FE" w14:paraId="6B680B5D" w14:textId="77777777">
            <w:pPr>
              <w:tabs>
                <w:tab w:val="center" w:pos="4680"/>
              </w:tabs>
              <w:suppressAutoHyphens/>
              <w:rPr>
                <w:szCs w:val="22"/>
              </w:rPr>
            </w:pPr>
            <w:r w:rsidRPr="00AE214E">
              <w:rPr>
                <w:szCs w:val="22"/>
              </w:rPr>
              <w:t>Cleveland-Cliffs Inc.</w:t>
            </w:r>
          </w:p>
          <w:p w:rsidR="00776B70" w:rsidP="008D35FE" w14:paraId="1188DCC8" w14:textId="77777777">
            <w:pPr>
              <w:tabs>
                <w:tab w:val="center" w:pos="4680"/>
              </w:tabs>
              <w:suppressAutoHyphens/>
              <w:rPr>
                <w:szCs w:val="22"/>
              </w:rPr>
            </w:pPr>
          </w:p>
          <w:p w:rsidR="00776B70" w:rsidRPr="007C0B39" w:rsidP="008D35FE" w14:paraId="4A8AB102" w14:textId="77777777">
            <w:pPr>
              <w:tabs>
                <w:tab w:val="center" w:pos="4680"/>
              </w:tabs>
              <w:suppressAutoHyphens/>
              <w:rPr>
                <w:spacing w:val="-2"/>
              </w:rPr>
            </w:pPr>
            <w:r w:rsidRPr="00AE214E">
              <w:rPr>
                <w:spacing w:val="-2"/>
              </w:rPr>
              <w:t>Holding Various Licenses in the Wireless Radio Services</w:t>
            </w:r>
          </w:p>
        </w:tc>
        <w:tc>
          <w:tcPr>
            <w:tcW w:w="630" w:type="dxa"/>
          </w:tcPr>
          <w:p w:rsidR="00776B70" w:rsidRPr="007C0B39" w:rsidP="008D35FE" w14:paraId="45B57716" w14:textId="77777777">
            <w:pPr>
              <w:tabs>
                <w:tab w:val="center" w:pos="4680"/>
              </w:tabs>
              <w:suppressAutoHyphens/>
              <w:rPr>
                <w:b/>
                <w:spacing w:val="-2"/>
              </w:rPr>
            </w:pPr>
            <w:r w:rsidRPr="007C0B39">
              <w:rPr>
                <w:b/>
                <w:spacing w:val="-2"/>
              </w:rPr>
              <w:t>)</w:t>
            </w:r>
          </w:p>
          <w:p w:rsidR="00776B70" w:rsidRPr="007C0B39" w:rsidP="008D35FE" w14:paraId="5DA66D45" w14:textId="77777777">
            <w:pPr>
              <w:tabs>
                <w:tab w:val="center" w:pos="4680"/>
              </w:tabs>
              <w:suppressAutoHyphens/>
              <w:rPr>
                <w:b/>
                <w:spacing w:val="-2"/>
              </w:rPr>
            </w:pPr>
            <w:r w:rsidRPr="007C0B39">
              <w:rPr>
                <w:b/>
                <w:spacing w:val="-2"/>
              </w:rPr>
              <w:t>)</w:t>
            </w:r>
          </w:p>
          <w:p w:rsidR="00776B70" w:rsidRPr="007C0B39" w:rsidP="008D35FE" w14:paraId="54BAC795" w14:textId="77777777">
            <w:pPr>
              <w:tabs>
                <w:tab w:val="center" w:pos="4680"/>
              </w:tabs>
              <w:suppressAutoHyphens/>
              <w:rPr>
                <w:b/>
                <w:spacing w:val="-2"/>
              </w:rPr>
            </w:pPr>
            <w:r w:rsidRPr="007C0B39">
              <w:rPr>
                <w:b/>
                <w:spacing w:val="-2"/>
              </w:rPr>
              <w:t>)</w:t>
            </w:r>
          </w:p>
          <w:p w:rsidR="00776B70" w:rsidRPr="007C0B39" w:rsidP="008D35FE" w14:paraId="1C877EF7" w14:textId="77777777">
            <w:pPr>
              <w:tabs>
                <w:tab w:val="center" w:pos="4680"/>
              </w:tabs>
              <w:suppressAutoHyphens/>
              <w:rPr>
                <w:b/>
                <w:spacing w:val="-2"/>
              </w:rPr>
            </w:pPr>
            <w:r w:rsidRPr="007C0B39">
              <w:rPr>
                <w:b/>
                <w:spacing w:val="-2"/>
              </w:rPr>
              <w:t>)</w:t>
            </w:r>
          </w:p>
          <w:p w:rsidR="00776B70" w:rsidRPr="007C0B39" w:rsidP="008D35FE" w14:paraId="151E896C" w14:textId="77777777">
            <w:pPr>
              <w:tabs>
                <w:tab w:val="center" w:pos="4680"/>
              </w:tabs>
              <w:suppressAutoHyphens/>
              <w:rPr>
                <w:b/>
                <w:spacing w:val="-2"/>
              </w:rPr>
            </w:pPr>
            <w:r w:rsidRPr="007C0B39">
              <w:rPr>
                <w:b/>
                <w:spacing w:val="-2"/>
              </w:rPr>
              <w:t>)</w:t>
            </w:r>
          </w:p>
          <w:p w:rsidR="00776B70" w:rsidRPr="007C0B39" w:rsidP="008D35FE" w14:paraId="4F8AB6D8" w14:textId="77777777">
            <w:pPr>
              <w:tabs>
                <w:tab w:val="center" w:pos="4680"/>
              </w:tabs>
              <w:suppressAutoHyphens/>
              <w:rPr>
                <w:b/>
                <w:spacing w:val="-2"/>
              </w:rPr>
            </w:pPr>
            <w:r w:rsidRPr="007C0B39">
              <w:rPr>
                <w:b/>
                <w:spacing w:val="-2"/>
              </w:rPr>
              <w:t>)</w:t>
            </w:r>
          </w:p>
          <w:p w:rsidR="00776B70" w:rsidRPr="007C0B39" w:rsidP="008D35FE" w14:paraId="179568AB" w14:textId="77777777">
            <w:pPr>
              <w:tabs>
                <w:tab w:val="center" w:pos="4680"/>
              </w:tabs>
              <w:suppressAutoHyphens/>
              <w:rPr>
                <w:b/>
                <w:spacing w:val="-2"/>
              </w:rPr>
            </w:pPr>
            <w:r w:rsidRPr="007C0B39">
              <w:rPr>
                <w:b/>
                <w:spacing w:val="-2"/>
              </w:rPr>
              <w:t>)</w:t>
            </w:r>
          </w:p>
          <w:p w:rsidR="00776B70" w:rsidRPr="007C0B39" w:rsidP="008D35FE" w14:paraId="59DD26AF" w14:textId="77777777">
            <w:pPr>
              <w:tabs>
                <w:tab w:val="center" w:pos="4680"/>
              </w:tabs>
              <w:suppressAutoHyphens/>
              <w:rPr>
                <w:spacing w:val="-2"/>
              </w:rPr>
            </w:pPr>
          </w:p>
        </w:tc>
        <w:tc>
          <w:tcPr>
            <w:tcW w:w="4248" w:type="dxa"/>
          </w:tcPr>
          <w:p w:rsidR="00776B70" w:rsidP="008D35FE" w14:paraId="1421FB1E" w14:textId="77777777">
            <w:pPr>
              <w:tabs>
                <w:tab w:val="center" w:pos="4680"/>
              </w:tabs>
              <w:suppressAutoHyphens/>
              <w:ind w:left="432"/>
              <w:rPr>
                <w:spacing w:val="-2"/>
                <w:szCs w:val="22"/>
              </w:rPr>
            </w:pPr>
          </w:p>
          <w:p w:rsidR="00776B70" w:rsidP="008D35FE" w14:paraId="76AB64D1" w14:textId="77777777">
            <w:pPr>
              <w:tabs>
                <w:tab w:val="center" w:pos="4680"/>
              </w:tabs>
              <w:suppressAutoHyphens/>
              <w:ind w:left="432"/>
              <w:rPr>
                <w:spacing w:val="-2"/>
                <w:szCs w:val="22"/>
              </w:rPr>
            </w:pPr>
          </w:p>
          <w:p w:rsidR="00776B70" w:rsidRPr="007C0B39" w:rsidP="008D35FE" w14:paraId="2847AB9A" w14:textId="77777777">
            <w:pPr>
              <w:tabs>
                <w:tab w:val="center" w:pos="4680"/>
              </w:tabs>
              <w:suppressAutoHyphens/>
              <w:ind w:left="432"/>
              <w:rPr>
                <w:spacing w:val="-2"/>
                <w:szCs w:val="22"/>
              </w:rPr>
            </w:pPr>
            <w:r w:rsidRPr="007C0B39">
              <w:rPr>
                <w:spacing w:val="-2"/>
                <w:szCs w:val="22"/>
              </w:rPr>
              <w:t>File No.:</w:t>
            </w:r>
            <w:r>
              <w:rPr>
                <w:spacing w:val="-2"/>
                <w:szCs w:val="22"/>
              </w:rPr>
              <w:t xml:space="preserve">  </w:t>
            </w:r>
            <w:r w:rsidRPr="009316FF">
              <w:rPr>
                <w:rFonts w:cstheme="minorHAnsi"/>
              </w:rPr>
              <w:t>EB-IHD-21-00032275</w:t>
            </w:r>
          </w:p>
          <w:p w:rsidR="00776B70" w:rsidRPr="002755D1" w:rsidP="008D35FE" w14:paraId="608EE838" w14:textId="77777777">
            <w:pPr>
              <w:ind w:left="432"/>
              <w:rPr>
                <w:spacing w:val="-2"/>
                <w:szCs w:val="22"/>
              </w:rPr>
            </w:pPr>
            <w:r>
              <w:rPr>
                <w:spacing w:val="-2"/>
                <w:szCs w:val="22"/>
              </w:rPr>
              <w:t xml:space="preserve">CD </w:t>
            </w:r>
            <w:r w:rsidRPr="007C0B39">
              <w:rPr>
                <w:spacing w:val="-2"/>
                <w:szCs w:val="22"/>
              </w:rPr>
              <w:t xml:space="preserve">Acct. No.:  </w:t>
            </w:r>
            <w:r>
              <w:rPr>
                <w:spacing w:val="-2"/>
                <w:szCs w:val="22"/>
              </w:rPr>
              <w:t>202232080011</w:t>
            </w:r>
          </w:p>
          <w:p w:rsidR="00776B70" w:rsidRPr="007C0B39" w:rsidP="008D35FE" w14:paraId="656F8BCD" w14:textId="77777777">
            <w:pPr>
              <w:tabs>
                <w:tab w:val="center" w:pos="4680"/>
              </w:tabs>
              <w:suppressAutoHyphens/>
              <w:ind w:left="432"/>
              <w:rPr>
                <w:spacing w:val="-2"/>
              </w:rPr>
            </w:pPr>
            <w:r w:rsidRPr="007C0B39">
              <w:rPr>
                <w:szCs w:val="22"/>
              </w:rPr>
              <w:t xml:space="preserve">FRN:  </w:t>
            </w:r>
            <w:r w:rsidRPr="009D666C">
              <w:rPr>
                <w:spacing w:val="-2"/>
                <w:szCs w:val="22"/>
              </w:rPr>
              <w:t>0030126932</w:t>
            </w:r>
          </w:p>
        </w:tc>
      </w:tr>
    </w:tbl>
    <w:p w:rsidR="00776B70" w:rsidRPr="007C0B39" w:rsidP="00776B70" w14:paraId="2727A094" w14:textId="77777777">
      <w:pPr>
        <w:pStyle w:val="StyleBoldCentered"/>
      </w:pPr>
      <w:r w:rsidRPr="007C0B39">
        <w:t>CONSENT DECREE</w:t>
      </w:r>
    </w:p>
    <w:p w:rsidR="00776B70" w:rsidRPr="007C0B39" w:rsidP="00776B70" w14:paraId="364811BB" w14:textId="77777777">
      <w:pPr>
        <w:pStyle w:val="StyleBoldCentered"/>
      </w:pPr>
    </w:p>
    <w:p w:rsidR="00776B70" w:rsidRPr="007C0B39" w:rsidP="00776B70" w14:paraId="05DCF3C0" w14:textId="77777777">
      <w:pPr>
        <w:pStyle w:val="ParaNum"/>
        <w:widowControl/>
      </w:pPr>
      <w:r w:rsidRPr="007C0B39">
        <w:t>The Enforcement Bureau of the Federal Communications Commission and</w:t>
      </w:r>
      <w:r>
        <w:t xml:space="preserve"> </w:t>
      </w:r>
      <w:bookmarkStart w:id="2" w:name="_Hlk103270235"/>
      <w:r w:rsidRPr="00EA42ED">
        <w:t>Cleveland-Cliffs Inc.</w:t>
      </w:r>
      <w:r>
        <w:t xml:space="preserve"> </w:t>
      </w:r>
      <w:bookmarkEnd w:id="2"/>
      <w:r>
        <w:t>(</w:t>
      </w:r>
      <w:r w:rsidRPr="00EA42ED">
        <w:t>Cleveland-Cliffs</w:t>
      </w:r>
      <w:r>
        <w:t>)</w:t>
      </w:r>
      <w:r w:rsidRPr="007C0B39">
        <w:t xml:space="preserve">, by their authorized representatives, hereby enter into this Consent Decree for the purpose of terminating the Enforcement Bureau’s investigation into whether </w:t>
      </w:r>
      <w:r w:rsidRPr="00EA42ED">
        <w:t xml:space="preserve">Cleveland-Cliffs </w:t>
      </w:r>
      <w:r w:rsidRPr="007C0B39">
        <w:t>violated</w:t>
      </w:r>
      <w:r>
        <w:t xml:space="preserve"> </w:t>
      </w:r>
      <w:r w:rsidRPr="007E5DAB">
        <w:t>section 310(d) of the Communications Act of 1934, as amended,</w:t>
      </w:r>
      <w:r>
        <w:rPr>
          <w:rStyle w:val="FootnoteReference"/>
          <w:sz w:val="22"/>
        </w:rPr>
        <w:footnoteReference w:id="8"/>
      </w:r>
      <w:r w:rsidRPr="007E5DAB">
        <w:t xml:space="preserve"> and section 1.948</w:t>
      </w:r>
      <w:r>
        <w:t xml:space="preserve"> </w:t>
      </w:r>
      <w:r w:rsidRPr="007E5DAB">
        <w:t>of the Commission’s rules</w:t>
      </w:r>
      <w:r>
        <w:t>.</w:t>
      </w:r>
      <w:r>
        <w:rPr>
          <w:rStyle w:val="FootnoteReference"/>
          <w:sz w:val="22"/>
        </w:rPr>
        <w:footnoteReference w:id="9"/>
      </w:r>
      <w:r>
        <w:t xml:space="preserve">  The violations pertain to </w:t>
      </w:r>
      <w:r w:rsidRPr="007E5DAB">
        <w:t>unauthorized transfers of control and assignments of licenses in the wireless radio service</w:t>
      </w:r>
      <w:r>
        <w:t>s</w:t>
      </w:r>
      <w:r w:rsidRPr="007E5DAB">
        <w:t xml:space="preserve"> </w:t>
      </w:r>
      <w:r w:rsidRPr="007A22ED">
        <w:t xml:space="preserve">in connection with </w:t>
      </w:r>
      <w:r w:rsidRPr="007A22ED">
        <w:rPr>
          <w:szCs w:val="22"/>
        </w:rPr>
        <w:t>Cleveland-Cliffs’</w:t>
      </w:r>
      <w:r w:rsidRPr="007A22ED">
        <w:t xml:space="preserve"> acquisition</w:t>
      </w:r>
      <w:r>
        <w:t>s</w:t>
      </w:r>
      <w:r w:rsidRPr="007A22ED">
        <w:t xml:space="preserve"> of AK Steel Holding Corporation </w:t>
      </w:r>
      <w:r w:rsidRPr="007A22ED">
        <w:rPr>
          <w:szCs w:val="22"/>
        </w:rPr>
        <w:t>and ArcelorMittal USA LLC</w:t>
      </w:r>
      <w:r w:rsidRPr="007C0B39">
        <w:t>.</w:t>
      </w:r>
      <w:r>
        <w:t xml:space="preserve">  To resolve this matter, </w:t>
      </w:r>
      <w:bookmarkStart w:id="3" w:name="_Hlk103260599"/>
      <w:r>
        <w:rPr>
          <w:szCs w:val="22"/>
        </w:rPr>
        <w:t>Cleveland-Cliffs</w:t>
      </w:r>
      <w:r>
        <w:t xml:space="preserve"> </w:t>
      </w:r>
      <w:bookmarkEnd w:id="3"/>
      <w:r>
        <w:t xml:space="preserve">agrees to </w:t>
      </w:r>
      <w:r w:rsidRPr="002850E5">
        <w:t>implement a compliance plan and to pay a $</w:t>
      </w:r>
      <w:r>
        <w:t>50</w:t>
      </w:r>
      <w:r w:rsidRPr="002850E5">
        <w:t>,000 civil penalty</w:t>
      </w:r>
      <w:r>
        <w:t>.  This resolution reinforces the Commission’s commitment to ensuring that the transfer and assignment of wireless authorizations is limited to instances where the Commission has determined that such a transfer or assignment is in the public interest, convenience, and necessity.</w:t>
      </w:r>
    </w:p>
    <w:p w:rsidR="00776B70" w:rsidRPr="007C0B39" w:rsidP="00776B70" w14:paraId="087FC4CD" w14:textId="77777777">
      <w:pPr>
        <w:pStyle w:val="Heading1"/>
        <w:widowControl/>
      </w:pPr>
      <w:r w:rsidRPr="007C0B39">
        <w:t>DEFINITIONS</w:t>
      </w:r>
    </w:p>
    <w:p w:rsidR="00776B70" w:rsidRPr="007C0B39" w:rsidP="00776B70" w14:paraId="28AD9ADB" w14:textId="77777777">
      <w:pPr>
        <w:pStyle w:val="ParaNum"/>
        <w:widowControl/>
      </w:pPr>
      <w:r w:rsidRPr="007C0B39">
        <w:t>For the purposes of this Consent Decree, the following definitions shall apply:</w:t>
      </w:r>
    </w:p>
    <w:p w:rsidR="00776B70" w:rsidRPr="007C0B39" w:rsidP="00776B70" w14:paraId="271A87BF" w14:textId="77777777">
      <w:pPr>
        <w:widowControl/>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0"/>
      </w:r>
    </w:p>
    <w:p w:rsidR="00776B70" w:rsidP="00776B70" w14:paraId="3FD6691A" w14:textId="77777777">
      <w:pPr>
        <w:widowControl/>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776B70" w:rsidP="00776B70" w14:paraId="1F8AE58F" w14:textId="77777777">
      <w:pPr>
        <w:widowControl/>
        <w:numPr>
          <w:ilvl w:val="0"/>
          <w:numId w:val="5"/>
        </w:numPr>
        <w:tabs>
          <w:tab w:val="clear" w:pos="1224"/>
        </w:tabs>
        <w:spacing w:after="120"/>
        <w:ind w:left="1890"/>
        <w:rPr>
          <w:szCs w:val="22"/>
        </w:rPr>
      </w:pPr>
      <w:r w:rsidRPr="00517116">
        <w:rPr>
          <w:szCs w:val="22"/>
        </w:rPr>
        <w:t xml:space="preserve">“AK Steel” </w:t>
      </w:r>
      <w:r w:rsidRPr="00072EEF">
        <w:rPr>
          <w:szCs w:val="22"/>
        </w:rPr>
        <w:t>means AK Steel Holding Corporation.</w:t>
      </w:r>
    </w:p>
    <w:p w:rsidR="00776B70" w:rsidRPr="001A2FD6" w:rsidP="00776B70" w14:paraId="2E9573FF" w14:textId="77777777">
      <w:pPr>
        <w:widowControl/>
        <w:numPr>
          <w:ilvl w:val="0"/>
          <w:numId w:val="5"/>
        </w:numPr>
        <w:tabs>
          <w:tab w:val="clear" w:pos="1224"/>
        </w:tabs>
        <w:spacing w:after="120"/>
        <w:ind w:left="1890"/>
        <w:rPr>
          <w:szCs w:val="22"/>
        </w:rPr>
      </w:pPr>
      <w:r w:rsidRPr="001A2FD6">
        <w:rPr>
          <w:szCs w:val="22"/>
        </w:rPr>
        <w:t>“AK Steel Remedial Applications and Waiver Requests” means Applications for Transfer of Control, ULS File Nos. 0009320353, 0009320414, 0009320470, 0009320549, 0009320379, 0009320393, 0009320582, 0010024403.</w:t>
      </w:r>
    </w:p>
    <w:p w:rsidR="00776B70" w:rsidRPr="001A2FD6" w:rsidP="00776B70" w14:paraId="368FB755" w14:textId="77777777">
      <w:pPr>
        <w:widowControl/>
        <w:numPr>
          <w:ilvl w:val="0"/>
          <w:numId w:val="5"/>
        </w:numPr>
        <w:tabs>
          <w:tab w:val="clear" w:pos="1224"/>
        </w:tabs>
        <w:spacing w:after="120"/>
        <w:ind w:left="1890"/>
        <w:rPr>
          <w:szCs w:val="22"/>
        </w:rPr>
      </w:pPr>
      <w:r w:rsidRPr="001A2FD6">
        <w:rPr>
          <w:szCs w:val="22"/>
        </w:rPr>
        <w:t>“ArcelorMittal</w:t>
      </w:r>
      <w:r>
        <w:rPr>
          <w:szCs w:val="22"/>
        </w:rPr>
        <w:t xml:space="preserve"> USA</w:t>
      </w:r>
      <w:r w:rsidRPr="001A2FD6">
        <w:rPr>
          <w:szCs w:val="22"/>
        </w:rPr>
        <w:t>” means ArcelorMittal USA LLC.</w:t>
      </w:r>
    </w:p>
    <w:p w:rsidR="00776B70" w:rsidRPr="001A2FD6" w:rsidP="00776B70" w14:paraId="42790C79" w14:textId="77777777">
      <w:pPr>
        <w:widowControl/>
        <w:numPr>
          <w:ilvl w:val="0"/>
          <w:numId w:val="5"/>
        </w:numPr>
        <w:tabs>
          <w:tab w:val="clear" w:pos="1224"/>
        </w:tabs>
        <w:spacing w:after="120"/>
        <w:ind w:left="1890"/>
        <w:rPr>
          <w:szCs w:val="22"/>
        </w:rPr>
      </w:pPr>
      <w:r w:rsidRPr="001A2FD6">
        <w:rPr>
          <w:szCs w:val="22"/>
        </w:rPr>
        <w:t xml:space="preserve">“ArcelorMittal </w:t>
      </w:r>
      <w:r>
        <w:rPr>
          <w:szCs w:val="22"/>
        </w:rPr>
        <w:t xml:space="preserve">USA </w:t>
      </w:r>
      <w:r w:rsidRPr="001A2FD6">
        <w:rPr>
          <w:szCs w:val="22"/>
        </w:rPr>
        <w:t>Remedial Applications and Waiver Requests” means Applications for Transfer of Control, ULS File Nos. 0009565988, 0009566021.</w:t>
      </w:r>
    </w:p>
    <w:p w:rsidR="00776B70" w:rsidRPr="007C0B39" w:rsidP="00776B70" w14:paraId="38E05A92" w14:textId="77777777">
      <w:pPr>
        <w:widowControl/>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776B70" w:rsidP="00776B70" w14:paraId="11FF5A00" w14:textId="77777777">
      <w:pPr>
        <w:widowControl/>
        <w:numPr>
          <w:ilvl w:val="0"/>
          <w:numId w:val="5"/>
        </w:numPr>
        <w:tabs>
          <w:tab w:val="clear" w:pos="1224"/>
        </w:tabs>
        <w:spacing w:after="120"/>
        <w:ind w:left="1890"/>
        <w:rPr>
          <w:szCs w:val="22"/>
        </w:rPr>
      </w:pPr>
      <w:r w:rsidRPr="00887F97">
        <w:rPr>
          <w:szCs w:val="22"/>
        </w:rPr>
        <w:t>“</w:t>
      </w:r>
      <w:r>
        <w:rPr>
          <w:szCs w:val="22"/>
        </w:rPr>
        <w:t xml:space="preserve">CD </w:t>
      </w:r>
      <w:r w:rsidRPr="00887F97">
        <w:rPr>
          <w:szCs w:val="22"/>
        </w:rPr>
        <w:t>Acct</w:t>
      </w:r>
      <w:r>
        <w:rPr>
          <w:szCs w:val="22"/>
        </w:rPr>
        <w:t xml:space="preserve">. </w:t>
      </w:r>
      <w:r w:rsidRPr="00887F97">
        <w:rPr>
          <w:szCs w:val="22"/>
        </w:rPr>
        <w:t xml:space="preserve">No.” means account number </w:t>
      </w:r>
      <w:r>
        <w:rPr>
          <w:szCs w:val="22"/>
        </w:rPr>
        <w:t>202232080011</w:t>
      </w:r>
      <w:r w:rsidRPr="00887F97">
        <w:rPr>
          <w:szCs w:val="22"/>
        </w:rPr>
        <w:t>, associated with payment obligations described in paragrap</w:t>
      </w:r>
      <w:r w:rsidRPr="00E206B2">
        <w:rPr>
          <w:szCs w:val="22"/>
        </w:rPr>
        <w:t>h 22</w:t>
      </w:r>
      <w:r w:rsidRPr="00887F97">
        <w:rPr>
          <w:szCs w:val="22"/>
        </w:rPr>
        <w:t xml:space="preserve"> of this Consent Decree.</w:t>
      </w:r>
    </w:p>
    <w:p w:rsidR="00776B70" w:rsidRPr="009542A0" w:rsidP="00776B70" w14:paraId="0C2C6601" w14:textId="77777777">
      <w:pPr>
        <w:widowControl/>
        <w:numPr>
          <w:ilvl w:val="0"/>
          <w:numId w:val="5"/>
        </w:numPr>
        <w:tabs>
          <w:tab w:val="clear" w:pos="1224"/>
        </w:tabs>
        <w:spacing w:after="120"/>
        <w:ind w:left="1890"/>
        <w:rPr>
          <w:szCs w:val="22"/>
        </w:rPr>
      </w:pPr>
      <w:r w:rsidRPr="007C0B39">
        <w:rPr>
          <w:szCs w:val="22"/>
        </w:rPr>
        <w:t>“</w:t>
      </w:r>
      <w:r>
        <w:t>Cleveland-Cliffs”</w:t>
      </w:r>
      <w:r>
        <w:rPr>
          <w:szCs w:val="22"/>
        </w:rPr>
        <w:t xml:space="preserve"> </w:t>
      </w:r>
      <w:r w:rsidRPr="007C0B39">
        <w:rPr>
          <w:szCs w:val="22"/>
        </w:rPr>
        <w:t xml:space="preserve">means </w:t>
      </w:r>
      <w:r w:rsidRPr="005E4CF8">
        <w:rPr>
          <w:szCs w:val="22"/>
        </w:rPr>
        <w:t>Cleveland-Cliffs Inc</w:t>
      </w:r>
      <w:r>
        <w:rPr>
          <w:szCs w:val="22"/>
        </w:rPr>
        <w:t xml:space="preserve">. </w:t>
      </w:r>
      <w:r w:rsidRPr="007C0B39">
        <w:rPr>
          <w:szCs w:val="22"/>
        </w:rPr>
        <w:t>and its affiliates, subsidiaries, predecessors-in-interest, and successors-in-interest.</w:t>
      </w:r>
      <w:r w:rsidRPr="009542A0">
        <w:rPr>
          <w:szCs w:val="22"/>
        </w:rPr>
        <w:t xml:space="preserve"> </w:t>
      </w:r>
    </w:p>
    <w:p w:rsidR="00776B70" w:rsidRPr="007C0B39" w:rsidP="00776B70" w14:paraId="1E51EA17" w14:textId="77777777">
      <w:pPr>
        <w:widowControl/>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776B70" w:rsidP="00776B70" w14:paraId="478E30E6" w14:textId="77777777">
      <w:pPr>
        <w:widowControl/>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w:t>
      </w:r>
      <w:r>
        <w:rPr>
          <w:szCs w:val="22"/>
        </w:rPr>
        <w:t xml:space="preserve"> </w:t>
      </w:r>
      <w:r w:rsidRPr="00504CFE">
        <w:rPr>
          <w:szCs w:val="22"/>
        </w:rPr>
        <w:t>Cleveland-Cliffs</w:t>
      </w:r>
      <w:r>
        <w:rPr>
          <w:szCs w:val="22"/>
        </w:rPr>
        <w:t xml:space="preserve"> </w:t>
      </w:r>
      <w:r w:rsidRPr="007C0B39">
        <w:rPr>
          <w:szCs w:val="22"/>
        </w:rPr>
        <w:t>is subject by virtue of its business activities, including but not limited to</w:t>
      </w:r>
      <w:r>
        <w:rPr>
          <w:szCs w:val="22"/>
        </w:rPr>
        <w:t xml:space="preserve">, </w:t>
      </w:r>
      <w:r w:rsidRPr="007C0B39">
        <w:rPr>
          <w:szCs w:val="22"/>
        </w:rPr>
        <w:t>the</w:t>
      </w:r>
      <w:r>
        <w:rPr>
          <w:szCs w:val="22"/>
        </w:rPr>
        <w:t xml:space="preserve"> </w:t>
      </w:r>
      <w:r w:rsidRPr="007E5DAB">
        <w:t>Unauthorized Transfer Laws</w:t>
      </w:r>
      <w:r w:rsidRPr="007C0B39">
        <w:rPr>
          <w:szCs w:val="22"/>
        </w:rPr>
        <w:t>.</w:t>
      </w:r>
    </w:p>
    <w:p w:rsidR="00776B70" w:rsidRPr="00E206B2" w:rsidP="00776B70" w14:paraId="34F6B867" w14:textId="77777777">
      <w:pPr>
        <w:widowControl/>
        <w:numPr>
          <w:ilvl w:val="0"/>
          <w:numId w:val="5"/>
        </w:numPr>
        <w:tabs>
          <w:tab w:val="clear" w:pos="1224"/>
        </w:tabs>
        <w:spacing w:after="120"/>
        <w:ind w:left="1890"/>
        <w:rPr>
          <w:szCs w:val="22"/>
        </w:rPr>
      </w:pPr>
      <w:r w:rsidRPr="003D7EBD">
        <w:rPr>
          <w:szCs w:val="22"/>
        </w:rPr>
        <w:t xml:space="preserve">“Compliance Officer” means the individual designated at </w:t>
      </w:r>
      <w:r>
        <w:rPr>
          <w:szCs w:val="22"/>
        </w:rPr>
        <w:t>p</w:t>
      </w:r>
      <w:r w:rsidRPr="003D7EBD">
        <w:rPr>
          <w:szCs w:val="22"/>
        </w:rPr>
        <w:t>aragrap</w:t>
      </w:r>
      <w:r w:rsidRPr="00E206B2">
        <w:rPr>
          <w:szCs w:val="22"/>
        </w:rPr>
        <w:t>h 17 of this Consent Decree as the person responsible for administration of the Compliance Plan.</w:t>
      </w:r>
    </w:p>
    <w:p w:rsidR="00776B70" w:rsidRPr="00E206B2" w:rsidP="00776B70" w14:paraId="780D20E1" w14:textId="77777777">
      <w:pPr>
        <w:widowControl/>
        <w:numPr>
          <w:ilvl w:val="0"/>
          <w:numId w:val="5"/>
        </w:numPr>
        <w:tabs>
          <w:tab w:val="clear" w:pos="1224"/>
        </w:tabs>
        <w:spacing w:after="120"/>
        <w:ind w:left="1890"/>
        <w:rPr>
          <w:szCs w:val="22"/>
        </w:rPr>
      </w:pPr>
      <w:r w:rsidRPr="00E206B2">
        <w:rPr>
          <w:szCs w:val="22"/>
        </w:rPr>
        <w:t>“</w:t>
      </w:r>
      <w:r w:rsidRPr="00E206B2">
        <w:t>Compliance</w:t>
      </w:r>
      <w:r w:rsidRPr="00E206B2">
        <w:rPr>
          <w:szCs w:val="22"/>
        </w:rPr>
        <w:t xml:space="preserve"> Plan” means the compliance obligations, program, and procedures described in this Consent Decree at paragraph 18.</w:t>
      </w:r>
    </w:p>
    <w:p w:rsidR="00776B70" w:rsidRPr="007C0B39" w:rsidP="00776B70" w14:paraId="2AB3534C" w14:textId="77777777">
      <w:pPr>
        <w:widowControl/>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sidRPr="00D13D2E">
        <w:rPr>
          <w:szCs w:val="22"/>
        </w:rPr>
        <w:t>Cleveland-Cliffs</w:t>
      </w:r>
      <w:r>
        <w:rPr>
          <w:szCs w:val="22"/>
        </w:rPr>
        <w:t xml:space="preserve"> </w:t>
      </w:r>
      <w:r w:rsidRPr="007C0B39">
        <w:rPr>
          <w:szCs w:val="22"/>
        </w:rPr>
        <w:t xml:space="preserve">who perform, supervise, oversee, or manage the performance of, duties that relate to </w:t>
      </w:r>
      <w:r w:rsidRPr="00D13D2E">
        <w:rPr>
          <w:szCs w:val="22"/>
        </w:rPr>
        <w:t>Cleveland-Cliffs</w:t>
      </w:r>
      <w:r w:rsidRPr="007C0B39">
        <w:rPr>
          <w:szCs w:val="22"/>
        </w:rPr>
        <w:t>’</w:t>
      </w:r>
      <w:r>
        <w:rPr>
          <w:szCs w:val="22"/>
        </w:rPr>
        <w:t xml:space="preserve"> </w:t>
      </w:r>
      <w:r w:rsidRPr="007C0B39">
        <w:rPr>
          <w:szCs w:val="22"/>
        </w:rPr>
        <w:t xml:space="preserve">responsibilities under the Communications Laws, including the </w:t>
      </w:r>
      <w:r w:rsidRPr="007E5DAB">
        <w:t>Unauthorized Transfer Laws</w:t>
      </w:r>
      <w:r w:rsidRPr="007C0B39">
        <w:rPr>
          <w:szCs w:val="22"/>
        </w:rPr>
        <w:t>.</w:t>
      </w:r>
    </w:p>
    <w:p w:rsidR="00776B70" w:rsidP="00776B70" w14:paraId="3C8F5251" w14:textId="77777777">
      <w:pPr>
        <w:widowControl/>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sidRPr="009B352A">
        <w:rPr>
          <w:szCs w:val="22"/>
        </w:rPr>
        <w:t xml:space="preserve">Cleveland-Cliffs </w:t>
      </w:r>
      <w:r w:rsidRPr="007C0B39">
        <w:rPr>
          <w:szCs w:val="22"/>
        </w:rPr>
        <w:t>have signed the Consent Decree</w:t>
      </w:r>
      <w:r>
        <w:rPr>
          <w:szCs w:val="22"/>
        </w:rPr>
        <w:t xml:space="preserve"> and the Bureau has released an Adopting Order</w:t>
      </w:r>
      <w:r w:rsidRPr="007C0B39">
        <w:rPr>
          <w:szCs w:val="22"/>
        </w:rPr>
        <w:t>.</w:t>
      </w:r>
    </w:p>
    <w:p w:rsidR="00776B70" w:rsidP="00776B70" w14:paraId="6155C0BF" w14:textId="77777777">
      <w:pPr>
        <w:widowControl/>
        <w:numPr>
          <w:ilvl w:val="0"/>
          <w:numId w:val="5"/>
        </w:numPr>
        <w:tabs>
          <w:tab w:val="clear" w:pos="1224"/>
        </w:tabs>
        <w:spacing w:after="120"/>
        <w:ind w:left="1890"/>
        <w:rPr>
          <w:szCs w:val="22"/>
        </w:rPr>
      </w:pPr>
      <w:r w:rsidRPr="007C0B39">
        <w:rPr>
          <w:szCs w:val="22"/>
        </w:rPr>
        <w:t>“</w:t>
      </w:r>
      <w:r w:rsidRPr="007C0B39">
        <w:t>Investigation</w:t>
      </w:r>
      <w:r w:rsidRPr="007C0B39">
        <w:rPr>
          <w:szCs w:val="22"/>
        </w:rPr>
        <w:t>” means</w:t>
      </w:r>
      <w:r>
        <w:rPr>
          <w:szCs w:val="22"/>
        </w:rPr>
        <w:t xml:space="preserve"> </w:t>
      </w:r>
      <w:r w:rsidRPr="007E5DAB">
        <w:t xml:space="preserve">the investigation commenced by the Bureau in </w:t>
      </w:r>
      <w:r w:rsidRPr="005E4CF8">
        <w:rPr>
          <w:rFonts w:cstheme="minorHAnsi"/>
        </w:rPr>
        <w:t>EB-IHD-21-00032275</w:t>
      </w:r>
      <w:r w:rsidRPr="007E5DAB">
        <w:t xml:space="preserve"> regarding whether </w:t>
      </w:r>
      <w:r>
        <w:t>Cleveland-Cliffs</w:t>
      </w:r>
      <w:r w:rsidRPr="007E5DAB">
        <w:t xml:space="preserve"> violated the Unauthorized Transfer Laws.</w:t>
      </w:r>
      <w:r w:rsidRPr="007C0B39">
        <w:rPr>
          <w:szCs w:val="22"/>
        </w:rPr>
        <w:t xml:space="preserve"> </w:t>
      </w:r>
    </w:p>
    <w:p w:rsidR="00776B70" w:rsidRPr="004C366A" w:rsidP="00776B70" w14:paraId="31D038A1" w14:textId="77777777">
      <w:pPr>
        <w:widowControl/>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sidRPr="005E4CF8">
        <w:rPr>
          <w:szCs w:val="22"/>
        </w:rPr>
        <w:t xml:space="preserve">Cleveland-Cliffs </w:t>
      </w:r>
      <w:r w:rsidRPr="007C0B39">
        <w:rPr>
          <w:szCs w:val="22"/>
        </w:rPr>
        <w:t>to implement the Compliance Plan.</w:t>
      </w:r>
    </w:p>
    <w:p w:rsidR="00776B70" w:rsidRPr="00F05444" w:rsidP="00776B70" w14:paraId="1C1938C7" w14:textId="77777777">
      <w:pPr>
        <w:widowControl/>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t>Cle</w:t>
      </w:r>
      <w:r w:rsidRPr="00F05444">
        <w:t xml:space="preserve">veland-Cliffs </w:t>
      </w:r>
      <w:r w:rsidRPr="00F05444">
        <w:rPr>
          <w:szCs w:val="22"/>
        </w:rPr>
        <w:t>and the Bureau, each of which is a “Party.”</w:t>
      </w:r>
    </w:p>
    <w:p w:rsidR="00776B70" w:rsidRPr="00F05444" w:rsidP="00776B70" w14:paraId="0EA3FE4A" w14:textId="77777777">
      <w:pPr>
        <w:widowControl/>
        <w:numPr>
          <w:ilvl w:val="0"/>
          <w:numId w:val="5"/>
        </w:numPr>
        <w:tabs>
          <w:tab w:val="clear" w:pos="1224"/>
        </w:tabs>
        <w:spacing w:after="120"/>
        <w:ind w:left="1890"/>
        <w:rPr>
          <w:szCs w:val="22"/>
        </w:rPr>
      </w:pPr>
      <w:r w:rsidRPr="00F05444">
        <w:rPr>
          <w:szCs w:val="22"/>
        </w:rPr>
        <w:t xml:space="preserve">“Rules” means </w:t>
      </w:r>
      <w:r w:rsidRPr="00F05444">
        <w:t>the Commission’s regulations found in Title 47 of the Code of Federal Regulations.</w:t>
      </w:r>
    </w:p>
    <w:p w:rsidR="00776B70" w:rsidRPr="00F05444" w:rsidP="00776B70" w14:paraId="445F281C" w14:textId="77777777">
      <w:pPr>
        <w:widowControl/>
        <w:numPr>
          <w:ilvl w:val="0"/>
          <w:numId w:val="5"/>
        </w:numPr>
        <w:tabs>
          <w:tab w:val="clear" w:pos="1224"/>
        </w:tabs>
        <w:spacing w:after="120"/>
        <w:ind w:left="1890"/>
        <w:rPr>
          <w:szCs w:val="22"/>
        </w:rPr>
      </w:pPr>
      <w:r w:rsidRPr="00F05444">
        <w:rPr>
          <w:szCs w:val="22"/>
        </w:rPr>
        <w:t>“ULS” means the Commission’s Universal Licensing System.</w:t>
      </w:r>
    </w:p>
    <w:p w:rsidR="00776B70" w:rsidRPr="008F2CBC" w:rsidP="00776B70" w14:paraId="1192A21A" w14:textId="77777777">
      <w:pPr>
        <w:widowControl/>
        <w:numPr>
          <w:ilvl w:val="0"/>
          <w:numId w:val="5"/>
        </w:numPr>
        <w:tabs>
          <w:tab w:val="clear" w:pos="1224"/>
        </w:tabs>
        <w:spacing w:after="120"/>
        <w:ind w:left="1890"/>
        <w:rPr>
          <w:szCs w:val="22"/>
        </w:rPr>
      </w:pPr>
      <w:r w:rsidRPr="00F05444">
        <w:rPr>
          <w:szCs w:val="22"/>
        </w:rPr>
        <w:t>“Unauthorized Transfer Laws” means section 310(d) of the Act,</w:t>
      </w:r>
      <w:r>
        <w:rPr>
          <w:rStyle w:val="FootnoteReference"/>
          <w:sz w:val="22"/>
        </w:rPr>
        <w:footnoteReference w:id="11"/>
      </w:r>
      <w:r w:rsidRPr="00F05444">
        <w:rPr>
          <w:szCs w:val="22"/>
        </w:rPr>
        <w:t xml:space="preserve"> and section 1.948 of the Rules,</w:t>
      </w:r>
      <w:r>
        <w:rPr>
          <w:rStyle w:val="FootnoteReference"/>
          <w:sz w:val="22"/>
        </w:rPr>
        <w:footnoteReference w:id="12"/>
      </w:r>
      <w:r w:rsidRPr="00F05444">
        <w:rPr>
          <w:szCs w:val="22"/>
        </w:rPr>
        <w:t xml:space="preserve"> pertaining to the unauthorized transfers of control and assignments of licenses.</w:t>
      </w:r>
      <w:r w:rsidRPr="008F2CBC">
        <w:rPr>
          <w:szCs w:val="22"/>
        </w:rPr>
        <w:t xml:space="preserve"> </w:t>
      </w:r>
    </w:p>
    <w:p w:rsidR="00776B70" w:rsidRPr="00F05444" w:rsidP="00776B70" w14:paraId="41617073" w14:textId="77777777">
      <w:pPr>
        <w:pStyle w:val="Heading1"/>
        <w:widowControl/>
        <w:rPr>
          <w:szCs w:val="22"/>
        </w:rPr>
      </w:pPr>
      <w:r w:rsidRPr="00F05444">
        <w:t>BACKGROUND</w:t>
      </w:r>
    </w:p>
    <w:p w:rsidR="00776B70" w:rsidRPr="00F05444" w:rsidP="00776B70" w14:paraId="5223BDAC" w14:textId="77777777">
      <w:pPr>
        <w:pStyle w:val="ParaNum"/>
      </w:pPr>
      <w:r w:rsidRPr="00F05444">
        <w:rPr>
          <w:i/>
          <w:iCs/>
        </w:rPr>
        <w:t>Legal Framework</w:t>
      </w:r>
      <w:r w:rsidRPr="00F05444">
        <w:t>.  The Commission</w:t>
      </w:r>
      <w:r>
        <w:t xml:space="preserve">’s </w:t>
      </w:r>
      <w:r w:rsidRPr="00F05444">
        <w:t>consent is required prior to any transfer of control of a Commission permit or license.  In this regard, section 310(d) of the Act provides that:</w:t>
      </w:r>
    </w:p>
    <w:p w:rsidR="00776B70" w:rsidRPr="00F05444" w:rsidP="00776B70" w14:paraId="40305DC7" w14:textId="77777777">
      <w:pPr>
        <w:pStyle w:val="ParaNum"/>
        <w:widowControl/>
        <w:numPr>
          <w:ilvl w:val="0"/>
          <w:numId w:val="0"/>
        </w:numPr>
        <w:ind w:left="1440"/>
      </w:pPr>
      <w:r w:rsidRPr="00F05444">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 w:val="22"/>
        </w:rPr>
        <w:footnoteReference w:id="13"/>
      </w:r>
      <w:r w:rsidRPr="00F05444">
        <w:t xml:space="preserve">   </w:t>
      </w:r>
    </w:p>
    <w:p w:rsidR="00776B70" w:rsidRPr="00F05444" w:rsidP="00776B70" w14:paraId="1A8A8385" w14:textId="77777777">
      <w:pPr>
        <w:pStyle w:val="ParaNum"/>
        <w:widowControl/>
      </w:pPr>
      <w:r w:rsidRPr="00F05444">
        <w:t>Section 1.948 of the Rules similarly requires that applicants seek and receive Commission consent prior to the transfer of a licensee’s control or assignment of a Commission license.</w:t>
      </w:r>
      <w:r>
        <w:rPr>
          <w:rStyle w:val="FootnoteReference"/>
          <w:sz w:val="22"/>
        </w:rPr>
        <w:footnoteReference w:id="14"/>
      </w:r>
      <w:r w:rsidRPr="00F05444">
        <w:t xml:space="preserve">   </w:t>
      </w:r>
      <w:r w:rsidRPr="00F05444">
        <w:t xml:space="preserve">Section 1.948 of the Rules also provides that in the case of a transfer of control of a wireless license, the licensee must file </w:t>
      </w:r>
      <w:r>
        <w:t xml:space="preserve">an </w:t>
      </w:r>
      <w:r w:rsidRPr="00F05444">
        <w:t>FCC Form 603 to seek prior approval of the transfer.</w:t>
      </w:r>
      <w:r>
        <w:rPr>
          <w:vertAlign w:val="superscript"/>
        </w:rPr>
        <w:footnoteReference w:id="15"/>
      </w:r>
      <w:r w:rsidRPr="00F05444">
        <w:t xml:space="preserve"> </w:t>
      </w:r>
    </w:p>
    <w:p w:rsidR="00776B70" w:rsidRPr="00F05444" w:rsidP="006158E3" w14:paraId="4EE45231" w14:textId="6E0C50DC">
      <w:pPr>
        <w:pStyle w:val="ParaNum"/>
      </w:pPr>
      <w:r w:rsidRPr="00F05444">
        <w:rPr>
          <w:i/>
          <w:iCs/>
        </w:rPr>
        <w:t>Factual Background</w:t>
      </w:r>
      <w:r w:rsidRPr="00F05444">
        <w:t>.  Cleveland-Cliffs is a</w:t>
      </w:r>
      <w:r>
        <w:t xml:space="preserve"> publicly traded </w:t>
      </w:r>
      <w:r w:rsidRPr="00F05444">
        <w:t>Ohio corporation.</w:t>
      </w:r>
      <w:r>
        <w:rPr>
          <w:rStyle w:val="FootnoteReference"/>
        </w:rPr>
        <w:footnoteReference w:id="16"/>
      </w:r>
      <w:r>
        <w:t xml:space="preserve">  Cleveland-Cliffs’ core businesses include iron ore mining and steelmaking</w:t>
      </w:r>
      <w:r w:rsidRPr="00F05444">
        <w:t>.</w:t>
      </w:r>
      <w:r>
        <w:rPr>
          <w:rStyle w:val="FootnoteReference"/>
          <w:bCs/>
          <w:spacing w:val="-2"/>
          <w:sz w:val="22"/>
          <w:szCs w:val="22"/>
        </w:rPr>
        <w:footnoteReference w:id="17"/>
      </w:r>
      <w:r w:rsidRPr="00F05444">
        <w:t xml:space="preserve">  </w:t>
      </w:r>
    </w:p>
    <w:p w:rsidR="00776B70" w:rsidRPr="00F05444" w:rsidP="00776B70" w14:paraId="28320994" w14:textId="77777777">
      <w:pPr>
        <w:pStyle w:val="ParaNum"/>
      </w:pPr>
      <w:r w:rsidRPr="00F05444">
        <w:t>In 2020, Cleveland-Cliffs acquired two steel companies in the United States,</w:t>
      </w:r>
      <w:r>
        <w:rPr>
          <w:rStyle w:val="FootnoteReference"/>
        </w:rPr>
        <w:footnoteReference w:id="18"/>
      </w:r>
      <w:r w:rsidRPr="00F05444">
        <w:t xml:space="preserve"> AK Steel and ArcelorMittal</w:t>
      </w:r>
      <w:r>
        <w:t xml:space="preserve"> USA</w:t>
      </w:r>
      <w:r w:rsidRPr="00F05444">
        <w:t xml:space="preserve">, both of which owned and controlled various FCC wireless licenses.  On March </w:t>
      </w:r>
      <w:r w:rsidRPr="00F05444">
        <w:rPr>
          <w:szCs w:val="22"/>
        </w:rPr>
        <w:t>13, 2020, Cleveland-Cliffs completed the acquisition of AK Steel, including its subsidiaries.</w:t>
      </w:r>
      <w:r>
        <w:rPr>
          <w:rStyle w:val="FootnoteReference"/>
          <w:sz w:val="22"/>
          <w:szCs w:val="22"/>
        </w:rPr>
        <w:footnoteReference w:id="19"/>
      </w:r>
      <w:r w:rsidRPr="00F05444">
        <w:rPr>
          <w:szCs w:val="22"/>
        </w:rPr>
        <w:t xml:space="preserve">  </w:t>
      </w:r>
      <w:r w:rsidRPr="00605A87">
        <w:rPr>
          <w:szCs w:val="22"/>
        </w:rPr>
        <w:t>The transfer of control of AK Steel and its subsidiaries was consummated by the parties without first securing Commission approval</w:t>
      </w:r>
      <w:r>
        <w:rPr>
          <w:szCs w:val="22"/>
        </w:rPr>
        <w:t>,</w:t>
      </w:r>
      <w:r>
        <w:rPr>
          <w:rStyle w:val="FootnoteReference"/>
          <w:szCs w:val="22"/>
        </w:rPr>
        <w:footnoteReference w:id="20"/>
      </w:r>
      <w:r>
        <w:rPr>
          <w:szCs w:val="22"/>
        </w:rPr>
        <w:t xml:space="preserve"> </w:t>
      </w:r>
      <w:r w:rsidRPr="00F05444">
        <w:rPr>
          <w:szCs w:val="22"/>
        </w:rPr>
        <w:t>result</w:t>
      </w:r>
      <w:r>
        <w:rPr>
          <w:szCs w:val="22"/>
        </w:rPr>
        <w:t>ing</w:t>
      </w:r>
      <w:r w:rsidRPr="00F05444">
        <w:rPr>
          <w:szCs w:val="22"/>
        </w:rPr>
        <w:t xml:space="preserve"> in Cleveland-Cliffs</w:t>
      </w:r>
      <w:r>
        <w:rPr>
          <w:szCs w:val="22"/>
        </w:rPr>
        <w:t>’</w:t>
      </w:r>
      <w:r w:rsidRPr="00F05444">
        <w:rPr>
          <w:szCs w:val="22"/>
        </w:rPr>
        <w:t xml:space="preserve"> transfer</w:t>
      </w:r>
      <w:r w:rsidRPr="00F05444">
        <w:t xml:space="preserve"> of 57 wireless licenses without obtaining the required prior Commission approvals.</w:t>
      </w:r>
      <w:r>
        <w:rPr>
          <w:rStyle w:val="FootnoteReference"/>
        </w:rPr>
        <w:footnoteReference w:id="21"/>
      </w:r>
    </w:p>
    <w:p w:rsidR="00776B70" w:rsidRPr="00F05444" w:rsidP="006158E3" w14:paraId="22A63C33" w14:textId="7F59F7F9">
      <w:pPr>
        <w:pStyle w:val="ParaNum"/>
      </w:pPr>
      <w:r w:rsidRPr="00F05444">
        <w:t>On December 7, 2020 and April 27, 2022, Cleveland-Cliffs filed remedial applications with the Commission, seeking approval of the transfers associated with the AK Steel transaction.</w:t>
      </w:r>
      <w:r>
        <w:rPr>
          <w:rStyle w:val="FootnoteReference"/>
        </w:rPr>
        <w:footnoteReference w:id="22"/>
      </w:r>
      <w:r w:rsidRPr="00F05444">
        <w:t xml:space="preserve">  Those applications also included requests for waivers of section 1.948 of the </w:t>
      </w:r>
      <w:r w:rsidRPr="00605A87">
        <w:t>Rules seeking Commission approval</w:t>
      </w:r>
      <w:r w:rsidRPr="00F05444">
        <w:t xml:space="preserve"> of the transfer of control of the licenses.</w:t>
      </w:r>
      <w:r>
        <w:rPr>
          <w:rStyle w:val="FootnoteReference"/>
          <w:sz w:val="22"/>
          <w:szCs w:val="22"/>
        </w:rPr>
        <w:footnoteReference w:id="23"/>
      </w:r>
      <w:r w:rsidRPr="00F05444">
        <w:t xml:space="preserve">   </w:t>
      </w:r>
    </w:p>
    <w:p w:rsidR="00776B70" w:rsidRPr="00F05444" w:rsidP="00776B70" w14:paraId="5E60244D" w14:textId="77777777">
      <w:pPr>
        <w:pStyle w:val="ParaNum"/>
        <w:widowControl/>
      </w:pPr>
      <w:r w:rsidRPr="00F05444">
        <w:t xml:space="preserve">On December 9, 2020, </w:t>
      </w:r>
      <w:r w:rsidRPr="00F05444">
        <w:rPr>
          <w:szCs w:val="22"/>
        </w:rPr>
        <w:t>Cleveland-Cliffs acquired substantially all of ArcelorMittal</w:t>
      </w:r>
      <w:r>
        <w:rPr>
          <w:szCs w:val="22"/>
        </w:rPr>
        <w:t xml:space="preserve"> USA’s operations</w:t>
      </w:r>
      <w:r w:rsidRPr="00F05444">
        <w:rPr>
          <w:szCs w:val="22"/>
        </w:rPr>
        <w:t>.</w:t>
      </w:r>
      <w:r>
        <w:rPr>
          <w:rStyle w:val="FootnoteReference"/>
          <w:sz w:val="22"/>
          <w:szCs w:val="22"/>
        </w:rPr>
        <w:footnoteReference w:id="24"/>
      </w:r>
      <w:r w:rsidRPr="00F05444">
        <w:rPr>
          <w:szCs w:val="22"/>
        </w:rPr>
        <w:t xml:space="preserve">  In connection with that acquisition, the parties previously sought</w:t>
      </w:r>
      <w:r>
        <w:rPr>
          <w:szCs w:val="22"/>
        </w:rPr>
        <w:t>,</w:t>
      </w:r>
      <w:r w:rsidRPr="00F05444">
        <w:rPr>
          <w:szCs w:val="22"/>
        </w:rPr>
        <w:t xml:space="preserve"> and the Commission approved</w:t>
      </w:r>
      <w:r>
        <w:rPr>
          <w:szCs w:val="22"/>
        </w:rPr>
        <w:t>,</w:t>
      </w:r>
      <w:r w:rsidRPr="00F05444">
        <w:rPr>
          <w:szCs w:val="22"/>
        </w:rPr>
        <w:t xml:space="preserve"> the transfer of control of certain </w:t>
      </w:r>
      <w:r>
        <w:rPr>
          <w:szCs w:val="22"/>
        </w:rPr>
        <w:t>licenses</w:t>
      </w:r>
      <w:r w:rsidRPr="00F05444">
        <w:rPr>
          <w:szCs w:val="22"/>
        </w:rPr>
        <w:t>.</w:t>
      </w:r>
      <w:r>
        <w:rPr>
          <w:rStyle w:val="FootnoteReference"/>
          <w:szCs w:val="22"/>
        </w:rPr>
        <w:footnoteReference w:id="25"/>
      </w:r>
      <w:r w:rsidRPr="00F05444">
        <w:rPr>
          <w:szCs w:val="22"/>
        </w:rPr>
        <w:t xml:space="preserve">  The parties, however, subsequently </w:t>
      </w:r>
      <w:r w:rsidRPr="00F05444">
        <w:rPr>
          <w:szCs w:val="22"/>
        </w:rPr>
        <w:t xml:space="preserve">determined that two FCC wireless licenses (call signs WQHT671 and WPQJ408) </w:t>
      </w:r>
      <w:r>
        <w:rPr>
          <w:szCs w:val="22"/>
        </w:rPr>
        <w:t xml:space="preserve">had been </w:t>
      </w:r>
      <w:r w:rsidRPr="00F05444">
        <w:rPr>
          <w:szCs w:val="22"/>
        </w:rPr>
        <w:t>overlooked.</w:t>
      </w:r>
      <w:r>
        <w:rPr>
          <w:rStyle w:val="FootnoteReference"/>
          <w:sz w:val="22"/>
          <w:szCs w:val="22"/>
        </w:rPr>
        <w:footnoteReference w:id="26"/>
      </w:r>
      <w:r w:rsidRPr="00F05444">
        <w:rPr>
          <w:szCs w:val="22"/>
        </w:rPr>
        <w:t xml:space="preserve">  Those two licenses were transferred without obtaining the required prior Commission approvals.</w:t>
      </w:r>
      <w:r>
        <w:rPr>
          <w:rStyle w:val="FootnoteReference"/>
          <w:szCs w:val="22"/>
        </w:rPr>
        <w:footnoteReference w:id="27"/>
      </w:r>
      <w:r w:rsidRPr="00F05444">
        <w:t xml:space="preserve"> </w:t>
      </w:r>
    </w:p>
    <w:p w:rsidR="00776B70" w:rsidRPr="00F05444" w:rsidP="006158E3" w14:paraId="295D8B85" w14:textId="049AF6D6">
      <w:pPr>
        <w:pStyle w:val="ParaNum"/>
      </w:pPr>
      <w:r w:rsidRPr="00F05444">
        <w:t>On May 26, 2021, Cleveland-Cliffs filed two remedial applications with the Commission, seeking approval of the transfers</w:t>
      </w:r>
      <w:r>
        <w:t xml:space="preserve"> </w:t>
      </w:r>
      <w:r w:rsidRPr="00721F9C">
        <w:t>of the FCC licenses for call signsWQHT671 and WPQJ408</w:t>
      </w:r>
      <w:r w:rsidRPr="00F05444">
        <w:t xml:space="preserve"> associated with the ArcelorMittal </w:t>
      </w:r>
      <w:r>
        <w:t xml:space="preserve">USA </w:t>
      </w:r>
      <w:r w:rsidRPr="00F05444">
        <w:t>transaction.</w:t>
      </w:r>
      <w:r>
        <w:rPr>
          <w:rStyle w:val="FootnoteReference"/>
        </w:rPr>
        <w:footnoteReference w:id="28"/>
      </w:r>
      <w:r w:rsidRPr="00F05444">
        <w:t xml:space="preserve">  Those applications also included requests for waivers of section 1.948 of </w:t>
      </w:r>
      <w:r w:rsidRPr="00D11DBE">
        <w:t xml:space="preserve">the </w:t>
      </w:r>
      <w:r w:rsidRPr="00605A87">
        <w:t>Rules seeking Commission approval</w:t>
      </w:r>
      <w:r w:rsidRPr="00F05444">
        <w:t xml:space="preserve"> of the transfer of control of the licenses.</w:t>
      </w:r>
      <w:r>
        <w:rPr>
          <w:rStyle w:val="FootnoteReference"/>
        </w:rPr>
        <w:footnoteReference w:id="29"/>
      </w:r>
    </w:p>
    <w:p w:rsidR="00776B70" w:rsidRPr="00F05444" w:rsidP="00776B70" w14:paraId="04BE363A" w14:textId="77777777">
      <w:pPr>
        <w:pStyle w:val="ParaNum"/>
      </w:pPr>
      <w:r w:rsidRPr="00F05444">
        <w:t>The Bureau’s Investigation revealed that, in all, Cleveland-Cliffs and its subsidiaries completed six substantial transfers of control affecting 59 licenses</w:t>
      </w:r>
      <w:r>
        <w:t xml:space="preserve"> </w:t>
      </w:r>
      <w:r w:rsidRPr="00C27723">
        <w:t>held directly or indirectly by AK Steel and ArcelorMittal USA under six licensee names</w:t>
      </w:r>
      <w:r>
        <w:rPr>
          <w:rStyle w:val="FootnoteReference"/>
          <w:sz w:val="22"/>
        </w:rPr>
        <w:footnoteReference w:id="30"/>
      </w:r>
      <w:r w:rsidRPr="00F05444">
        <w:t xml:space="preserve"> without first obtaining prior Commission consent.  </w:t>
      </w:r>
    </w:p>
    <w:p w:rsidR="00776B70" w:rsidRPr="007C0B39" w:rsidP="006158E3" w14:paraId="1032F86F" w14:textId="17D3236A">
      <w:pPr>
        <w:pStyle w:val="ParaNum"/>
      </w:pPr>
      <w:r w:rsidRPr="00E05A8E">
        <w:t>To resolve the Bureau’s Investigation, the Parties now enter into this Consent Decree pursuant to which Cleveland-Cliffs shall develop and implement a compliance plan to ensure its future compliance with the Unauthorized Transfer Laws</w:t>
      </w:r>
      <w:r>
        <w:t xml:space="preserve"> </w:t>
      </w:r>
      <w:r w:rsidRPr="00E05A8E">
        <w:t>and shall pay a civil monetary penalty.</w:t>
      </w:r>
    </w:p>
    <w:p w:rsidR="00776B70" w:rsidRPr="007C0B39" w:rsidP="00776B70" w14:paraId="0E7177FE" w14:textId="77777777">
      <w:pPr>
        <w:pStyle w:val="Heading1"/>
        <w:widowControl/>
      </w:pPr>
      <w:bookmarkStart w:id="5" w:name="FN[FN18]"/>
      <w:bookmarkEnd w:id="5"/>
      <w:r w:rsidRPr="007C0B39">
        <w:t>TERMS OF AGREEMENT</w:t>
      </w:r>
    </w:p>
    <w:p w:rsidR="00776B70" w:rsidRPr="007C0B39" w:rsidP="00776B70" w14:paraId="3215118F" w14:textId="77777777">
      <w:pPr>
        <w:pStyle w:val="ParaNum"/>
        <w:widowControl/>
        <w:rPr>
          <w:szCs w:val="22"/>
        </w:rPr>
      </w:pPr>
      <w:r w:rsidRPr="007C0B39">
        <w:rPr>
          <w:b/>
          <w:szCs w:val="22"/>
          <w:u w:val="single"/>
        </w:rPr>
        <w:t>Adopting Order</w:t>
      </w:r>
      <w:r w:rsidRPr="007C0B39">
        <w:rPr>
          <w:szCs w:val="22"/>
        </w:rPr>
        <w:t>.  The provisions of this Consent Decree shall be incorporated by the Bureau in an Adopting Order.</w:t>
      </w:r>
    </w:p>
    <w:p w:rsidR="00776B70" w:rsidRPr="007C0B39" w:rsidP="006158E3" w14:paraId="6D4F5CF5" w14:textId="274E74B6">
      <w:pPr>
        <w:pStyle w:val="ParaNum"/>
      </w:pPr>
      <w:r w:rsidRPr="007C0B39">
        <w:rPr>
          <w:b/>
          <w:u w:val="single"/>
        </w:rPr>
        <w:t>Jurisdiction</w:t>
      </w:r>
      <w:r w:rsidRPr="007C0B39">
        <w:t>.</w:t>
      </w:r>
      <w:r>
        <w:t xml:space="preserve">  </w:t>
      </w:r>
      <w:r w:rsidRPr="00FF1180">
        <w:t xml:space="preserve">Cleveland-Cliffs </w:t>
      </w:r>
      <w:r w:rsidRPr="007C0B39">
        <w:t xml:space="preserve">agrees that the Bureau has jurisdiction over it and the matters contained in this Consent Decree and has the </w:t>
      </w:r>
      <w:r w:rsidRPr="00ED419F">
        <w:t>authority</w:t>
      </w:r>
      <w:r w:rsidRPr="007C0B39">
        <w:t xml:space="preserve"> to enter into and adopt this Consent Decree.</w:t>
      </w:r>
    </w:p>
    <w:p w:rsidR="00776B70" w:rsidRPr="007C0B39" w:rsidP="00776B70" w14:paraId="18AE242F" w14:textId="77777777">
      <w:pPr>
        <w:pStyle w:val="ParaNum"/>
        <w:widowControl/>
        <w:rPr>
          <w:szCs w:val="22"/>
        </w:rPr>
      </w:pPr>
      <w:r w:rsidRPr="007C0B39">
        <w:rPr>
          <w:b/>
          <w:szCs w:val="22"/>
          <w:u w:val="single"/>
        </w:rPr>
        <w:t>Effective Dat</w:t>
      </w:r>
      <w:r>
        <w:rPr>
          <w:b/>
          <w:szCs w:val="22"/>
          <w:u w:val="single"/>
        </w:rPr>
        <w:t>e</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776B70" w:rsidRPr="00C566EC" w:rsidP="009E04BA" w14:paraId="6BAED83E" w14:textId="4EBEC5BD">
      <w:pPr>
        <w:pStyle w:val="ParaNum"/>
        <w:widowControl/>
      </w:pPr>
      <w:r w:rsidRPr="007C0B39">
        <w:rPr>
          <w:b/>
          <w:u w:val="single"/>
        </w:rPr>
        <w:t>Termination of Investigation</w:t>
      </w:r>
      <w:r w:rsidRPr="007C0B39">
        <w:t xml:space="preserve">.  In express reliance on the covenants and representations in this Consent Decree and to avoid further expenditure of public resources, the Bureau agrees to terminate the Investigation.  In consideration for the termination of the Investigation, </w:t>
      </w:r>
      <w:r w:rsidRPr="00BA6AFE">
        <w:t xml:space="preserve">Cleveland-Cliffs </w:t>
      </w:r>
      <w:r w:rsidRPr="007C0B39">
        <w:t>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w:t>
      </w:r>
      <w:r>
        <w:t xml:space="preserve"> on its own motion</w:t>
      </w:r>
      <w:r w:rsidRPr="007C0B39">
        <w:t xml:space="preserve"> against </w:t>
      </w:r>
      <w:r w:rsidRPr="00BA6AFE">
        <w:t xml:space="preserve">Cleveland-Cliffs </w:t>
      </w:r>
      <w:r w:rsidRPr="007C0B39">
        <w:t>concerning the matters that were the subject of the Investigation</w:t>
      </w:r>
      <w:r>
        <w:t xml:space="preserve">, or to set for </w:t>
      </w:r>
      <w:r>
        <w:t xml:space="preserve">hearing the question of </w:t>
      </w:r>
      <w:r w:rsidRPr="00BA6AFE">
        <w:t>Cleveland-Cliffs</w:t>
      </w:r>
      <w:r>
        <w:t>’ basic qualifications to be a Commission licensee or hold Commission licenses or authorizations based on the matters that were the subject of the Investigation.</w:t>
      </w:r>
      <w:r>
        <w:rPr>
          <w:rStyle w:val="FootnoteReference"/>
        </w:rPr>
        <w:footnoteReference w:id="31"/>
      </w:r>
    </w:p>
    <w:p w:rsidR="00776B70" w:rsidRPr="008D1458" w:rsidP="00776B70" w14:paraId="2DAAB311" w14:textId="77777777">
      <w:pPr>
        <w:pStyle w:val="ParaNum"/>
        <w:widowControl/>
        <w:rPr>
          <w:szCs w:val="22"/>
        </w:rPr>
      </w:pPr>
      <w:r w:rsidRPr="007C0B39">
        <w:rPr>
          <w:b/>
          <w:u w:val="single"/>
        </w:rPr>
        <w:t>Admission of Liability</w:t>
      </w:r>
      <w:r w:rsidRPr="007C0B39">
        <w:t xml:space="preserve">.  </w:t>
      </w:r>
      <w:r w:rsidRPr="00F8761E">
        <w:t xml:space="preserve">Cleveland-Cliffs </w:t>
      </w:r>
      <w:r w:rsidRPr="007C0B39">
        <w:t>admits for the purpose of this Consent Decree and for Commission civil enforcement</w:t>
      </w:r>
      <w:r>
        <w:t xml:space="preserve"> purposes</w:t>
      </w:r>
      <w:r w:rsidRPr="007C0B39">
        <w:t>, and in express r</w:t>
      </w:r>
      <w:r w:rsidRPr="00E206B2">
        <w:t>eliance on the provisions of paragraph 15 herein,</w:t>
      </w:r>
      <w:r w:rsidRPr="00E206B2">
        <w:rPr>
          <w:szCs w:val="22"/>
        </w:rPr>
        <w:t xml:space="preserve"> that its actions described in paragraphs </w:t>
      </w:r>
      <w:r>
        <w:rPr>
          <w:szCs w:val="22"/>
        </w:rPr>
        <w:t>6</w:t>
      </w:r>
      <w:r w:rsidRPr="00E206B2">
        <w:rPr>
          <w:szCs w:val="22"/>
        </w:rPr>
        <w:t xml:space="preserve"> </w:t>
      </w:r>
      <w:r>
        <w:rPr>
          <w:szCs w:val="22"/>
        </w:rPr>
        <w:t>and</w:t>
      </w:r>
      <w:r w:rsidRPr="00E206B2">
        <w:rPr>
          <w:szCs w:val="22"/>
        </w:rPr>
        <w:t xml:space="preserve"> </w:t>
      </w:r>
      <w:r>
        <w:rPr>
          <w:szCs w:val="22"/>
        </w:rPr>
        <w:t>8</w:t>
      </w:r>
      <w:r w:rsidRPr="00E206B2">
        <w:rPr>
          <w:szCs w:val="22"/>
        </w:rPr>
        <w:t xml:space="preserve"> of this</w:t>
      </w:r>
      <w:r w:rsidRPr="00F8761E">
        <w:rPr>
          <w:szCs w:val="22"/>
        </w:rPr>
        <w:t xml:space="preserve"> Consent Decree violated the Unauthorized Transfer Laws</w:t>
      </w:r>
      <w:r>
        <w:rPr>
          <w:szCs w:val="22"/>
        </w:rPr>
        <w:t>.</w:t>
      </w:r>
    </w:p>
    <w:p w:rsidR="00776B70" w:rsidRPr="008D1458" w:rsidP="006158E3" w14:paraId="08A4666D" w14:textId="6FB9B2BD">
      <w:pPr>
        <w:pStyle w:val="ParaNum"/>
      </w:pPr>
      <w:bookmarkStart w:id="6" w:name="_Ref379202869"/>
      <w:r w:rsidRPr="008D1458">
        <w:rPr>
          <w:b/>
          <w:u w:val="single"/>
        </w:rPr>
        <w:t>Compliance Officer</w:t>
      </w:r>
      <w:r w:rsidRPr="008D1458">
        <w:t xml:space="preserve">.  Within thirty (30) </w:t>
      </w:r>
      <w:r w:rsidRPr="007C0B39">
        <w:t>calendar</w:t>
      </w:r>
      <w:r w:rsidRPr="008D1458">
        <w:t xml:space="preserve"> days after the Effective Date, </w:t>
      </w:r>
      <w:r w:rsidRPr="00F8761E">
        <w:t xml:space="preserve">Cleveland-Cliffs </w:t>
      </w:r>
      <w:r w:rsidRPr="008D1458">
        <w:t xml:space="preserve">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sidRPr="00F8761E">
        <w:t xml:space="preserve">Cleveland-Cliffs </w:t>
      </w:r>
      <w:r w:rsidRPr="008D1458">
        <w:t xml:space="preserve">complies with the terms and conditions of the Compliance Plan and this Consent Decree.  In </w:t>
      </w:r>
      <w:r w:rsidRPr="00ED419F">
        <w:t>addition</w:t>
      </w:r>
      <w:r w:rsidRPr="008D1458">
        <w:t xml:space="preserve"> to the general knowledge of the Communications Laws necessary to discharge his or her duties under this Consent Decree, the Compliance Officer shall have specific knowledge of the </w:t>
      </w:r>
      <w:r w:rsidRPr="007E5DAB">
        <w:t xml:space="preserve">Unauthorized Transfer Laws </w:t>
      </w:r>
      <w:r w:rsidRPr="008D1458">
        <w:t>prior to assuming his/her duties.</w:t>
      </w:r>
      <w:bookmarkEnd w:id="6"/>
    </w:p>
    <w:p w:rsidR="00776B70" w:rsidRPr="00E206B2" w:rsidP="00776B70" w14:paraId="25FA0F82" w14:textId="3C3F86E2">
      <w:pPr>
        <w:pStyle w:val="ParaNum"/>
        <w:widowControl/>
        <w:rPr>
          <w:szCs w:val="22"/>
        </w:rPr>
      </w:pPr>
      <w:bookmarkStart w:id="7" w:name="_Ref357521857"/>
      <w:r w:rsidRPr="007C0B39">
        <w:rPr>
          <w:b/>
          <w:szCs w:val="22"/>
          <w:u w:val="single"/>
        </w:rPr>
        <w:t>Compliance Plan</w:t>
      </w:r>
      <w:r w:rsidRPr="007C0B39">
        <w:rPr>
          <w:szCs w:val="22"/>
        </w:rPr>
        <w:t xml:space="preserve">.  For purposes of settling the matters set forth herein, </w:t>
      </w:r>
      <w:bookmarkStart w:id="8" w:name="_Hlk103269400"/>
      <w:r w:rsidRPr="00F8761E">
        <w:t xml:space="preserve">Cleveland-Cliffs </w:t>
      </w:r>
      <w:bookmarkEnd w:id="8"/>
      <w:r w:rsidRPr="007C0B39">
        <w:rPr>
          <w:szCs w:val="22"/>
        </w:rPr>
        <w:t xml:space="preserve">agrees that it shall, within </w:t>
      </w:r>
      <w:r w:rsidRPr="00E842A5">
        <w:rPr>
          <w:szCs w:val="22"/>
        </w:rPr>
        <w:t xml:space="preserve">ninety (90) </w:t>
      </w:r>
      <w:r w:rsidRPr="007C0B39">
        <w:rPr>
          <w:szCs w:val="22"/>
        </w:rPr>
        <w:t xml:space="preserve">calendar days after the Effective Date, develop and implement a Compliance Plan designed to ensure future compliance with </w:t>
      </w:r>
      <w:r w:rsidRPr="00E206B2">
        <w:rPr>
          <w:szCs w:val="22"/>
        </w:rPr>
        <w:t xml:space="preserve">the Communications Laws and with the terms and conditions of this Consent Decree.  With respect to the </w:t>
      </w:r>
      <w:r w:rsidRPr="00E206B2">
        <w:t>Unauthorized Transfer Laws</w:t>
      </w:r>
      <w:r w:rsidRPr="00E206B2">
        <w:rPr>
          <w:szCs w:val="22"/>
        </w:rPr>
        <w:t xml:space="preserve">, </w:t>
      </w:r>
      <w:r w:rsidRPr="00E206B2">
        <w:t xml:space="preserve">Cleveland-Cliffs </w:t>
      </w:r>
      <w:r w:rsidRPr="00E206B2">
        <w:rPr>
          <w:szCs w:val="22"/>
        </w:rPr>
        <w:t>will implement, at a minimum, the following procedures:</w:t>
      </w:r>
      <w:bookmarkEnd w:id="7"/>
    </w:p>
    <w:p w:rsidR="00776B70" w:rsidRPr="00E206B2" w:rsidP="00776B70" w14:paraId="0531B2A4" w14:textId="77777777">
      <w:pPr>
        <w:widowControl/>
        <w:numPr>
          <w:ilvl w:val="0"/>
          <w:numId w:val="6"/>
        </w:numPr>
        <w:tabs>
          <w:tab w:val="clear" w:pos="1656"/>
        </w:tabs>
        <w:spacing w:after="120"/>
        <w:ind w:left="1886"/>
        <w:rPr>
          <w:szCs w:val="22"/>
        </w:rPr>
      </w:pPr>
      <w:r w:rsidRPr="00E206B2">
        <w:rPr>
          <w:b/>
          <w:bCs/>
          <w:szCs w:val="22"/>
          <w:u w:val="single"/>
        </w:rPr>
        <w:t>Consultation with Counsel</w:t>
      </w:r>
      <w:r w:rsidRPr="00327240">
        <w:rPr>
          <w:szCs w:val="22"/>
        </w:rPr>
        <w:t xml:space="preserve">.  </w:t>
      </w:r>
      <w:r w:rsidRPr="00E206B2">
        <w:rPr>
          <w:szCs w:val="22"/>
        </w:rPr>
        <w:t>Cleveland-Cliffs shall consult with outside counsel with specific knowledge of the Unauthorized Transfer Laws and general knowledge of the Communications Laws regarding its overall compliance with the Unauthorized Transfer Laws, including review by such counsel of all mergers and acquisitions, FCC license transfers, assignments, and transfers of control, the Compliance Plan, and all Compliance and Noncompliance Reports.  Cleveland-Cliffs shall in consultation with such counsel create and implement the Compliance Plan, Operating Procedures, Compliance Manual, and Compliance Training Program, as required by this paragraph 18.</w:t>
      </w:r>
    </w:p>
    <w:p w:rsidR="00776B70" w:rsidP="00776B70" w14:paraId="5E9EEAD5" w14:textId="77777777">
      <w:pPr>
        <w:widowControl/>
        <w:numPr>
          <w:ilvl w:val="0"/>
          <w:numId w:val="6"/>
        </w:numPr>
        <w:tabs>
          <w:tab w:val="clear" w:pos="1656"/>
        </w:tabs>
        <w:spacing w:after="120"/>
        <w:ind w:left="1886"/>
        <w:rPr>
          <w:szCs w:val="22"/>
        </w:rPr>
      </w:pPr>
      <w:r w:rsidRPr="007C0B39">
        <w:rPr>
          <w:b/>
          <w:szCs w:val="22"/>
          <w:u w:val="single"/>
        </w:rPr>
        <w:t>Operating Procedures</w:t>
      </w:r>
      <w:r>
        <w:rPr>
          <w:szCs w:val="22"/>
        </w:rPr>
        <w:t xml:space="preserve">.  Within </w:t>
      </w:r>
      <w:r w:rsidRPr="00AD27C2">
        <w:rPr>
          <w:szCs w:val="22"/>
        </w:rPr>
        <w:t>ninety</w:t>
      </w:r>
      <w:r>
        <w:rPr>
          <w:szCs w:val="22"/>
        </w:rPr>
        <w:t xml:space="preserve"> </w:t>
      </w:r>
      <w:r w:rsidRPr="00AD27C2">
        <w:rPr>
          <w:szCs w:val="22"/>
        </w:rPr>
        <w:t xml:space="preserve">(90) </w:t>
      </w:r>
      <w:r w:rsidRPr="007C0B39">
        <w:rPr>
          <w:szCs w:val="22"/>
        </w:rPr>
        <w:t xml:space="preserve">calendar days after the Effective Date, </w:t>
      </w:r>
      <w:r w:rsidRPr="00F8761E">
        <w:t>Cleveland-Cliffs</w:t>
      </w:r>
      <w:r w:rsidRPr="007C0B39">
        <w:rPr>
          <w:szCs w:val="22"/>
        </w:rPr>
        <w:t xml:space="preserve"> shall establish Operating Procedures that all Covered Employees must follow to help ensure </w:t>
      </w:r>
      <w:r w:rsidRPr="00F8761E">
        <w:t>Cleveland-Cliffs</w:t>
      </w:r>
      <w:r w:rsidRPr="007C0B39">
        <w:rPr>
          <w:szCs w:val="22"/>
        </w:rPr>
        <w:t xml:space="preserve">’ compliance with the </w:t>
      </w:r>
      <w:r w:rsidRPr="007E5DAB">
        <w:t>Unauthorized Transfer Laws</w:t>
      </w:r>
      <w:r w:rsidRPr="007C0B39">
        <w:rPr>
          <w:szCs w:val="22"/>
        </w:rPr>
        <w:t xml:space="preserve">.  </w:t>
      </w:r>
      <w:r w:rsidRPr="00F8761E">
        <w:t>Cleveland-Cliffs</w:t>
      </w:r>
      <w:r w:rsidRPr="007C0B39">
        <w:rPr>
          <w:szCs w:val="22"/>
        </w:rPr>
        <w:t xml:space="preserve">’ Operating Procedures shall include internal procedures and policies specifically designed to ensure that </w:t>
      </w:r>
      <w:r w:rsidRPr="00670411">
        <w:rPr>
          <w:szCs w:val="22"/>
        </w:rPr>
        <w:t>Cleveland-Cliffs complies with the Unauthorized Transfer Laws</w:t>
      </w:r>
      <w:r w:rsidRPr="007C0B39">
        <w:rPr>
          <w:szCs w:val="22"/>
        </w:rPr>
        <w:t>.</w:t>
      </w:r>
      <w:r>
        <w:rPr>
          <w:szCs w:val="22"/>
        </w:rPr>
        <w:t xml:space="preserve">  </w:t>
      </w:r>
      <w:r w:rsidRPr="00F8761E">
        <w:t xml:space="preserve">Cleveland-Cliffs </w:t>
      </w:r>
      <w:r w:rsidRPr="007C0B39">
        <w:rPr>
          <w:szCs w:val="22"/>
        </w:rPr>
        <w:t xml:space="preserve">shall also develop a Compliance Checklist that describes the steps that a Covered Employee must follow to ensure compliance with the </w:t>
      </w:r>
      <w:r w:rsidRPr="007E5DAB">
        <w:t>Unauthorized Transfer Laws</w:t>
      </w:r>
      <w:r w:rsidRPr="007C0B39">
        <w:rPr>
          <w:szCs w:val="22"/>
        </w:rPr>
        <w:t>.</w:t>
      </w:r>
      <w:r>
        <w:rPr>
          <w:szCs w:val="22"/>
        </w:rPr>
        <w:t xml:space="preserve">  With regard to any mergers and acquisitions, and/or disposition of any assets or entities involving FCC licenses, Cleveland-Cliffs will include in its standard due diligence checklist a review for FCC licenses, filing of necessary FCC applications, consultation with outside counsel at least thirty (30) days prior to closing any such transaction, and confirmation that it has received FCC consent to transfer or assign FCC licenses prior to closing the transaction.   </w:t>
      </w:r>
    </w:p>
    <w:p w:rsidR="00776B70" w:rsidRPr="007C0B39" w:rsidP="00776B70" w14:paraId="11A3E27F" w14:textId="77777777">
      <w:pPr>
        <w:widowControl/>
        <w:numPr>
          <w:ilvl w:val="0"/>
          <w:numId w:val="6"/>
        </w:numPr>
        <w:tabs>
          <w:tab w:val="clear" w:pos="1656"/>
        </w:tabs>
        <w:spacing w:after="120"/>
        <w:ind w:left="1886"/>
        <w:rPr>
          <w:szCs w:val="22"/>
        </w:rPr>
      </w:pPr>
      <w:r>
        <w:rPr>
          <w:b/>
          <w:szCs w:val="22"/>
          <w:u w:val="single"/>
        </w:rPr>
        <w:t>License Inventory</w:t>
      </w:r>
      <w:r>
        <w:rPr>
          <w:bCs/>
          <w:szCs w:val="22"/>
        </w:rPr>
        <w:t xml:space="preserve">.  Cleveland-Cliffs shall conduct an </w:t>
      </w:r>
      <w:r w:rsidRPr="00E206B2">
        <w:rPr>
          <w:bCs/>
          <w:szCs w:val="22"/>
        </w:rPr>
        <w:t xml:space="preserve">inventory of </w:t>
      </w:r>
      <w:r>
        <w:rPr>
          <w:bCs/>
          <w:szCs w:val="22"/>
        </w:rPr>
        <w:t xml:space="preserve">its </w:t>
      </w:r>
      <w:r w:rsidRPr="00E206B2">
        <w:rPr>
          <w:bCs/>
          <w:szCs w:val="22"/>
        </w:rPr>
        <w:t>FCC licenses during the term of this Consent Decree (as set forth in paragraph 21 herein) in each Compliance Report period (as set forth in paragraph 20 herein), beginning with the Compliance Report due twelve (12) months after the Effective Date to ensure compliance with the Operating Procedures and reporting noncompliance</w:t>
      </w:r>
      <w:r>
        <w:rPr>
          <w:bCs/>
          <w:szCs w:val="22"/>
        </w:rPr>
        <w:t xml:space="preserve">.  </w:t>
      </w:r>
      <w:r>
        <w:rPr>
          <w:bCs/>
          <w:szCs w:val="22"/>
        </w:rPr>
        <w:t xml:space="preserve">Cleveland-Cliffs shall consult with outside counsel with specific knowledge of the Unauthorized Transfer Laws and general knowledge of the Communications Laws concerning the inventory, including review of the results and inventory by such counsel.   </w:t>
      </w:r>
    </w:p>
    <w:p w:rsidR="00776B70" w:rsidRPr="007C0B39" w:rsidP="00776B70" w14:paraId="5734D1F1" w14:textId="7777777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w:t>
      </w:r>
      <w:r w:rsidRPr="009B5065">
        <w:rPr>
          <w:szCs w:val="22"/>
        </w:rPr>
        <w:t xml:space="preserve">ninety (90) </w:t>
      </w:r>
      <w:r w:rsidRPr="007C0B39">
        <w:rPr>
          <w:szCs w:val="22"/>
        </w:rPr>
        <w:t xml:space="preserve">calendar days after the Effective Date, the Compliance Officer shall develop and distribute a Compliance Manual to all Covered Employees.  The Compliance Manual shall explain the </w:t>
      </w:r>
      <w:r w:rsidRPr="00927355">
        <w:rPr>
          <w:szCs w:val="22"/>
        </w:rPr>
        <w:t xml:space="preserve">Unauthorized Transfer Laws </w:t>
      </w:r>
      <w:r w:rsidRPr="007C0B39">
        <w:rPr>
          <w:szCs w:val="22"/>
        </w:rPr>
        <w:t xml:space="preserve">and set forth the Operating Procedures that Covered Employees shall follow to help ensure </w:t>
      </w:r>
      <w:r w:rsidRPr="00F8761E">
        <w:t>Cleveland-Cliffs</w:t>
      </w:r>
      <w:r w:rsidRPr="007C0B39">
        <w:rPr>
          <w:szCs w:val="22"/>
        </w:rPr>
        <w:t xml:space="preserve">’ compliance with the </w:t>
      </w:r>
      <w:r w:rsidRPr="007E5DAB">
        <w:t>Unauthorized Transfer Laws</w:t>
      </w:r>
      <w:r w:rsidRPr="007C0B39">
        <w:rPr>
          <w:szCs w:val="22"/>
        </w:rPr>
        <w:t xml:space="preserve">.  </w:t>
      </w:r>
      <w:r w:rsidRPr="008D1458">
        <w:t xml:space="preserve">Cleveland-Cliffs </w:t>
      </w:r>
      <w:r w:rsidRPr="007C0B39">
        <w:rPr>
          <w:szCs w:val="22"/>
        </w:rPr>
        <w:t>shall periodically review and revise the Compliance Manual as necessary to ensure that the information set forth therein remains current and accurate.</w:t>
      </w:r>
      <w:r>
        <w:rPr>
          <w:szCs w:val="22"/>
        </w:rPr>
        <w:t xml:space="preserve">  </w:t>
      </w:r>
      <w:r w:rsidRPr="008D1458">
        <w:t xml:space="preserve">Cleveland-Cliffs </w:t>
      </w:r>
      <w:r w:rsidRPr="007C0B39">
        <w:rPr>
          <w:szCs w:val="22"/>
        </w:rPr>
        <w:t>shall distribute any revisions to the Compliance Manual promptly to all Covered Employees.</w:t>
      </w:r>
      <w:r>
        <w:rPr>
          <w:szCs w:val="22"/>
        </w:rPr>
        <w:t xml:space="preserve"> </w:t>
      </w:r>
    </w:p>
    <w:p w:rsidR="00776B70" w:rsidRPr="007C0B39" w:rsidP="00776B70" w14:paraId="2066E00C" w14:textId="77777777">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Pr="008D1458">
        <w:t xml:space="preserve">Cleveland-Cliffs </w:t>
      </w:r>
      <w:r w:rsidRPr="007C0B39">
        <w:rPr>
          <w:szCs w:val="22"/>
        </w:rPr>
        <w:t xml:space="preserve">shall establish and implement a Compliance Training Program on compliance with the </w:t>
      </w:r>
      <w:r w:rsidRPr="007E5DAB">
        <w:t>Unauthorized Transfer Laws</w:t>
      </w:r>
      <w:r w:rsidRPr="007C0B39">
        <w:rPr>
          <w:szCs w:val="22"/>
        </w:rPr>
        <w:t xml:space="preserve"> and the Operating Procedures.  As part of the Compliance Training Program, Covered Employees shall be advised of </w:t>
      </w:r>
      <w:r w:rsidRPr="008D1458">
        <w:t>Cleveland-Cliffs</w:t>
      </w:r>
      <w:r w:rsidRPr="007C0B39">
        <w:rPr>
          <w:szCs w:val="22"/>
        </w:rPr>
        <w:t>’</w:t>
      </w:r>
      <w:r>
        <w:rPr>
          <w:szCs w:val="22"/>
        </w:rPr>
        <w:t xml:space="preserve"> </w:t>
      </w:r>
      <w:r w:rsidRPr="007C0B39">
        <w:rPr>
          <w:szCs w:val="22"/>
        </w:rPr>
        <w:t xml:space="preserve">obligation to report any noncompliance with the </w:t>
      </w:r>
      <w:r w:rsidRPr="007E5DAB">
        <w:t>Unauthorized Transfer Laws</w:t>
      </w:r>
      <w:r w:rsidRPr="007C0B39">
        <w:rPr>
          <w:szCs w:val="22"/>
        </w:rPr>
        <w:t xml:space="preserve"> under </w:t>
      </w:r>
      <w:r w:rsidRPr="00E206B2">
        <w:rPr>
          <w:szCs w:val="22"/>
        </w:rPr>
        <w:t>paragraph 19 of this</w:t>
      </w:r>
      <w:r w:rsidRPr="007C0B39">
        <w:rPr>
          <w:szCs w:val="22"/>
        </w:rPr>
        <w:t xml:space="preserve"> Consent Decree and shall be instructed on how to disclose noncompliance to the Compliance Officer.  All Covered Employees shall be trained pursuant to the Compliance Training Program within </w:t>
      </w:r>
      <w:r w:rsidRPr="0084303B">
        <w:rPr>
          <w:szCs w:val="22"/>
        </w:rPr>
        <w:t xml:space="preserve">one hundred twenty (120) </w:t>
      </w:r>
      <w:r w:rsidRPr="007C0B39">
        <w:rPr>
          <w:szCs w:val="22"/>
        </w:rPr>
        <w:t xml:space="preserve">calendar days after the Effective Date, except that any person who becomes a Covered Employee at any time after the initial Compliance Training Program shall be trained within thirty (30) calendar days after the date such person becomes a Covered Employee.  </w:t>
      </w:r>
      <w:bookmarkStart w:id="9" w:name="_Hlk103269594"/>
      <w:r w:rsidRPr="008D1458">
        <w:t xml:space="preserve">Cleveland-Cliffs </w:t>
      </w:r>
      <w:bookmarkEnd w:id="9"/>
      <w:r w:rsidRPr="007C0B39">
        <w:rPr>
          <w:szCs w:val="22"/>
        </w:rPr>
        <w:t>shall repeat compliance training on an annual basis, and shall periodically review and revise the Compliance Training Program as necessary to ensure that it remains current and complete and to enhance its effectiveness.</w:t>
      </w:r>
    </w:p>
    <w:p w:rsidR="00776B70" w:rsidRPr="007C0B39" w:rsidP="00776B70" w14:paraId="25ADE981" w14:textId="7B873F1A">
      <w:pPr>
        <w:pStyle w:val="ParaNum"/>
        <w:widowControl/>
      </w:pPr>
      <w:bookmarkStart w:id="10" w:name="_Ref321323028"/>
      <w:r w:rsidRPr="007C0B39">
        <w:rPr>
          <w:b/>
          <w:u w:val="single"/>
        </w:rPr>
        <w:t>Reporting Noncompliance</w:t>
      </w:r>
      <w:r w:rsidRPr="007C0B39">
        <w:t xml:space="preserve">.  </w:t>
      </w:r>
      <w:r w:rsidRPr="008D1458">
        <w:t>Cleveland-Cliffs</w:t>
      </w:r>
      <w:r>
        <w:t xml:space="preserve"> </w:t>
      </w:r>
      <w:r w:rsidRPr="007C0B39">
        <w:t xml:space="preserve">shall report any noncompliance with the </w:t>
      </w:r>
      <w:bookmarkStart w:id="11" w:name="_Hlk103269265"/>
      <w:r w:rsidRPr="007E5DAB">
        <w:t>Unauthorized Transfer Laws</w:t>
      </w:r>
      <w:bookmarkEnd w:id="11"/>
      <w:r w:rsidRPr="007E5DAB">
        <w:t xml:space="preserve"> </w:t>
      </w:r>
      <w:r w:rsidRPr="007C0B39">
        <w:t>and with the terms and conditions of this Consent Decree within fifteen (15) calendar days after discovery of such noncompliance.  Such reports shall include a detailed explanation of:  (</w:t>
      </w:r>
      <w:r w:rsidRPr="007C0B39">
        <w:t>i</w:t>
      </w:r>
      <w:r w:rsidRPr="007C0B39">
        <w:t xml:space="preserve">) each instance of noncompliance; (ii) the steps that </w:t>
      </w:r>
      <w:r w:rsidRPr="008D1458">
        <w:t xml:space="preserve">Cleveland-Cliffs </w:t>
      </w:r>
      <w:r w:rsidRPr="007C0B39">
        <w:t>has taken or will take to remedy such noncompliance; (iii) the schedule on which such remedial actions will be taken; and (iv) the steps that</w:t>
      </w:r>
      <w:r>
        <w:t xml:space="preserve"> </w:t>
      </w:r>
      <w:r w:rsidRPr="000B761E">
        <w:t xml:space="preserve">Cleveland-Cliffs </w:t>
      </w:r>
      <w:r w:rsidRPr="007C0B39">
        <w:t xml:space="preserve">has taken or will take to prevent the recurrence of any such noncompliance.  All reports of noncompliance shall be submitted to </w:t>
      </w:r>
      <w:bookmarkEnd w:id="10"/>
      <w:r w:rsidRPr="00670411">
        <w:t>the Chief, Investigations &amp; Hearings Division, Enforcement Bureau, Federal Communications Commission, 45 L Street, NE, Washington, D</w:t>
      </w:r>
      <w:r>
        <w:t>.</w:t>
      </w:r>
      <w:r w:rsidRPr="00670411">
        <w:t>C</w:t>
      </w:r>
      <w:r>
        <w:t>.</w:t>
      </w:r>
      <w:r w:rsidRPr="00670411">
        <w:t xml:space="preserve"> 20554, with a copy submitted electronically to Jeffrey J. Gee at </w:t>
      </w:r>
      <w:hyperlink r:id="rId12" w:history="1">
        <w:r w:rsidRPr="001667ED">
          <w:rPr>
            <w:rStyle w:val="Hyperlink"/>
          </w:rPr>
          <w:t>Jeffrey.Gee@fcc.gov</w:t>
        </w:r>
      </w:hyperlink>
      <w:r w:rsidRPr="00670411">
        <w:t xml:space="preserve">, Christopher J. Sova at </w:t>
      </w:r>
      <w:hyperlink r:id="rId13" w:history="1">
        <w:r w:rsidRPr="001667ED">
          <w:rPr>
            <w:rStyle w:val="Hyperlink"/>
          </w:rPr>
          <w:t>Christopher.Sova@fcc.gov</w:t>
        </w:r>
      </w:hyperlink>
      <w:r w:rsidRPr="00670411">
        <w:t xml:space="preserve">, </w:t>
      </w:r>
      <w:r>
        <w:t>Frederick W. Giroux</w:t>
      </w:r>
      <w:r w:rsidRPr="00670411">
        <w:t xml:space="preserve"> at</w:t>
      </w:r>
      <w:r>
        <w:t xml:space="preserve"> </w:t>
      </w:r>
      <w:hyperlink r:id="rId14" w:history="1">
        <w:r w:rsidRPr="001667ED">
          <w:rPr>
            <w:rStyle w:val="Hyperlink"/>
          </w:rPr>
          <w:t>Frederick.Giroux@fcc.gov</w:t>
        </w:r>
      </w:hyperlink>
      <w:r w:rsidRPr="00670411">
        <w:t xml:space="preserve"> and Melissa </w:t>
      </w:r>
      <w:r>
        <w:t xml:space="preserve">A. </w:t>
      </w:r>
      <w:r w:rsidRPr="00670411">
        <w:t xml:space="preserve">Marshall at </w:t>
      </w:r>
      <w:hyperlink r:id="rId15" w:history="1">
        <w:r w:rsidRPr="001667ED">
          <w:rPr>
            <w:rStyle w:val="Hyperlink"/>
          </w:rPr>
          <w:t>Melissa.Marshall@fcc.gov</w:t>
        </w:r>
      </w:hyperlink>
      <w:r w:rsidRPr="00670411">
        <w:t>.</w:t>
      </w:r>
    </w:p>
    <w:p w:rsidR="00776B70" w:rsidRPr="007C0B39" w:rsidP="006158E3" w14:paraId="1BE3B5BC" w14:textId="0869D3B8">
      <w:pPr>
        <w:pStyle w:val="ParaNum"/>
        <w:rPr>
          <w:caps/>
        </w:rPr>
      </w:pPr>
      <w:bookmarkStart w:id="12" w:name="_Ref379202892"/>
      <w:r w:rsidRPr="007C0B39">
        <w:rPr>
          <w:b/>
          <w:u w:val="single"/>
        </w:rPr>
        <w:t>Compliance Reports</w:t>
      </w:r>
      <w:r w:rsidRPr="007C0B39">
        <w:t xml:space="preserve">.  </w:t>
      </w:r>
      <w:r w:rsidRPr="00927355">
        <w:t xml:space="preserve">Cleveland-Cliffs </w:t>
      </w:r>
      <w:r w:rsidRPr="007C0B39">
        <w:t xml:space="preserve">shall file compliance reports with the Commission </w:t>
      </w:r>
      <w:r w:rsidRPr="00A9769D">
        <w:t xml:space="preserve">one hundred twenty (120) </w:t>
      </w:r>
      <w:r w:rsidRPr="007C0B39">
        <w:t>calendar days after the Effective Date, twelve (12) months after the Effective Date, twenty-four (24) months after the Effective Date, and thirty-six (36) months after the Effective Date.</w:t>
      </w:r>
      <w:bookmarkEnd w:id="12"/>
      <w:r w:rsidRPr="007C0B39">
        <w:t xml:space="preserve">  </w:t>
      </w:r>
    </w:p>
    <w:p w:rsidR="00776B70" w:rsidRPr="007C0B39" w:rsidP="00776B70" w14:paraId="09BFA5CC" w14:textId="7777777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Pr="008D1458">
        <w:t>Cleveland-Cliffs</w:t>
      </w:r>
      <w:r w:rsidRPr="007C0B39">
        <w:rPr>
          <w:szCs w:val="22"/>
        </w:rPr>
        <w:t>’</w:t>
      </w:r>
      <w:r>
        <w:rPr>
          <w:szCs w:val="22"/>
        </w:rPr>
        <w:t xml:space="preserve"> </w:t>
      </w:r>
      <w:r w:rsidRPr="007C0B39">
        <w:rPr>
          <w:szCs w:val="22"/>
        </w:rPr>
        <w:t xml:space="preserve">efforts during the relevant period to comply with the terms and conditions of this Consent Decree and the </w:t>
      </w:r>
      <w:r w:rsidRPr="000B761E">
        <w:rPr>
          <w:szCs w:val="22"/>
        </w:rPr>
        <w:t>Unauthorized Transfer Laws</w:t>
      </w:r>
      <w:r w:rsidRPr="007C0B39">
        <w:rPr>
          <w:szCs w:val="22"/>
        </w:rPr>
        <w:t xml:space="preserve">.  In addition, each Compliance Report shall include a certification by the Compliance Officer, as an agent of and on behalf of </w:t>
      </w:r>
      <w:r w:rsidRPr="00927355">
        <w:t>Cleveland-Cliffs</w:t>
      </w:r>
      <w:r w:rsidRPr="007C0B39">
        <w:rPr>
          <w:szCs w:val="22"/>
        </w:rPr>
        <w:t xml:space="preserve">, stating that the Compliance Officer has personal knowledge that </w:t>
      </w:r>
      <w:r w:rsidRPr="008D1458">
        <w:t>Cleveland-Cliffs</w:t>
      </w:r>
      <w:r w:rsidRPr="007C0B39">
        <w:t>:</w:t>
      </w:r>
      <w:r w:rsidRPr="007C0B39">
        <w:rPr>
          <w:szCs w:val="22"/>
        </w:rPr>
        <w:t xml:space="preserve">  (</w:t>
      </w:r>
      <w:r w:rsidRPr="007C0B39">
        <w:rPr>
          <w:szCs w:val="22"/>
        </w:rPr>
        <w:t>i</w:t>
      </w:r>
      <w:r w:rsidRPr="007C0B39">
        <w:rPr>
          <w:szCs w:val="22"/>
        </w:rPr>
        <w:t xml:space="preserve">) has established and implemented the Compliance Plan; (ii) has utilized the Operating Procedures since the implementation of the Compliance Plan; (iii) </w:t>
      </w:r>
      <w:r w:rsidRPr="00E206B2">
        <w:rPr>
          <w:szCs w:val="22"/>
        </w:rPr>
        <w:t xml:space="preserve">is not aware of any instances of noncompliance with the terms and conditions of this Consent Decree, including the </w:t>
      </w:r>
      <w:r w:rsidRPr="00E206B2">
        <w:rPr>
          <w:szCs w:val="22"/>
        </w:rPr>
        <w:t>reporting obligations set forth in paragraph 19</w:t>
      </w:r>
      <w:r w:rsidRPr="00E206B2">
        <w:rPr>
          <w:b/>
          <w:szCs w:val="22"/>
        </w:rPr>
        <w:t xml:space="preserve"> </w:t>
      </w:r>
      <w:r w:rsidRPr="00E206B2">
        <w:rPr>
          <w:szCs w:val="22"/>
        </w:rPr>
        <w:t>of this Consent</w:t>
      </w:r>
      <w:r w:rsidRPr="007C0B39">
        <w:rPr>
          <w:szCs w:val="22"/>
        </w:rPr>
        <w:t xml:space="preserve"> Decree</w:t>
      </w:r>
      <w:r>
        <w:rPr>
          <w:szCs w:val="22"/>
        </w:rPr>
        <w:t>; and (iv) has had outside counsel with specific knowledge of the Unauthorized Transfer Laws and general knowledge of the Communications Laws review this Compliance Report</w:t>
      </w:r>
      <w:r w:rsidRPr="007C0B39">
        <w:rPr>
          <w:szCs w:val="22"/>
        </w:rPr>
        <w:t>.</w:t>
      </w:r>
    </w:p>
    <w:p w:rsidR="00776B70" w:rsidRPr="007C0B39" w:rsidP="00776B70" w14:paraId="184834F0" w14:textId="77777777">
      <w:pPr>
        <w:widowControl/>
        <w:numPr>
          <w:ilvl w:val="0"/>
          <w:numId w:val="7"/>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32"/>
      </w:r>
    </w:p>
    <w:p w:rsidR="00776B70" w:rsidRPr="007C0B39" w:rsidP="00776B70" w14:paraId="2523AD03" w14:textId="7777777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Pr="008D1458">
        <w:t>Cleveland-Cliffs</w:t>
      </w:r>
      <w:r w:rsidRPr="007C0B39">
        <w:rPr>
          <w:szCs w:val="22"/>
        </w:rPr>
        <w:t>, shall provide the Commission with a detailed explanation of the reason(s) why and describe fully:  (</w:t>
      </w:r>
      <w:r w:rsidRPr="007C0B39">
        <w:rPr>
          <w:szCs w:val="22"/>
        </w:rPr>
        <w:t>i</w:t>
      </w:r>
      <w:r w:rsidRPr="007C0B39">
        <w:rPr>
          <w:szCs w:val="22"/>
        </w:rPr>
        <w:t xml:space="preserve">) each instance of noncompliance; (ii) the steps that </w:t>
      </w:r>
      <w:r w:rsidRPr="008D1458">
        <w:t xml:space="preserve">Cleveland-Cliffs </w:t>
      </w:r>
      <w:r w:rsidRPr="007C0B39">
        <w:rPr>
          <w:szCs w:val="22"/>
        </w:rPr>
        <w:t xml:space="preserve">has taken or will take to remedy such noncompliance, including the schedule on which proposed remedial actions will be taken; and (iii) the steps that </w:t>
      </w:r>
      <w:r w:rsidRPr="008D1458">
        <w:t>Cleveland-Cliffs</w:t>
      </w:r>
      <w:r w:rsidRPr="007C0B39">
        <w:rPr>
          <w:szCs w:val="22"/>
        </w:rPr>
        <w:t xml:space="preserve"> has taken or will take to prevent the recurrence of any such noncompliance, including the schedule on which such preventive action will be taken.</w:t>
      </w:r>
    </w:p>
    <w:p w:rsidR="00776B70" w:rsidRPr="007C0B39" w:rsidP="00776B70" w14:paraId="64B10D0D" w14:textId="33888E26">
      <w:pPr>
        <w:widowControl/>
        <w:numPr>
          <w:ilvl w:val="0"/>
          <w:numId w:val="7"/>
        </w:numPr>
        <w:tabs>
          <w:tab w:val="clear" w:pos="1782"/>
        </w:tabs>
        <w:spacing w:after="120"/>
        <w:ind w:left="1886" w:hanging="450"/>
        <w:rPr>
          <w:szCs w:val="22"/>
        </w:rPr>
      </w:pPr>
      <w:r w:rsidRPr="007C0B39">
        <w:rPr>
          <w:szCs w:val="22"/>
        </w:rPr>
        <w:t xml:space="preserve">All Compliance Reports shall be submitted </w:t>
      </w:r>
      <w:r>
        <w:rPr>
          <w:szCs w:val="22"/>
        </w:rPr>
        <w:t xml:space="preserve">to </w:t>
      </w:r>
      <w:r w:rsidRPr="00721B06">
        <w:t>the Chief, Investigations &amp; Hearings Division, Enforcement Bureau, Federal Communications Commission, 45 L Street, NE, Washington, D</w:t>
      </w:r>
      <w:r>
        <w:t>.</w:t>
      </w:r>
      <w:r w:rsidRPr="00721B06">
        <w:t>C</w:t>
      </w:r>
      <w:r>
        <w:t>.</w:t>
      </w:r>
      <w:r w:rsidRPr="00721B06">
        <w:t xml:space="preserve"> 20554, with a copy submitted electronically to Jeffrey J. Gee at </w:t>
      </w:r>
      <w:hyperlink r:id="rId12" w:history="1">
        <w:r w:rsidRPr="001667ED">
          <w:rPr>
            <w:rStyle w:val="Hyperlink"/>
          </w:rPr>
          <w:t>Jeffrey.Gee@fcc.gov</w:t>
        </w:r>
      </w:hyperlink>
      <w:r w:rsidRPr="00721B06">
        <w:t xml:space="preserve">, Christopher J. Sova at </w:t>
      </w:r>
      <w:hyperlink r:id="rId13" w:history="1">
        <w:r w:rsidRPr="00A70D5A">
          <w:rPr>
            <w:rStyle w:val="Hyperlink"/>
          </w:rPr>
          <w:t>Christopher.Sova@fcc.gov</w:t>
        </w:r>
      </w:hyperlink>
      <w:r w:rsidRPr="00721B06">
        <w:t xml:space="preserve">, </w:t>
      </w:r>
      <w:r>
        <w:t>Frederick W. Giroux</w:t>
      </w:r>
      <w:r w:rsidRPr="00721B06">
        <w:t xml:space="preserve"> at </w:t>
      </w:r>
      <w:hyperlink r:id="rId14" w:history="1">
        <w:r w:rsidRPr="00A70D5A">
          <w:rPr>
            <w:rStyle w:val="Hyperlink"/>
          </w:rPr>
          <w:t>Frederick.Giroux@fcc.gov</w:t>
        </w:r>
      </w:hyperlink>
      <w:r w:rsidRPr="00721B06">
        <w:t xml:space="preserve">, and Melissa </w:t>
      </w:r>
      <w:r>
        <w:t xml:space="preserve">A. </w:t>
      </w:r>
      <w:r w:rsidRPr="00721B06">
        <w:t xml:space="preserve">Marshall at </w:t>
      </w:r>
      <w:hyperlink r:id="rId15" w:history="1">
        <w:r w:rsidRPr="00A70D5A">
          <w:rPr>
            <w:rStyle w:val="Hyperlink"/>
          </w:rPr>
          <w:t>Melissa.Marshall@fcc.gov</w:t>
        </w:r>
      </w:hyperlink>
      <w:r w:rsidRPr="00721B06">
        <w:t>.</w:t>
      </w:r>
    </w:p>
    <w:p w:rsidR="00776B70" w:rsidRPr="007C0B39" w:rsidP="00776B70" w14:paraId="774E9811" w14:textId="77777777">
      <w:pPr>
        <w:pStyle w:val="ParaNum"/>
        <w:widowControl/>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w:t>
      </w:r>
      <w:r w:rsidRPr="00E206B2">
        <w:rPr>
          <w:szCs w:val="22"/>
        </w:rPr>
        <w:t>graphs 17 through 20 of this Consent Decree shall expire thirty-six (36) months after the Effective Date.</w:t>
      </w:r>
      <w:r w:rsidRPr="007C0B39">
        <w:rPr>
          <w:szCs w:val="22"/>
        </w:rPr>
        <w:t xml:space="preserve">  </w:t>
      </w:r>
    </w:p>
    <w:p w:rsidR="00776B70" w:rsidRPr="004554BB" w:rsidP="006158E3" w14:paraId="1D2CB70B" w14:textId="6324D8E4">
      <w:pPr>
        <w:pStyle w:val="ParaNum"/>
      </w:pPr>
      <w:bookmarkStart w:id="13" w:name="_Ref357521957"/>
      <w:r w:rsidRPr="004554BB">
        <w:rPr>
          <w:b/>
          <w:iCs/>
          <w:u w:val="single"/>
        </w:rPr>
        <w:t>Civil Penalty</w:t>
      </w:r>
      <w:r w:rsidRPr="004554BB">
        <w:t xml:space="preserve">.  </w:t>
      </w:r>
      <w:bookmarkStart w:id="14" w:name="_Hlk103269901"/>
      <w:r w:rsidRPr="004554BB">
        <w:t xml:space="preserve">Cleveland-Cliffs </w:t>
      </w:r>
      <w:bookmarkEnd w:id="14"/>
      <w:r w:rsidRPr="004554BB">
        <w:t>will pay a civil penalty to the United States Treasury in the amount of fifty thousand dollars ($50,000) within thirty (30) calendar days of the Effective Date.</w:t>
      </w:r>
      <w:bookmarkStart w:id="15" w:name="_Hlk89854419"/>
      <w:r w:rsidRPr="004554BB">
        <w:t xml:space="preserve">  </w:t>
      </w:r>
      <w:bookmarkEnd w:id="15"/>
      <w:r w:rsidRPr="004554BB">
        <w:t>Cleveland-Cliffs acknowledges and agrees that upon execution of this Consent Decree, the Civil Penalty shall become a “Claim” or “Debt” as defined in 31 U.S.C. § 3701(b)(1).</w:t>
      </w:r>
      <w:r>
        <w:rPr>
          <w:rStyle w:val="FootnoteReference"/>
          <w:sz w:val="22"/>
          <w:szCs w:val="22"/>
        </w:rPr>
        <w:footnoteReference w:id="33"/>
      </w:r>
      <w:r w:rsidRPr="004554BB">
        <w:t xml:space="preserve">  Upon an Event of Default, all procedures for collection as permitted by law may, at the Commission’s discretion, be initiated.  Cleveland-Cliffs shall send electronic notification of payment to Jeffrey J. Gee at </w:t>
      </w:r>
      <w:hyperlink r:id="rId12" w:history="1">
        <w:r w:rsidRPr="004554BB">
          <w:rPr>
            <w:rStyle w:val="Hyperlink"/>
            <w:szCs w:val="22"/>
          </w:rPr>
          <w:t>Jeffrey.Gee@fcc.gov</w:t>
        </w:r>
      </w:hyperlink>
      <w:r w:rsidRPr="004554BB">
        <w:t xml:space="preserve">, Christopher J. Sova at </w:t>
      </w:r>
      <w:hyperlink r:id="rId13" w:history="1">
        <w:r w:rsidRPr="004554BB">
          <w:rPr>
            <w:rStyle w:val="Hyperlink"/>
            <w:szCs w:val="22"/>
          </w:rPr>
          <w:t>Christopher.Sova@fcc.gov</w:t>
        </w:r>
      </w:hyperlink>
      <w:r w:rsidRPr="004554BB">
        <w:t xml:space="preserve">, Frederick W. Giroux at </w:t>
      </w:r>
      <w:hyperlink r:id="rId14" w:history="1">
        <w:r w:rsidRPr="004554BB">
          <w:rPr>
            <w:rStyle w:val="Hyperlink"/>
            <w:szCs w:val="22"/>
          </w:rPr>
          <w:t>Frederick.Giroux@fcc.gov</w:t>
        </w:r>
      </w:hyperlink>
      <w:r w:rsidRPr="004554BB">
        <w:t xml:space="preserve">, and Melissa A. Marshall at </w:t>
      </w:r>
      <w:hyperlink r:id="rId15" w:history="1">
        <w:r w:rsidRPr="004554BB">
          <w:rPr>
            <w:rStyle w:val="Hyperlink"/>
            <w:szCs w:val="22"/>
          </w:rPr>
          <w:t>Melissa.Marshall@fcc.gov</w:t>
        </w:r>
      </w:hyperlink>
      <w:r w:rsidRPr="004554BB">
        <w:t xml:space="preserve"> on the date said payment is made.  Payment of the Civil Penalty must be made by credit card,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szCs w:val="22"/>
        </w:rPr>
        <w:footnoteReference w:id="34"/>
      </w:r>
    </w:p>
    <w:p w:rsidR="00776B70" w:rsidRPr="009716F7" w:rsidP="00776B70" w14:paraId="5776E601" w14:textId="3636846F">
      <w:pPr>
        <w:widowControl/>
        <w:numPr>
          <w:ilvl w:val="0"/>
          <w:numId w:val="8"/>
        </w:numPr>
        <w:snapToGrid w:val="0"/>
        <w:spacing w:after="120"/>
        <w:ind w:left="720"/>
      </w:pPr>
      <w:r w:rsidRPr="009716F7">
        <w:t xml:space="preserve">Payment by wire transfer must be made to ABA </w:t>
      </w:r>
      <w:r w:rsidRPr="004554BB">
        <w:rPr>
          <w:szCs w:val="22"/>
        </w:rPr>
        <w:t>Number 021030004, receiving bank TREAS/NYC, and Account Number 27000001.  In the OBI field, enter the FRN(s) captioned above and the letters “FORF”.  In addition, a completed Form 159</w:t>
      </w:r>
      <w:r>
        <w:rPr>
          <w:rStyle w:val="FootnoteReference"/>
          <w:sz w:val="22"/>
          <w:szCs w:val="22"/>
        </w:rPr>
        <w:footnoteReference w:id="35"/>
      </w:r>
      <w:r w:rsidRPr="004554BB">
        <w:rPr>
          <w:szCs w:val="22"/>
        </w:rPr>
        <w:t xml:space="preserve"> or printed CORES form</w:t>
      </w:r>
      <w:r>
        <w:rPr>
          <w:rStyle w:val="FootnoteReference"/>
          <w:sz w:val="22"/>
          <w:szCs w:val="22"/>
        </w:rPr>
        <w:footnoteReference w:id="36"/>
      </w:r>
      <w:r w:rsidRPr="004554BB">
        <w:rPr>
          <w:szCs w:val="22"/>
        </w:rPr>
        <w:t xml:space="preserve"> must be faxed to the Federal Communications Commission at 202-418-2843 or e-mailed to </w:t>
      </w:r>
      <w:hyperlink r:id="rId16" w:history="1">
        <w:r w:rsidRPr="004554BB">
          <w:rPr>
            <w:rStyle w:val="Hyperlink"/>
            <w:szCs w:val="22"/>
          </w:rPr>
          <w:t>RROGWireFaxes@fcc.gov</w:t>
        </w:r>
      </w:hyperlink>
      <w:r w:rsidRPr="004554BB">
        <w:rPr>
          <w:szCs w:val="22"/>
        </w:rPr>
        <w:t xml:space="preserve"> on the same business day the wire transfer is initiated.  Failure to provide all required information in Form 159 or CORES may result in payment not being </w:t>
      </w:r>
      <w:r w:rsidRPr="004554BB">
        <w:rPr>
          <w:szCs w:val="22"/>
        </w:rPr>
        <w:t>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7"/>
      </w:r>
      <w:r w:rsidRPr="004554BB">
        <w:rPr>
          <w:szCs w:val="22"/>
        </w:rPr>
        <w:t xml:space="preserve">  For additional detail and wire transfer instructions, go to </w:t>
      </w:r>
      <w:hyperlink r:id="rId17" w:history="1">
        <w:r w:rsidRPr="004554BB">
          <w:rPr>
            <w:rStyle w:val="Hyperlink"/>
            <w:szCs w:val="22"/>
          </w:rPr>
          <w:t>https://www.fcc.gov/licensing-databases/fees/wire-transfer</w:t>
        </w:r>
      </w:hyperlink>
      <w:r w:rsidRPr="004554BB">
        <w:rPr>
          <w:szCs w:val="22"/>
        </w:rPr>
        <w:t>.</w:t>
      </w:r>
      <w:r w:rsidRPr="009716F7">
        <w:t xml:space="preserve">  </w:t>
      </w:r>
    </w:p>
    <w:p w:rsidR="00776B70" w:rsidRPr="009716F7" w:rsidP="00776B70" w14:paraId="0762995F" w14:textId="72869A04">
      <w:pPr>
        <w:widowControl/>
        <w:numPr>
          <w:ilvl w:val="0"/>
          <w:numId w:val="8"/>
        </w:numPr>
        <w:snapToGrid w:val="0"/>
        <w:spacing w:after="120"/>
        <w:ind w:left="720"/>
      </w:pPr>
      <w:r w:rsidRPr="009716F7">
        <w:t xml:space="preserve">Payment by credit card must be made by using the Commission’s </w:t>
      </w:r>
      <w:r w:rsidRPr="004B6755">
        <w:t xml:space="preserve">Registration System (CORES) at </w:t>
      </w:r>
      <w:hyperlink r:id="rId18" w:history="1">
        <w:r w:rsidRPr="00D76723">
          <w:rPr>
            <w:rStyle w:val="Hyperlink"/>
          </w:rPr>
          <w:t>h</w:t>
        </w:r>
        <w:r w:rsidRPr="00DF5B5C">
          <w:rPr>
            <w:rStyle w:val="Hyperlink"/>
          </w:rPr>
          <w:t>ttps://apps.fcc.gov/cores/userLogin.do</w:t>
        </w:r>
      </w:hyperlink>
      <w:r w:rsidRPr="004B6755">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w:t>
      </w:r>
      <w:r w:rsidRPr="009716F7">
        <w:t xml:space="preserve"> card transactions.</w:t>
      </w:r>
    </w:p>
    <w:p w:rsidR="00776B70" w:rsidRPr="004864CE" w:rsidP="00776B70" w14:paraId="6CA27F4A" w14:textId="705A244D">
      <w:pPr>
        <w:widowControl/>
        <w:numPr>
          <w:ilvl w:val="0"/>
          <w:numId w:val="8"/>
        </w:numPr>
        <w:snapToGrid w:val="0"/>
        <w:spacing w:after="120"/>
        <w:ind w:left="720"/>
      </w:pPr>
      <w:r w:rsidRPr="009716F7">
        <w:t xml:space="preserve">Payment by ACH must be made by using the Commission’s Registration System (CORES) at </w:t>
      </w:r>
      <w:hyperlink r:id="rId19" w:history="1">
        <w:r w:rsidRPr="009716F7">
          <w:rPr>
            <w:rStyle w:val="Hyperlink"/>
          </w:rPr>
          <w:t>https://apps.fcc.gov/cores</w:t>
        </w:r>
        <w:r w:rsidRPr="00455FEB">
          <w:rPr>
            <w:rStyle w:val="Hyperlink"/>
          </w:rPr>
          <w:t>/userLogin.do</w:t>
        </w:r>
      </w:hyperlink>
      <w:r w:rsidRPr="009716F7">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CD Acct. No.  The bill number is the CD Acct. No. with the first two digits excluded (e.g., CD 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776B70" w:rsidRPr="00F810F3" w:rsidP="00776B70" w14:paraId="30FA3969" w14:textId="77777777">
      <w:pPr>
        <w:pStyle w:val="ParaNum"/>
        <w:widowControl/>
        <w:rPr>
          <w:rStyle w:val="ParaNumChar0"/>
        </w:rPr>
      </w:pPr>
      <w:r w:rsidRPr="004227E6">
        <w:rPr>
          <w:b/>
          <w:u w:val="single"/>
        </w:rPr>
        <w:t>Event of Default</w:t>
      </w:r>
      <w:r w:rsidRPr="004227E6">
        <w:t xml:space="preserve">.  </w:t>
      </w:r>
      <w:r w:rsidRPr="000B761E">
        <w:rPr>
          <w:szCs w:val="22"/>
        </w:rPr>
        <w:t xml:space="preserve">Cleveland-Cliffs </w:t>
      </w:r>
      <w:r w:rsidRPr="004227E6">
        <w:t xml:space="preserve">agrees that an Event of Default shall occur upon the failure by </w:t>
      </w:r>
      <w:r w:rsidRPr="000B761E">
        <w:rPr>
          <w:szCs w:val="22"/>
        </w:rPr>
        <w:t xml:space="preserve">Cleveland-Cliffs </w:t>
      </w:r>
      <w:r w:rsidRPr="004227E6">
        <w:t xml:space="preserve">to pay the </w:t>
      </w:r>
      <w:r>
        <w:t xml:space="preserve">full amount of the </w:t>
      </w:r>
      <w:r w:rsidRPr="004227E6">
        <w:t>Civil Penal</w:t>
      </w:r>
      <w:r>
        <w:t>t</w:t>
      </w:r>
      <w:r w:rsidRPr="004227E6">
        <w:t>y</w:t>
      </w:r>
      <w:r>
        <w:t xml:space="preserve"> </w:t>
      </w:r>
      <w:r w:rsidRPr="004227E6">
        <w:t>on or before the due date specified in this Consent Decree.</w:t>
      </w:r>
    </w:p>
    <w:p w:rsidR="00776B70" w:rsidRPr="007C0B39" w:rsidP="006158E3" w14:paraId="0A7950FB" w14:textId="7A7FFE38">
      <w:pPr>
        <w:pStyle w:val="ParaNum"/>
      </w:pPr>
      <w:r w:rsidRPr="004227E6">
        <w:rPr>
          <w:b/>
          <w:u w:val="single"/>
        </w:rPr>
        <w:t>Interest, Charges for Collection, and Acceleration of Maturity Date</w:t>
      </w:r>
      <w:r w:rsidRPr="004227E6">
        <w:t>.  After an Event of Default has occurred under this Consent Decree, the then unpaid amount of the Civil Penalty</w:t>
      </w:r>
      <w:r>
        <w:t xml:space="preserve"> </w:t>
      </w:r>
      <w:r w:rsidRPr="004227E6">
        <w:t xml:space="preserve">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bookmarkStart w:id="16" w:name="_Hlk103270023"/>
      <w:r w:rsidRPr="000B761E">
        <w:t>Cleveland-Cliffs</w:t>
      </w:r>
      <w:bookmarkEnd w:id="16"/>
      <w:r w:rsidRPr="004227E6">
        <w:t>.</w:t>
      </w:r>
      <w:bookmarkEnd w:id="13"/>
      <w:r w:rsidRPr="0004267E">
        <w:t xml:space="preserve"> </w:t>
      </w:r>
    </w:p>
    <w:p w:rsidR="00776B70" w:rsidRPr="007C0B39" w:rsidP="00776B70" w14:paraId="6B246CDF" w14:textId="77777777">
      <w:pPr>
        <w:pStyle w:val="ParaNum"/>
        <w:widowControl/>
      </w:pPr>
      <w:r w:rsidRPr="007C0B39">
        <w:rPr>
          <w:b/>
          <w:u w:val="single"/>
        </w:rPr>
        <w:t>Waivers</w:t>
      </w:r>
      <w:r w:rsidRPr="007C0B39">
        <w:t xml:space="preserve">.  As of the Effective Date, </w:t>
      </w:r>
      <w:r w:rsidRPr="000B761E">
        <w:t>Cleveland-Cliffs</w:t>
      </w:r>
      <w:r w:rsidRPr="007C0B39">
        <w:t xml:space="preserve"> waives any and all rights it may have to seek administrative or judicial reconsideration, review, appeal or stay, or to otherwise challenge or contest the validity of this Consent Decree and the Adopting Order.  </w:t>
      </w:r>
      <w:r w:rsidRPr="000B761E">
        <w:rPr>
          <w:szCs w:val="22"/>
        </w:rPr>
        <w:t>Cleveland-Cliffs</w:t>
      </w:r>
      <w:r>
        <w:t xml:space="preserve">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E765F5">
        <w:t xml:space="preserve">Cleveland-Cliffs </w:t>
      </w:r>
      <w:r w:rsidRPr="007C0B39">
        <w:t xml:space="preserve">nor the Commission shall contest the validity of the Consent Decree or the Adopting Order, and </w:t>
      </w:r>
      <w:r w:rsidRPr="00E765F5">
        <w:t xml:space="preserve">Cleveland-Cliffs </w:t>
      </w:r>
      <w:r w:rsidRPr="007C0B39">
        <w:t xml:space="preserve">shall waive any statutory right to a trial </w:t>
      </w:r>
      <w:r w:rsidRPr="007C0B39">
        <w:rPr>
          <w:i/>
        </w:rPr>
        <w:t>de novo</w:t>
      </w:r>
      <w:r w:rsidRPr="007C0B39">
        <w:t xml:space="preserve">.  </w:t>
      </w:r>
      <w:r w:rsidRPr="00E765F5">
        <w:t xml:space="preserve">Cleveland-Cliffs </w:t>
      </w:r>
      <w:r w:rsidRPr="007C0B39">
        <w:t>hereby agrees to waive any claims it may otherwise have under the Equal Access to Justice Act</w:t>
      </w:r>
      <w:r>
        <w:rPr>
          <w:rStyle w:val="FootnoteReference"/>
          <w:szCs w:val="22"/>
        </w:rPr>
        <w:footnoteReference w:id="38"/>
      </w:r>
      <w:r w:rsidRPr="007C0B39">
        <w:t xml:space="preserve"> relating to the matters addressed in this Consent Decree.</w:t>
      </w:r>
    </w:p>
    <w:p w:rsidR="00776B70" w:rsidRPr="007C0B39" w:rsidP="006158E3" w14:paraId="6F718FFC" w14:textId="450BD160">
      <w:pPr>
        <w:pStyle w:val="ParaNum"/>
      </w:pPr>
      <w:r w:rsidRPr="007C0B39">
        <w:rPr>
          <w:b/>
          <w:u w:val="single"/>
        </w:rPr>
        <w:t>Severability</w:t>
      </w:r>
      <w:r w:rsidRPr="007C0B39">
        <w:t xml:space="preserve">.  The Parties agree that if any of the provisions of the Consent Decree shall </w:t>
      </w:r>
      <w:r w:rsidRPr="007C0B39">
        <w:t>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76B70" w:rsidRPr="007C0B39" w:rsidP="00776B70" w14:paraId="72ADA2D1" w14:textId="77777777">
      <w:pPr>
        <w:pStyle w:val="ParaNum"/>
        <w:widowControl/>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776B70" w:rsidRPr="007C0B39" w:rsidP="00F513D6" w14:paraId="0A4C17E7" w14:textId="7F702600">
      <w:pPr>
        <w:pStyle w:val="ParaNum"/>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sidRPr="00E765F5">
        <w:rPr>
          <w:szCs w:val="22"/>
        </w:rPr>
        <w:t xml:space="preserve">Cleveland-Cliffs </w:t>
      </w:r>
      <w:r w:rsidRPr="007C0B39">
        <w:t xml:space="preserve">does not expressly consent) that provision will be superseded by such Rule or </w:t>
      </w:r>
      <w:r>
        <w:t>o</w:t>
      </w:r>
      <w:r w:rsidRPr="007C0B39">
        <w:t>rder.</w:t>
      </w:r>
    </w:p>
    <w:p w:rsidR="00776B70" w:rsidRPr="007C0B39" w:rsidP="00776B70" w14:paraId="243DA2A8" w14:textId="77777777">
      <w:pPr>
        <w:pStyle w:val="ParaNum"/>
        <w:widowControl/>
      </w:pPr>
      <w:r w:rsidRPr="007C0B39">
        <w:rPr>
          <w:b/>
          <w:u w:val="single"/>
        </w:rPr>
        <w:t>Successors and Assigns</w:t>
      </w:r>
      <w:r w:rsidRPr="007C0B39">
        <w:t xml:space="preserve">.  </w:t>
      </w:r>
      <w:r w:rsidRPr="00E765F5">
        <w:t xml:space="preserve">Cleveland-Cliffs </w:t>
      </w:r>
      <w:r w:rsidRPr="007C0B39">
        <w:t>agrees that the provisions of this Consent Decree shall be binding on its successors, assigns, and transferees.</w:t>
      </w:r>
    </w:p>
    <w:p w:rsidR="00776B70" w:rsidRPr="007C0B39" w:rsidP="00F513D6" w14:paraId="6B95C12C" w14:textId="3CD9868C">
      <w:pPr>
        <w:pStyle w:val="ParaNum"/>
      </w:pPr>
      <w:r w:rsidRPr="007C0B39">
        <w:rPr>
          <w:b/>
          <w:u w:val="single"/>
        </w:rPr>
        <w:t>Final Settlement</w:t>
      </w:r>
      <w:r w:rsidRPr="007C0B39">
        <w:t xml:space="preserve">.  The Parties agree and acknowledge that this Consent Decree shall constitute a final settlement between the Parties with respect to the Investigation.  </w:t>
      </w:r>
    </w:p>
    <w:p w:rsidR="00776B70" w:rsidRPr="007C0B39" w:rsidP="00776B70" w14:paraId="6B20B363"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776B70" w:rsidRPr="007C0B39" w:rsidP="00F513D6" w14:paraId="608EC749" w14:textId="49A940AD">
      <w:pPr>
        <w:pStyle w:val="ParaNum"/>
      </w:pPr>
      <w:r w:rsidRPr="007C0B39">
        <w:rPr>
          <w:b/>
          <w:u w:val="single"/>
        </w:rPr>
        <w:t>Paragraph Headings</w:t>
      </w:r>
      <w:r w:rsidRPr="007C0B39">
        <w:t>.  The headings of the paragraphs in this Consent Decree are inserted for convenience only and are not intended to affect the meaning or interpretation of this Consent Decree.</w:t>
      </w:r>
    </w:p>
    <w:p w:rsidR="00776B70" w:rsidRPr="007C0B39" w:rsidP="00776B70" w14:paraId="60803221" w14:textId="77777777">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76B70" w:rsidRPr="007C0B39" w:rsidP="00F513D6" w14:paraId="31100A6F" w14:textId="07FF0375">
      <w:pPr>
        <w:pStyle w:val="ParaNum"/>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rsidR="00776B70" w:rsidRPr="007C0B39" w:rsidP="00776B70" w14:paraId="4F6D141F" w14:textId="77777777">
      <w:pPr>
        <w:keepNext/>
        <w:keepLines/>
        <w:widowControl/>
      </w:pPr>
    </w:p>
    <w:p w:rsidR="00776B70" w:rsidRPr="007C0B39" w:rsidP="00776B70" w14:paraId="26A9D443" w14:textId="77777777">
      <w:pPr>
        <w:keepNext/>
        <w:keepLines/>
        <w:widowControl/>
      </w:pPr>
    </w:p>
    <w:p w:rsidR="00776B70" w:rsidRPr="007C0B39" w:rsidP="00776B70" w14:paraId="5C40D080" w14:textId="77777777">
      <w:pPr>
        <w:keepNext/>
        <w:keepLines/>
        <w:widowControl/>
      </w:pPr>
      <w:r w:rsidRPr="007C0B39">
        <w:t>________________________________</w:t>
      </w:r>
    </w:p>
    <w:p w:rsidR="00776B70" w:rsidP="00776B70" w14:paraId="3D8BA740" w14:textId="77777777">
      <w:pPr>
        <w:keepNext/>
        <w:keepLines/>
        <w:widowControl/>
      </w:pPr>
      <w:r w:rsidRPr="00E765F5">
        <w:t xml:space="preserve">Loyaan A. Egal </w:t>
      </w:r>
    </w:p>
    <w:p w:rsidR="00776B70" w:rsidRPr="007C0B39" w:rsidP="00776B70" w14:paraId="319C198B" w14:textId="77777777">
      <w:pPr>
        <w:keepNext/>
        <w:keepLines/>
        <w:widowControl/>
      </w:pPr>
      <w:r>
        <w:t>Acting Chief</w:t>
      </w:r>
    </w:p>
    <w:p w:rsidR="00776B70" w:rsidRPr="007C0B39" w:rsidP="00776B70" w14:paraId="4C8CB46D" w14:textId="77777777">
      <w:pPr>
        <w:keepNext/>
        <w:keepLines/>
        <w:widowControl/>
      </w:pPr>
      <w:r w:rsidRPr="007C0B39">
        <w:t>Enforcement Bureau</w:t>
      </w:r>
    </w:p>
    <w:p w:rsidR="00776B70" w:rsidRPr="007C0B39" w:rsidP="00776B70" w14:paraId="4CF285A6" w14:textId="77777777">
      <w:pPr>
        <w:keepNext/>
        <w:keepLines/>
        <w:widowControl/>
      </w:pPr>
    </w:p>
    <w:p w:rsidR="00776B70" w:rsidRPr="007C0B39" w:rsidP="00776B70" w14:paraId="0EFE1929" w14:textId="77777777">
      <w:pPr>
        <w:keepNext/>
        <w:keepLines/>
        <w:widowControl/>
      </w:pPr>
    </w:p>
    <w:p w:rsidR="00776B70" w:rsidRPr="007C0B39" w:rsidP="00776B70" w14:paraId="4517E3EE" w14:textId="77777777">
      <w:pPr>
        <w:keepNext/>
        <w:keepLines/>
        <w:widowControl/>
      </w:pPr>
      <w:r w:rsidRPr="007C0B39">
        <w:t>________________________________</w:t>
      </w:r>
    </w:p>
    <w:p w:rsidR="00776B70" w:rsidRPr="007C0B39" w:rsidP="00776B70" w14:paraId="408FF77B" w14:textId="77777777">
      <w:pPr>
        <w:keepNext/>
        <w:keepLines/>
        <w:widowControl/>
      </w:pPr>
      <w:r w:rsidRPr="007C0B39">
        <w:t>Date</w:t>
      </w:r>
    </w:p>
    <w:p w:rsidR="00776B70" w:rsidRPr="007C0B39" w:rsidP="00776B70" w14:paraId="6E15F13D" w14:textId="77777777">
      <w:pPr>
        <w:keepNext/>
        <w:keepLines/>
        <w:widowControl/>
      </w:pPr>
    </w:p>
    <w:p w:rsidR="00776B70" w:rsidRPr="007C0B39" w:rsidP="00776B70" w14:paraId="5AD49CE8" w14:textId="77777777">
      <w:pPr>
        <w:keepLines/>
        <w:widowControl/>
      </w:pPr>
    </w:p>
    <w:p w:rsidR="00776B70" w:rsidRPr="007C0B39" w:rsidP="00776B70" w14:paraId="299451EA" w14:textId="77777777">
      <w:pPr>
        <w:keepLines/>
        <w:widowControl/>
      </w:pPr>
    </w:p>
    <w:p w:rsidR="00776B70" w:rsidRPr="007C0B39" w:rsidP="00776B70" w14:paraId="3A174B7C" w14:textId="77777777">
      <w:pPr>
        <w:keepLines/>
        <w:widowControl/>
      </w:pPr>
      <w:r w:rsidRPr="007C0B39">
        <w:t>________________________________</w:t>
      </w:r>
    </w:p>
    <w:p w:rsidR="00776B70" w:rsidRPr="008C2AA6" w:rsidP="00776B70" w14:paraId="2AB7A6D8" w14:textId="77777777">
      <w:pPr>
        <w:keepLines/>
        <w:widowControl/>
      </w:pPr>
      <w:r w:rsidRPr="008C2AA6">
        <w:t xml:space="preserve">James D. Graham </w:t>
      </w:r>
    </w:p>
    <w:p w:rsidR="00776B70" w:rsidRPr="008C2AA6" w:rsidP="00776B70" w14:paraId="62887B4B" w14:textId="77777777">
      <w:pPr>
        <w:keepLines/>
        <w:widowControl/>
      </w:pPr>
      <w:r w:rsidRPr="008C2AA6">
        <w:t>Executive Vice President, Human Resources, Chief Legal and Administrative Officer &amp; Secretary Cleveland-Cliffs Inc.</w:t>
      </w:r>
    </w:p>
    <w:p w:rsidR="00776B70" w:rsidP="00776B70" w14:paraId="28EEC962" w14:textId="77777777">
      <w:pPr>
        <w:keepLines/>
        <w:widowControl/>
      </w:pPr>
    </w:p>
    <w:p w:rsidR="00776B70" w:rsidRPr="007C0B39" w:rsidP="00776B70" w14:paraId="6BB085F9" w14:textId="77777777">
      <w:pPr>
        <w:keepLines/>
        <w:widowControl/>
      </w:pPr>
    </w:p>
    <w:p w:rsidR="00776B70" w:rsidRPr="007C0B39" w:rsidP="00776B70" w14:paraId="6E108555" w14:textId="77777777">
      <w:pPr>
        <w:keepLines/>
        <w:widowControl/>
      </w:pPr>
      <w:r w:rsidRPr="007C0B39">
        <w:t>________________________________</w:t>
      </w:r>
    </w:p>
    <w:p w:rsidR="00412FC5" w:rsidRPr="008C4282" w:rsidP="00776B70" w14:paraId="486958A0" w14:textId="52256623">
      <w:pPr>
        <w:keepLines/>
        <w:widowControl/>
        <w:rPr>
          <w:szCs w:val="22"/>
        </w:rPr>
      </w:pPr>
      <w:r w:rsidRPr="007C0B39">
        <w:t>Date</w:t>
      </w:r>
    </w:p>
    <w:sectPr w:rsidSect="00A36B4A">
      <w:endnotePr>
        <w:numFmt w:val="decimal"/>
      </w:endnotePr>
      <w:pgSz w:w="12240" w:h="15840"/>
      <w:pgMar w:top="1095"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1AB" w14:paraId="3125D0F4" w14:textId="77777777">
      <w:pPr>
        <w:rPr>
          <w:noProof/>
        </w:rPr>
      </w:pPr>
      <w:r>
        <w:rPr>
          <w:noProof/>
        </w:rPr>
        <w:separator/>
      </w:r>
    </w:p>
  </w:footnote>
  <w:footnote w:type="continuationSeparator" w:id="1">
    <w:p w:rsidR="00D031AB" w14:paraId="7EAE04CA" w14:textId="77777777">
      <w:pPr>
        <w:rPr>
          <w:sz w:val="20"/>
        </w:rPr>
      </w:pPr>
      <w:r>
        <w:rPr>
          <w:sz w:val="20"/>
        </w:rPr>
        <w:t xml:space="preserve">(Continued from previous page)  </w:t>
      </w:r>
      <w:r>
        <w:rPr>
          <w:sz w:val="20"/>
        </w:rPr>
        <w:separator/>
      </w:r>
    </w:p>
  </w:footnote>
  <w:footnote w:type="continuationNotice" w:id="2">
    <w:p w:rsidR="00D031AB" w14:paraId="510208FF" w14:textId="77777777">
      <w:pPr>
        <w:rPr>
          <w:sz w:val="20"/>
        </w:rPr>
      </w:pPr>
      <w:r>
        <w:rPr>
          <w:sz w:val="20"/>
        </w:rPr>
        <w:t>(continued….)</w:t>
      </w:r>
    </w:p>
  </w:footnote>
  <w:footnote w:id="3">
    <w:p w:rsidR="009D10E8" w:rsidP="009D10E8" w14:paraId="537CE491" w14:textId="4784A011">
      <w:pPr>
        <w:pStyle w:val="FootnoteText"/>
      </w:pPr>
      <w:r>
        <w:rPr>
          <w:rStyle w:val="FootnoteReference"/>
        </w:rPr>
        <w:footnoteRef/>
      </w:r>
      <w:r>
        <w:t xml:space="preserve"> </w:t>
      </w:r>
      <w:bookmarkStart w:id="1" w:name="_Hlk534054654"/>
      <w:r w:rsidRPr="00843D0C">
        <w:t>47 U.S.C. §</w:t>
      </w:r>
      <w:r>
        <w:t xml:space="preserve"> </w:t>
      </w:r>
      <w:bookmarkEnd w:id="1"/>
      <w:r>
        <w:t>310(d).</w:t>
      </w:r>
    </w:p>
  </w:footnote>
  <w:footnote w:id="4">
    <w:p w:rsidR="009D10E8" w:rsidP="009D10E8" w14:paraId="615A3C18" w14:textId="77777777">
      <w:pPr>
        <w:pStyle w:val="FootnoteText"/>
      </w:pPr>
      <w:r>
        <w:rPr>
          <w:rStyle w:val="FootnoteReference"/>
        </w:rPr>
        <w:footnoteRef/>
      </w:r>
      <w:r>
        <w:t xml:space="preserve"> </w:t>
      </w:r>
      <w:r>
        <w:rPr>
          <w:shd w:val="clear" w:color="auto" w:fill="FFFFFF"/>
        </w:rPr>
        <w:t>47 CFR § 1.948</w:t>
      </w:r>
      <w:r w:rsidRPr="00AD3D92">
        <w:t xml:space="preserve">.  </w:t>
      </w:r>
    </w:p>
  </w:footnote>
  <w:footnote w:id="5">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14:paraId="268A1611" w14:textId="447CC180">
      <w:pPr>
        <w:pStyle w:val="FootnoteText"/>
      </w:pPr>
      <w:r w:rsidRPr="00D84548">
        <w:rPr>
          <w:rStyle w:val="FootnoteReference"/>
        </w:rPr>
        <w:footnoteRef/>
      </w:r>
      <w:r w:rsidRPr="00D84548">
        <w:t xml:space="preserve"> </w:t>
      </w:r>
      <w:r w:rsidRPr="00D84548">
        <w:rPr>
          <w:szCs w:val="22"/>
        </w:rPr>
        <w:t>47 U.S.C. §</w:t>
      </w:r>
      <w:r w:rsidR="00C176B8">
        <w:rPr>
          <w:szCs w:val="22"/>
        </w:rPr>
        <w:t xml:space="preserve"> </w:t>
      </w:r>
      <w:r w:rsidRPr="00D84548">
        <w:rPr>
          <w:szCs w:val="22"/>
        </w:rPr>
        <w:t>154(</w:t>
      </w:r>
      <w:r w:rsidRPr="00D84548">
        <w:rPr>
          <w:szCs w:val="22"/>
        </w:rPr>
        <w:t>i</w:t>
      </w:r>
      <w:r w:rsidRPr="00D84548">
        <w:rPr>
          <w:szCs w:val="22"/>
        </w:rPr>
        <w:t>).</w:t>
      </w:r>
    </w:p>
  </w:footnote>
  <w:footnote w:id="7">
    <w:p w:rsidR="009632A6" w14:paraId="1A7D599A" w14:textId="65519F00">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776B70" w:rsidRPr="00266A8E" w:rsidP="00776B70" w14:paraId="1E5EC4D8" w14:textId="77777777">
      <w:pPr>
        <w:pStyle w:val="FootnoteText"/>
      </w:pPr>
      <w:r w:rsidRPr="00266A8E">
        <w:rPr>
          <w:rStyle w:val="FootnoteReference"/>
        </w:rPr>
        <w:footnoteRef/>
      </w:r>
      <w:r w:rsidRPr="00266A8E">
        <w:t xml:space="preserve"> 47 U.S.C. § 310(d).</w:t>
      </w:r>
    </w:p>
  </w:footnote>
  <w:footnote w:id="9">
    <w:p w:rsidR="00776B70" w:rsidRPr="00266A8E" w:rsidP="00776B70" w14:paraId="34B24904" w14:textId="77777777">
      <w:pPr>
        <w:pStyle w:val="FootnoteText"/>
      </w:pPr>
      <w:r w:rsidRPr="00266A8E">
        <w:rPr>
          <w:rStyle w:val="FootnoteReference"/>
        </w:rPr>
        <w:footnoteRef/>
      </w:r>
      <w:r w:rsidRPr="00266A8E">
        <w:t xml:space="preserve"> 47 CFR § 1.948.</w:t>
      </w:r>
    </w:p>
  </w:footnote>
  <w:footnote w:id="10">
    <w:p w:rsidR="00776B70" w:rsidRPr="00266A8E" w:rsidP="00776B70" w14:paraId="36A80149" w14:textId="77777777">
      <w:pPr>
        <w:pStyle w:val="FootnoteText"/>
      </w:pPr>
      <w:r w:rsidRPr="00266A8E">
        <w:rPr>
          <w:rStyle w:val="FootnoteReference"/>
        </w:rPr>
        <w:footnoteRef/>
      </w:r>
      <w:r w:rsidRPr="00266A8E">
        <w:t xml:space="preserve"> </w:t>
      </w:r>
      <w:r w:rsidRPr="00266A8E">
        <w:rPr>
          <w:szCs w:val="22"/>
        </w:rPr>
        <w:t xml:space="preserve">47 U.S.C. § 151 </w:t>
      </w:r>
      <w:r w:rsidRPr="00266A8E">
        <w:rPr>
          <w:i/>
          <w:szCs w:val="22"/>
        </w:rPr>
        <w:t>et seq.</w:t>
      </w:r>
    </w:p>
  </w:footnote>
  <w:footnote w:id="11">
    <w:p w:rsidR="00776B70" w:rsidRPr="00266A8E" w:rsidP="00776B70" w14:paraId="66461766" w14:textId="77777777">
      <w:pPr>
        <w:pStyle w:val="FootnoteText"/>
        <w:widowControl w:val="0"/>
      </w:pPr>
      <w:r w:rsidRPr="00266A8E">
        <w:rPr>
          <w:rStyle w:val="FootnoteReference"/>
        </w:rPr>
        <w:footnoteRef/>
      </w:r>
      <w:r w:rsidRPr="00266A8E">
        <w:t xml:space="preserve"> 47 U.S.C. § 310(d).</w:t>
      </w:r>
    </w:p>
  </w:footnote>
  <w:footnote w:id="12">
    <w:p w:rsidR="00776B70" w:rsidRPr="00266A8E" w:rsidP="00776B70" w14:paraId="29FC81A4" w14:textId="77777777">
      <w:pPr>
        <w:pStyle w:val="FootnoteText"/>
        <w:widowControl w:val="0"/>
      </w:pPr>
      <w:r w:rsidRPr="00266A8E">
        <w:rPr>
          <w:rStyle w:val="FootnoteReference"/>
        </w:rPr>
        <w:footnoteRef/>
      </w:r>
      <w:r w:rsidRPr="00266A8E">
        <w:t xml:space="preserve"> 47 CFR § 1.948.</w:t>
      </w:r>
    </w:p>
  </w:footnote>
  <w:footnote w:id="13">
    <w:p w:rsidR="00776B70" w:rsidRPr="00266A8E" w:rsidP="00776B70" w14:paraId="57064565" w14:textId="77777777">
      <w:pPr>
        <w:pStyle w:val="FootnoteText"/>
      </w:pPr>
      <w:r w:rsidRPr="00266A8E">
        <w:rPr>
          <w:rStyle w:val="FootnoteReference"/>
        </w:rPr>
        <w:footnoteRef/>
      </w:r>
      <w:r w:rsidRPr="00266A8E">
        <w:t xml:space="preserve"> 47 U.S.C. § 310(d).</w:t>
      </w:r>
    </w:p>
  </w:footnote>
  <w:footnote w:id="14">
    <w:p w:rsidR="00776B70" w:rsidRPr="00266A8E" w:rsidP="00776B70" w14:paraId="26A12536" w14:textId="77777777">
      <w:pPr>
        <w:pStyle w:val="FootnoteText"/>
      </w:pPr>
      <w:r w:rsidRPr="00266A8E">
        <w:rPr>
          <w:rStyle w:val="FootnoteReference"/>
        </w:rPr>
        <w:footnoteRef/>
      </w:r>
      <w:r w:rsidRPr="00266A8E">
        <w:t xml:space="preserve"> 47 CFR § 1.948.</w:t>
      </w:r>
    </w:p>
  </w:footnote>
  <w:footnote w:id="15">
    <w:p w:rsidR="00776B70" w:rsidRPr="00266A8E" w:rsidP="00776B70" w14:paraId="0F1D4337" w14:textId="77777777">
      <w:pPr>
        <w:pStyle w:val="FootnoteText"/>
      </w:pPr>
      <w:r w:rsidRPr="00266A8E">
        <w:rPr>
          <w:rStyle w:val="FootnoteReference"/>
        </w:rPr>
        <w:footnoteRef/>
      </w:r>
      <w:r w:rsidRPr="00266A8E">
        <w:t xml:space="preserve"> </w:t>
      </w:r>
      <w:r w:rsidRPr="00266A8E">
        <w:rPr>
          <w:i/>
          <w:iCs/>
        </w:rPr>
        <w:t>FCC Application for Assignments of Authorization or Transfers of Control: Wireless Telecommunications Bureau and Public Safety Homeland Security Bureau</w:t>
      </w:r>
      <w:r w:rsidRPr="00266A8E">
        <w:t>, FCC Form 603 (2022).</w:t>
      </w:r>
    </w:p>
  </w:footnote>
  <w:footnote w:id="16">
    <w:p w:rsidR="00776B70" w:rsidRPr="00266A8E" w:rsidP="00776B70" w14:paraId="70A84A1A" w14:textId="77777777">
      <w:pPr>
        <w:pStyle w:val="FootnoteText"/>
      </w:pPr>
      <w:r w:rsidRPr="00266A8E">
        <w:rPr>
          <w:rStyle w:val="FootnoteReference"/>
        </w:rPr>
        <w:footnoteRef/>
      </w:r>
      <w:r w:rsidRPr="00266A8E">
        <w:t xml:space="preserve"> </w:t>
      </w:r>
      <w:r w:rsidRPr="00266A8E">
        <w:rPr>
          <w:i/>
          <w:iCs/>
        </w:rPr>
        <w:t>See</w:t>
      </w:r>
      <w:r w:rsidRPr="00266A8E">
        <w:t xml:space="preserve"> Response to Letter of Inquiry, from Bruce A. Olcott, Jones Day, Counsel for Cleveland-Cliffs Inc., to Christopher J. Sova, Deputy Chief, Investigations and Hearings Division, FCC Enforcement Bureau, at 1, Response to Question 1 (Oct. 22, 2021) (on file in EB-IHD-21-00032275) (LOI Response).</w:t>
      </w:r>
    </w:p>
  </w:footnote>
  <w:footnote w:id="17">
    <w:p w:rsidR="00776B70" w:rsidRPr="00266A8E" w:rsidP="00776B70" w14:paraId="032FBF56" w14:textId="5FA1472F">
      <w:pPr>
        <w:pStyle w:val="FootnoteText"/>
      </w:pPr>
      <w:r w:rsidRPr="00266A8E">
        <w:rPr>
          <w:rStyle w:val="FootnoteReference"/>
        </w:rPr>
        <w:footnoteRef/>
      </w:r>
      <w:r w:rsidRPr="00266A8E">
        <w:t xml:space="preserve"> </w:t>
      </w:r>
      <w:r w:rsidRPr="00266A8E">
        <w:rPr>
          <w:i/>
          <w:iCs/>
        </w:rPr>
        <w:t>See</w:t>
      </w:r>
      <w:r w:rsidRPr="00266A8E">
        <w:t xml:space="preserve"> Cleveland-Cliffs Inc., </w:t>
      </w:r>
      <w:r w:rsidRPr="00266A8E">
        <w:rPr>
          <w:i/>
          <w:iCs/>
        </w:rPr>
        <w:t>About</w:t>
      </w:r>
      <w:r w:rsidRPr="00266A8E">
        <w:t xml:space="preserve">, </w:t>
      </w:r>
      <w:hyperlink r:id="rId1" w:history="1">
        <w:r w:rsidRPr="00266A8E">
          <w:rPr>
            <w:rStyle w:val="Hyperlink"/>
          </w:rPr>
          <w:t>https://www.clevelandcliffs.com/about</w:t>
        </w:r>
      </w:hyperlink>
      <w:r w:rsidRPr="00266A8E">
        <w:t xml:space="preserve"> (last visited May 17, 2022)</w:t>
      </w:r>
      <w:r w:rsidRPr="00266A8E">
        <w:rPr>
          <w:color w:val="0070C0"/>
        </w:rPr>
        <w:t>.</w:t>
      </w:r>
      <w:r w:rsidRPr="00266A8E">
        <w:t xml:space="preserve">  </w:t>
      </w:r>
    </w:p>
  </w:footnote>
  <w:footnote w:id="18">
    <w:p w:rsidR="00776B70" w:rsidRPr="00266A8E" w:rsidP="00776B70" w14:paraId="59CBEB55" w14:textId="77777777">
      <w:pPr>
        <w:pStyle w:val="FootnoteText"/>
      </w:pPr>
      <w:r w:rsidRPr="00266A8E">
        <w:rPr>
          <w:rStyle w:val="FootnoteReference"/>
        </w:rPr>
        <w:footnoteRef/>
      </w:r>
      <w:r w:rsidRPr="00266A8E">
        <w:t xml:space="preserve"> </w:t>
      </w:r>
      <w:r w:rsidRPr="00266A8E">
        <w:rPr>
          <w:i/>
          <w:iCs/>
        </w:rPr>
        <w:t>Id</w:t>
      </w:r>
      <w:r w:rsidRPr="00266A8E">
        <w:t>.</w:t>
      </w:r>
    </w:p>
  </w:footnote>
  <w:footnote w:id="19">
    <w:p w:rsidR="00776B70" w:rsidRPr="00266A8E" w:rsidP="00776B70" w14:paraId="7F0FF258" w14:textId="77777777">
      <w:pPr>
        <w:pStyle w:val="FootnoteText"/>
      </w:pPr>
      <w:r w:rsidRPr="00266A8E">
        <w:rPr>
          <w:rStyle w:val="FootnoteReference"/>
        </w:rPr>
        <w:footnoteRef/>
      </w:r>
      <w:r w:rsidRPr="00266A8E">
        <w:t xml:space="preserve"> </w:t>
      </w:r>
      <w:bookmarkStart w:id="4" w:name="_Hlk103603463"/>
      <w:r w:rsidRPr="00266A8E">
        <w:rPr>
          <w:i/>
          <w:iCs/>
        </w:rPr>
        <w:t xml:space="preserve">See </w:t>
      </w:r>
      <w:r w:rsidRPr="00266A8E">
        <w:rPr>
          <w:szCs w:val="22"/>
        </w:rPr>
        <w:t xml:space="preserve">AK Steel Remedial Applications and Waiver Requests at </w:t>
      </w:r>
      <w:r w:rsidRPr="00266A8E">
        <w:rPr>
          <w:szCs w:val="22"/>
        </w:rPr>
        <w:t>Exh</w:t>
      </w:r>
      <w:r w:rsidRPr="00266A8E">
        <w:rPr>
          <w:szCs w:val="22"/>
        </w:rPr>
        <w:t xml:space="preserve">. 1, LOI Response at 2, Response to Question 1. </w:t>
      </w:r>
      <w:bookmarkEnd w:id="4"/>
    </w:p>
  </w:footnote>
  <w:footnote w:id="20">
    <w:p w:rsidR="00776B70" w:rsidRPr="00266A8E" w:rsidP="00776B70" w14:paraId="21D12257" w14:textId="77777777">
      <w:pPr>
        <w:pStyle w:val="FootnoteText"/>
      </w:pPr>
      <w:r w:rsidRPr="00266A8E">
        <w:rPr>
          <w:rStyle w:val="FootnoteReference"/>
        </w:rPr>
        <w:footnoteRef/>
      </w:r>
      <w:r w:rsidRPr="00266A8E">
        <w:t xml:space="preserve"> </w:t>
      </w:r>
      <w:r w:rsidRPr="00266A8E">
        <w:rPr>
          <w:i/>
          <w:iCs/>
        </w:rPr>
        <w:t xml:space="preserve">See </w:t>
      </w:r>
      <w:r w:rsidRPr="00266A8E">
        <w:rPr>
          <w:szCs w:val="22"/>
        </w:rPr>
        <w:t xml:space="preserve">AK Steel Remedial Applications and Waiver Requests at </w:t>
      </w:r>
      <w:r w:rsidRPr="00266A8E">
        <w:rPr>
          <w:szCs w:val="22"/>
        </w:rPr>
        <w:t>Exh</w:t>
      </w:r>
      <w:r w:rsidRPr="00266A8E">
        <w:rPr>
          <w:szCs w:val="22"/>
        </w:rPr>
        <w:t>. 1, LOI Response at 5, Response to Question 7 (failure to obtain Commission consent prior to the transfer of control of AK Steel to Cleveland-Cliffs resulted from the fact that, during the due diligence process for the transaction, the seller did not disclose that it held radio licenses that required the FCC’s prior approval to transfer).</w:t>
      </w:r>
    </w:p>
  </w:footnote>
  <w:footnote w:id="21">
    <w:p w:rsidR="00776B70" w:rsidRPr="00266A8E" w:rsidP="00776B70" w14:paraId="6F1F2D8F" w14:textId="77777777">
      <w:pPr>
        <w:pStyle w:val="FootnoteText"/>
      </w:pPr>
      <w:r w:rsidRPr="00266A8E">
        <w:rPr>
          <w:rStyle w:val="FootnoteReference"/>
        </w:rPr>
        <w:footnoteRef/>
      </w:r>
      <w:r w:rsidRPr="00266A8E">
        <w:t xml:space="preserve"> </w:t>
      </w:r>
      <w:r w:rsidRPr="00266A8E">
        <w:rPr>
          <w:i/>
          <w:iCs/>
        </w:rPr>
        <w:t xml:space="preserve">See </w:t>
      </w:r>
      <w:r w:rsidRPr="00266A8E">
        <w:rPr>
          <w:szCs w:val="22"/>
        </w:rPr>
        <w:t xml:space="preserve">AK Steel Remedial Applications and Waiver Requests at </w:t>
      </w:r>
      <w:r w:rsidRPr="00266A8E">
        <w:rPr>
          <w:szCs w:val="22"/>
        </w:rPr>
        <w:t>Exh</w:t>
      </w:r>
      <w:r w:rsidRPr="00266A8E">
        <w:rPr>
          <w:szCs w:val="22"/>
        </w:rPr>
        <w:t>. 1, LOI Response at 5, Response to Question 7.</w:t>
      </w:r>
    </w:p>
  </w:footnote>
  <w:footnote w:id="22">
    <w:p w:rsidR="00776B70" w:rsidRPr="00266A8E" w:rsidP="00776B70" w14:paraId="1A23AB81" w14:textId="77777777">
      <w:pPr>
        <w:pStyle w:val="FootnoteText"/>
        <w:rPr>
          <w:szCs w:val="22"/>
        </w:rPr>
      </w:pPr>
      <w:r w:rsidRPr="00266A8E">
        <w:rPr>
          <w:rStyle w:val="FootnoteReference"/>
        </w:rPr>
        <w:footnoteRef/>
      </w:r>
      <w:r w:rsidRPr="00266A8E">
        <w:t xml:space="preserve"> </w:t>
      </w:r>
      <w:r w:rsidRPr="00266A8E">
        <w:rPr>
          <w:i/>
          <w:iCs/>
        </w:rPr>
        <w:t xml:space="preserve">See </w:t>
      </w:r>
      <w:r w:rsidRPr="00266A8E">
        <w:rPr>
          <w:szCs w:val="22"/>
        </w:rPr>
        <w:t xml:space="preserve">AK Steel Remedial Applications and Waiver Requests.  On December 7, 2020, the parties submitted seven transfer of control applications along with requests for waiver of section 1.948 of the Rules.  </w:t>
      </w:r>
      <w:r w:rsidRPr="00266A8E">
        <w:rPr>
          <w:i/>
          <w:iCs/>
          <w:szCs w:val="22"/>
        </w:rPr>
        <w:t xml:space="preserve">See </w:t>
      </w:r>
      <w:r w:rsidRPr="00266A8E">
        <w:rPr>
          <w:szCs w:val="22"/>
        </w:rPr>
        <w:t xml:space="preserve">AK Steel Remedial Applications and Waiver Requests, ULS File Nos. 0009320353, 0009320414, 0009320470, 0009320549, 0009320379, 0009320393, 0009320582.  Since then, however, AK Steel officials identified an additional FCC call sign held by the company that was secured using a different federal registration number (FRN) and an incorrect variation of the company’s business name.  Thus, on April 27, 2022, the parties filed an application and waiver request to seek belated approval for the transfer of control of this additional call sign.  </w:t>
      </w:r>
      <w:r w:rsidRPr="00266A8E">
        <w:rPr>
          <w:i/>
          <w:iCs/>
          <w:szCs w:val="22"/>
        </w:rPr>
        <w:t>See</w:t>
      </w:r>
      <w:r w:rsidRPr="00266A8E">
        <w:rPr>
          <w:szCs w:val="22"/>
        </w:rPr>
        <w:t xml:space="preserve"> AK Steel Remedial Application and Waiver Request, ULS File No. 0010024403. </w:t>
      </w:r>
    </w:p>
  </w:footnote>
  <w:footnote w:id="23">
    <w:p w:rsidR="00776B70" w:rsidRPr="00266A8E" w:rsidP="00776B70" w14:paraId="657744B5" w14:textId="77777777">
      <w:pPr>
        <w:pStyle w:val="FootnoteText"/>
        <w:rPr>
          <w:color w:val="0000FF"/>
          <w:u w:val="single"/>
        </w:rPr>
      </w:pPr>
      <w:r w:rsidRPr="00266A8E">
        <w:rPr>
          <w:rStyle w:val="FootnoteReference"/>
        </w:rPr>
        <w:footnoteRef/>
      </w:r>
      <w:r w:rsidRPr="00266A8E">
        <w:t xml:space="preserve"> </w:t>
      </w:r>
      <w:r w:rsidRPr="00266A8E">
        <w:rPr>
          <w:i/>
          <w:iCs/>
        </w:rPr>
        <w:t>See</w:t>
      </w:r>
      <w:r w:rsidRPr="00266A8E">
        <w:t xml:space="preserve"> AK Steel Remedial Applications and Waiver Requests at </w:t>
      </w:r>
      <w:r w:rsidRPr="00266A8E">
        <w:t>Exh</w:t>
      </w:r>
      <w:r w:rsidRPr="00266A8E">
        <w:t xml:space="preserve">. 1.  </w:t>
      </w:r>
    </w:p>
  </w:footnote>
  <w:footnote w:id="24">
    <w:p w:rsidR="00776B70" w:rsidRPr="00266A8E" w:rsidP="00776B70" w14:paraId="2B93D395" w14:textId="77777777">
      <w:pPr>
        <w:pStyle w:val="FootnoteText"/>
      </w:pPr>
      <w:r w:rsidRPr="00266A8E">
        <w:rPr>
          <w:rStyle w:val="FootnoteReference"/>
        </w:rPr>
        <w:footnoteRef/>
      </w:r>
      <w:r w:rsidRPr="00266A8E">
        <w:t xml:space="preserve"> </w:t>
      </w:r>
      <w:r w:rsidRPr="00266A8E">
        <w:rPr>
          <w:i/>
          <w:iCs/>
        </w:rPr>
        <w:t>See</w:t>
      </w:r>
      <w:r w:rsidRPr="00266A8E">
        <w:t xml:space="preserve"> </w:t>
      </w:r>
      <w:r w:rsidRPr="00266A8E">
        <w:rPr>
          <w:szCs w:val="22"/>
        </w:rPr>
        <w:t xml:space="preserve">ArcelorMittal </w:t>
      </w:r>
      <w:r>
        <w:rPr>
          <w:szCs w:val="22"/>
        </w:rPr>
        <w:t xml:space="preserve">USA </w:t>
      </w:r>
      <w:r w:rsidRPr="00266A8E">
        <w:rPr>
          <w:szCs w:val="22"/>
        </w:rPr>
        <w:t xml:space="preserve">Remedial Applications and Waiver Requests at Request for Waiver, LOI Response at 2, Response to Question 1, </w:t>
      </w:r>
      <w:r>
        <w:rPr>
          <w:szCs w:val="22"/>
        </w:rPr>
        <w:t xml:space="preserve">and LOI Response at </w:t>
      </w:r>
      <w:r w:rsidRPr="00266A8E">
        <w:rPr>
          <w:szCs w:val="22"/>
        </w:rPr>
        <w:t>5, Response to Question 7</w:t>
      </w:r>
      <w:r>
        <w:rPr>
          <w:szCs w:val="22"/>
        </w:rPr>
        <w:t>.</w:t>
      </w:r>
    </w:p>
  </w:footnote>
  <w:footnote w:id="25">
    <w:p w:rsidR="00776B70" w:rsidRPr="00266A8E" w:rsidP="00776B70" w14:paraId="6128D052" w14:textId="77777777">
      <w:pPr>
        <w:pStyle w:val="FootnoteText"/>
      </w:pPr>
      <w:r w:rsidRPr="00266A8E">
        <w:rPr>
          <w:rStyle w:val="FootnoteReference"/>
        </w:rPr>
        <w:footnoteRef/>
      </w:r>
      <w:r w:rsidRPr="00266A8E">
        <w:t xml:space="preserve"> </w:t>
      </w:r>
      <w:r w:rsidRPr="00266A8E">
        <w:rPr>
          <w:i/>
          <w:iCs/>
        </w:rPr>
        <w:t>See</w:t>
      </w:r>
      <w:r w:rsidRPr="00266A8E">
        <w:t xml:space="preserve"> </w:t>
      </w:r>
      <w:r w:rsidRPr="00266A8E">
        <w:rPr>
          <w:szCs w:val="22"/>
        </w:rPr>
        <w:t xml:space="preserve">ArcelorMittal </w:t>
      </w:r>
      <w:r>
        <w:rPr>
          <w:szCs w:val="22"/>
        </w:rPr>
        <w:t xml:space="preserve">USA </w:t>
      </w:r>
      <w:r w:rsidRPr="00266A8E">
        <w:rPr>
          <w:szCs w:val="22"/>
        </w:rPr>
        <w:t>Remedial Applications and Waiver Requests at Request for Waiver, LOI Response at 6, Response to Question 7.</w:t>
      </w:r>
    </w:p>
  </w:footnote>
  <w:footnote w:id="26">
    <w:p w:rsidR="00776B70" w:rsidRPr="00266A8E" w:rsidP="00776B70" w14:paraId="75CCC7C8" w14:textId="77777777">
      <w:pPr>
        <w:pStyle w:val="FootnoteText"/>
      </w:pPr>
      <w:r w:rsidRPr="00266A8E">
        <w:rPr>
          <w:rStyle w:val="FootnoteReference"/>
        </w:rPr>
        <w:footnoteRef/>
      </w:r>
      <w:r w:rsidRPr="00266A8E">
        <w:t xml:space="preserve"> </w:t>
      </w:r>
      <w:r w:rsidRPr="00266A8E">
        <w:rPr>
          <w:i/>
          <w:iCs/>
        </w:rPr>
        <w:t>See</w:t>
      </w:r>
      <w:r w:rsidRPr="00266A8E">
        <w:t xml:space="preserve"> </w:t>
      </w:r>
      <w:r w:rsidRPr="00266A8E">
        <w:rPr>
          <w:szCs w:val="22"/>
        </w:rPr>
        <w:t xml:space="preserve">ArcelorMittal </w:t>
      </w:r>
      <w:r>
        <w:rPr>
          <w:szCs w:val="22"/>
        </w:rPr>
        <w:t xml:space="preserve">USA </w:t>
      </w:r>
      <w:r w:rsidRPr="00266A8E">
        <w:rPr>
          <w:szCs w:val="22"/>
        </w:rPr>
        <w:t>Remedial Applications and Waiver Requests at Request for Waiver, LOI Response at 6, Response to Question 7 (WQHT671 had been secured in 2007 through a third</w:t>
      </w:r>
      <w:r>
        <w:rPr>
          <w:szCs w:val="22"/>
        </w:rPr>
        <w:t>-</w:t>
      </w:r>
      <w:r w:rsidRPr="00266A8E">
        <w:rPr>
          <w:szCs w:val="22"/>
        </w:rPr>
        <w:t>party radio installation company using a separate federal registration number (FRN) covering the operation of a single overhead crane in a steel manufacturing plant in New Carlisle, Indiana; WPQJ408 was secured by a third</w:t>
      </w:r>
      <w:r>
        <w:rPr>
          <w:szCs w:val="22"/>
        </w:rPr>
        <w:t>-</w:t>
      </w:r>
      <w:r w:rsidRPr="00266A8E">
        <w:rPr>
          <w:szCs w:val="22"/>
        </w:rPr>
        <w:t>party radio installation company on behalf of another ArcelorMittal</w:t>
      </w:r>
      <w:r>
        <w:rPr>
          <w:szCs w:val="22"/>
        </w:rPr>
        <w:t xml:space="preserve"> USA</w:t>
      </w:r>
      <w:r w:rsidRPr="00266A8E">
        <w:rPr>
          <w:szCs w:val="22"/>
        </w:rPr>
        <w:t xml:space="preserve"> subsidiary and authorized the use of radios at a manufacturing plant in Columbus, Ohio, that was not in use at the time of the transaction).</w:t>
      </w:r>
    </w:p>
  </w:footnote>
  <w:footnote w:id="27">
    <w:p w:rsidR="00776B70" w:rsidRPr="00266A8E" w:rsidP="00776B70" w14:paraId="4C19365F" w14:textId="77777777">
      <w:pPr>
        <w:pStyle w:val="FootnoteText"/>
      </w:pPr>
      <w:r w:rsidRPr="00266A8E">
        <w:rPr>
          <w:rStyle w:val="FootnoteReference"/>
        </w:rPr>
        <w:footnoteRef/>
      </w:r>
      <w:r w:rsidRPr="00266A8E">
        <w:t xml:space="preserve"> </w:t>
      </w:r>
      <w:r w:rsidRPr="00266A8E">
        <w:rPr>
          <w:i/>
          <w:iCs/>
        </w:rPr>
        <w:t>See id</w:t>
      </w:r>
      <w:r w:rsidRPr="00266A8E">
        <w:t>.</w:t>
      </w:r>
    </w:p>
  </w:footnote>
  <w:footnote w:id="28">
    <w:p w:rsidR="00776B70" w:rsidRPr="00266A8E" w:rsidP="00776B70" w14:paraId="7E47B7F2" w14:textId="77777777">
      <w:pPr>
        <w:pStyle w:val="FootnoteText"/>
        <w:rPr>
          <w:i/>
          <w:iCs/>
        </w:rPr>
      </w:pPr>
      <w:r w:rsidRPr="00266A8E">
        <w:rPr>
          <w:rStyle w:val="FootnoteReference"/>
        </w:rPr>
        <w:footnoteRef/>
      </w:r>
      <w:r w:rsidRPr="00266A8E">
        <w:t xml:space="preserve"> </w:t>
      </w:r>
      <w:r w:rsidRPr="00266A8E">
        <w:rPr>
          <w:i/>
          <w:iCs/>
        </w:rPr>
        <w:t>See</w:t>
      </w:r>
      <w:r w:rsidRPr="00266A8E">
        <w:t xml:space="preserve"> </w:t>
      </w:r>
      <w:r w:rsidRPr="00266A8E">
        <w:rPr>
          <w:szCs w:val="22"/>
        </w:rPr>
        <w:t xml:space="preserve">ArcelorMittal </w:t>
      </w:r>
      <w:r>
        <w:rPr>
          <w:szCs w:val="22"/>
        </w:rPr>
        <w:t xml:space="preserve">USA </w:t>
      </w:r>
      <w:r w:rsidRPr="00266A8E">
        <w:rPr>
          <w:szCs w:val="22"/>
        </w:rPr>
        <w:t>Remedial Applications and Waiver Requests.</w:t>
      </w:r>
    </w:p>
  </w:footnote>
  <w:footnote w:id="29">
    <w:p w:rsidR="00776B70" w:rsidRPr="00266A8E" w:rsidP="00776B70" w14:paraId="2068AC29" w14:textId="77777777">
      <w:pPr>
        <w:pStyle w:val="FootnoteText"/>
      </w:pPr>
      <w:r w:rsidRPr="00266A8E">
        <w:rPr>
          <w:rStyle w:val="FootnoteReference"/>
        </w:rPr>
        <w:footnoteRef/>
      </w:r>
      <w:r w:rsidRPr="00266A8E">
        <w:t xml:space="preserve"> </w:t>
      </w:r>
      <w:r w:rsidRPr="00266A8E">
        <w:rPr>
          <w:i/>
          <w:iCs/>
        </w:rPr>
        <w:t>Id</w:t>
      </w:r>
      <w:r w:rsidRPr="00266A8E">
        <w:t>. at Request for Waiver.</w:t>
      </w:r>
    </w:p>
  </w:footnote>
  <w:footnote w:id="30">
    <w:p w:rsidR="00776B70" w:rsidRPr="00266A8E" w:rsidP="00776B70" w14:paraId="6AA17470" w14:textId="77777777">
      <w:pPr>
        <w:pStyle w:val="FootnoteText"/>
      </w:pPr>
      <w:r w:rsidRPr="00266A8E">
        <w:rPr>
          <w:rStyle w:val="FootnoteReference"/>
        </w:rPr>
        <w:footnoteRef/>
      </w:r>
      <w:r w:rsidRPr="00266A8E">
        <w:t xml:space="preserve"> </w:t>
      </w:r>
      <w:r w:rsidRPr="00173587">
        <w:t>A substantial assignment or transfer of control is “</w:t>
      </w:r>
      <w:r>
        <w:t xml:space="preserve">(1) a transaction involving the assignment of an FCC license to an entity that is not controlled by the same parties as the assignor or a change in controlling ownership interest of the licensee-entity (known as ‘de jure’ assignment or transfer of control), or (2) a change in actual operating control of the licensee (known as a ‘de facto’ transfer of control).”  </w:t>
      </w:r>
      <w:r w:rsidRPr="00266A8E">
        <w:rPr>
          <w:i/>
        </w:rPr>
        <w:t xml:space="preserve">See Questions and Answers Regarding Private Wireless Licensees’ Obligations Under Section 310(d) of the Communications Act of 1934, </w:t>
      </w:r>
      <w:r w:rsidRPr="00266A8E">
        <w:t xml:space="preserve">Fact Sheet, 2000 WL 1340584, at *2 (EB-IHD WTB-PS &amp; </w:t>
      </w:r>
      <w:r w:rsidRPr="00266A8E">
        <w:t>Priv.W</w:t>
      </w:r>
      <w:r w:rsidRPr="00266A8E">
        <w:t xml:space="preserve"> Sept. 19, 2000).  By contrast, a </w:t>
      </w:r>
      <w:r w:rsidRPr="00266A8E">
        <w:rPr>
          <w:bCs/>
          <w:i/>
        </w:rPr>
        <w:t>pro</w:t>
      </w:r>
      <w:r w:rsidRPr="00266A8E">
        <w:rPr>
          <w:i/>
        </w:rPr>
        <w:t xml:space="preserve"> </w:t>
      </w:r>
      <w:r w:rsidRPr="00266A8E">
        <w:rPr>
          <w:bCs/>
          <w:i/>
        </w:rPr>
        <w:t>forma</w:t>
      </w:r>
      <w:r w:rsidRPr="00266A8E">
        <w:rPr>
          <w:bCs/>
          <w:iCs/>
        </w:rPr>
        <w:t xml:space="preserve"> </w:t>
      </w:r>
      <w:r w:rsidRPr="00266A8E">
        <w:t xml:space="preserve">transaction involves a non-substantial change in ownership of the license or the licensee entity where the controlling interest is not acquired or lost.  </w:t>
      </w:r>
      <w:r w:rsidRPr="00266A8E">
        <w:rPr>
          <w:i/>
        </w:rPr>
        <w:t>See</w:t>
      </w:r>
      <w:r w:rsidRPr="00266A8E">
        <w:t xml:space="preserve"> </w:t>
      </w:r>
      <w:r w:rsidRPr="00266A8E">
        <w:rPr>
          <w:i/>
        </w:rPr>
        <w:t>id.</w:t>
      </w:r>
      <w:r w:rsidRPr="00266A8E">
        <w:t xml:space="preserve"> at *3.</w:t>
      </w:r>
    </w:p>
  </w:footnote>
  <w:footnote w:id="31">
    <w:p w:rsidR="00776B70" w:rsidRPr="00266A8E" w:rsidP="00776B70" w14:paraId="4EFCDAD5" w14:textId="77777777">
      <w:pPr>
        <w:pStyle w:val="FootnoteText"/>
      </w:pPr>
      <w:r w:rsidRPr="00266A8E">
        <w:rPr>
          <w:rStyle w:val="FootnoteReference"/>
        </w:rPr>
        <w:footnoteRef/>
      </w:r>
      <w:r w:rsidRPr="00266A8E">
        <w:t xml:space="preserve"> </w:t>
      </w:r>
      <w:r w:rsidRPr="00266A8E">
        <w:rPr>
          <w:i/>
        </w:rPr>
        <w:t>See</w:t>
      </w:r>
      <w:r w:rsidRPr="00266A8E">
        <w:t xml:space="preserve"> 47 CFR </w:t>
      </w:r>
      <w:r w:rsidRPr="00266A8E">
        <w:rPr>
          <w:szCs w:val="22"/>
        </w:rPr>
        <w:t xml:space="preserve">§ </w:t>
      </w:r>
      <w:r w:rsidRPr="00266A8E">
        <w:t>1.93(b).</w:t>
      </w:r>
    </w:p>
  </w:footnote>
  <w:footnote w:id="32">
    <w:p w:rsidR="00776B70" w:rsidRPr="00266A8E" w:rsidP="00776B70" w14:paraId="5563F7AB" w14:textId="77777777">
      <w:pPr>
        <w:pStyle w:val="FootnoteText"/>
      </w:pPr>
      <w:r w:rsidRPr="00266A8E">
        <w:rPr>
          <w:rStyle w:val="FootnoteReference"/>
        </w:rPr>
        <w:footnoteRef/>
      </w:r>
      <w:r w:rsidRPr="00266A8E">
        <w:t xml:space="preserve"> 47 CFR § 1.16.</w:t>
      </w:r>
    </w:p>
  </w:footnote>
  <w:footnote w:id="33">
    <w:p w:rsidR="00776B70" w:rsidRPr="00266A8E" w:rsidP="00776B70" w14:paraId="7721303D" w14:textId="77777777">
      <w:pPr>
        <w:pStyle w:val="FootnoteText"/>
      </w:pPr>
      <w:r w:rsidRPr="00266A8E">
        <w:rPr>
          <w:rStyle w:val="FootnoteReference"/>
        </w:rPr>
        <w:footnoteRef/>
      </w:r>
      <w:r w:rsidRPr="00266A8E">
        <w:t xml:space="preserve"> Debt Collection Improvement Act of 1996, Pub. L. No. 104-134, 110 Stat. 1321, 1358 (Apr. 26, 1996).</w:t>
      </w:r>
    </w:p>
  </w:footnote>
  <w:footnote w:id="34">
    <w:p w:rsidR="00776B70" w:rsidRPr="00266A8E" w:rsidP="00776B70" w14:paraId="4F447B30" w14:textId="77777777">
      <w:pPr>
        <w:pStyle w:val="FootnoteText"/>
      </w:pPr>
      <w:r w:rsidRPr="00266A8E">
        <w:rPr>
          <w:rStyle w:val="FootnoteReference"/>
        </w:rPr>
        <w:footnoteRef/>
      </w:r>
      <w:r w:rsidRPr="00266A8E">
        <w:t xml:space="preserve"> For questions regarding payment procedures, please contact the Financial Operations Group Help Desk by phone at 1-877-480-3201 (option #</w:t>
      </w:r>
      <w:r>
        <w:t>1)</w:t>
      </w:r>
      <w:r w:rsidRPr="00266A8E">
        <w:t>.</w:t>
      </w:r>
    </w:p>
  </w:footnote>
  <w:footnote w:id="35">
    <w:p w:rsidR="00776B70" w:rsidRPr="003433FA" w:rsidP="00776B70" w14:paraId="1136B0FD" w14:textId="678560C2">
      <w:pPr>
        <w:pStyle w:val="FootnoteText"/>
      </w:pPr>
      <w:r w:rsidRPr="003433FA">
        <w:rPr>
          <w:rStyle w:val="FootnoteReference"/>
        </w:rPr>
        <w:footnoteRef/>
      </w:r>
      <w:r w:rsidRPr="003433FA">
        <w:t xml:space="preserve"> FCC Form 159 is accessible at </w:t>
      </w:r>
      <w:hyperlink r:id="rId2" w:history="1">
        <w:r w:rsidRPr="003433FA">
          <w:rPr>
            <w:rStyle w:val="Hyperlink"/>
          </w:rPr>
          <w:t>https://www.fcc.gov/licensing-databases/fees/fcc-remittance-advice-form-159</w:t>
        </w:r>
      </w:hyperlink>
      <w:r w:rsidRPr="003433FA">
        <w:rPr>
          <w:rStyle w:val="Hyperlink"/>
        </w:rPr>
        <w:t>.</w:t>
      </w:r>
    </w:p>
  </w:footnote>
  <w:footnote w:id="36">
    <w:p w:rsidR="00776B70" w:rsidRPr="009716F7" w:rsidP="00776B70" w14:paraId="7A30977F" w14:textId="6E7BF907">
      <w:pPr>
        <w:pStyle w:val="FootnoteText"/>
      </w:pPr>
      <w:r w:rsidRPr="009716F7">
        <w:rPr>
          <w:rStyle w:val="FootnoteReference"/>
        </w:rPr>
        <w:footnoteRef/>
      </w:r>
      <w:r w:rsidRPr="009716F7">
        <w:t xml:space="preserve"> </w:t>
      </w:r>
      <w:r>
        <w:t>Information completed</w:t>
      </w:r>
      <w:r w:rsidRPr="009716F7">
        <w:t xml:space="preserve"> using </w:t>
      </w:r>
      <w:r>
        <w:t>t</w:t>
      </w:r>
      <w:r w:rsidRPr="009716F7">
        <w:t xml:space="preserve">he Commission’s </w:t>
      </w:r>
      <w:r w:rsidRPr="004B6755">
        <w:t>Registration System (CORES)</w:t>
      </w:r>
      <w:r w:rsidRPr="009716F7">
        <w:t xml:space="preserve"> do</w:t>
      </w:r>
      <w:r>
        <w:t>es</w:t>
      </w:r>
      <w:r w:rsidRPr="009716F7">
        <w:t xml:space="preserve"> not require the submission of an FCC Form 159.</w:t>
      </w:r>
      <w:r>
        <w:t xml:space="preserve">  </w:t>
      </w:r>
      <w:r w:rsidRPr="009716F7">
        <w:t xml:space="preserve">CORES </w:t>
      </w:r>
      <w:r>
        <w:t>is accessible</w:t>
      </w:r>
      <w:r w:rsidRPr="004B6755">
        <w:t xml:space="preserve"> at </w:t>
      </w:r>
      <w:hyperlink r:id="rId3" w:history="1">
        <w:r w:rsidRPr="00D76723">
          <w:rPr>
            <w:rStyle w:val="Hyperlink"/>
          </w:rPr>
          <w:t>h</w:t>
        </w:r>
        <w:r w:rsidRPr="00DF5B5C">
          <w:rPr>
            <w:rStyle w:val="Hyperlink"/>
          </w:rPr>
          <w:t>ttps://apps.fcc.gov/cores/userLogin.do</w:t>
        </w:r>
      </w:hyperlink>
      <w:r w:rsidRPr="004B6755">
        <w:t>.</w:t>
      </w:r>
    </w:p>
  </w:footnote>
  <w:footnote w:id="37">
    <w:p w:rsidR="00776B70" w:rsidP="00776B70" w14:paraId="3530EF2E" w14:textId="20A63899">
      <w:pPr>
        <w:pStyle w:val="FootnoteText"/>
      </w:pPr>
      <w:r w:rsidRPr="009716F7">
        <w:rPr>
          <w:rStyle w:val="FootnoteReference"/>
        </w:rPr>
        <w:footnoteRef/>
      </w:r>
      <w:r w:rsidRPr="009716F7">
        <w:t xml:space="preserve"> Instructions for completing the form may be obtained at </w:t>
      </w:r>
      <w:hyperlink r:id="rId4" w:history="1">
        <w:r w:rsidRPr="009716F7">
          <w:rPr>
            <w:rStyle w:val="Hyperlink"/>
          </w:rPr>
          <w:t>http://www.fcc.gov/Forms/Form159/159.pdf</w:t>
        </w:r>
      </w:hyperlink>
      <w:r w:rsidRPr="009716F7">
        <w:t xml:space="preserve">. </w:t>
      </w:r>
    </w:p>
  </w:footnote>
  <w:footnote w:id="38">
    <w:p w:rsidR="00776B70" w:rsidP="00776B70" w14:paraId="31547DEC" w14:textId="77777777">
      <w:pPr>
        <w:pStyle w:val="FootnoteText"/>
      </w:pPr>
      <w:r w:rsidRPr="00266A8E">
        <w:rPr>
          <w:rStyle w:val="FootnoteReference"/>
        </w:rPr>
        <w:footnoteRef/>
      </w:r>
      <w:r w:rsidRPr="00266A8E">
        <w:t xml:space="preserve"> </w:t>
      </w:r>
      <w:r w:rsidRPr="00266A8E">
        <w:rPr>
          <w:i/>
        </w:rPr>
        <w:t xml:space="preserve">See </w:t>
      </w:r>
      <w:r w:rsidRPr="00266A8E">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3BD7E0F0">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1E348A">
      <w:rPr>
        <w:b/>
        <w:spacing w:val="-2"/>
      </w:rPr>
      <w:t>22</w:t>
    </w:r>
    <w:r>
      <w:rPr>
        <w:b/>
        <w:spacing w:val="-2"/>
      </w:rPr>
      <w:t>-</w:t>
    </w:r>
    <w:r w:rsidR="001A06A5">
      <w:rPr>
        <w:b/>
        <w:spacing w:val="-2"/>
      </w:rPr>
      <w:t>981</w:t>
    </w:r>
  </w:p>
  <w:p w:rsidR="00676723" w:rsidRPr="00C438ED" w:rsidP="001E348A" w14:paraId="259FC37F" w14:textId="2BC7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1E348A" w14:paraId="7665726C" w14:textId="7BE66B3D">
    <w:pPr>
      <w:pStyle w:val="Heade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1E348A">
      <w:rPr>
        <w:spacing w:val="-2"/>
      </w:rPr>
      <w:t>22</w:t>
    </w:r>
    <w:r w:rsidRPr="002755D1">
      <w:rPr>
        <w:spacing w:val="-2"/>
      </w:rPr>
      <w:t>-</w:t>
    </w:r>
    <w:r w:rsidR="001A06A5">
      <w:rPr>
        <w:spacing w:val="-2"/>
      </w:rPr>
      <w:t>981</w:t>
    </w:r>
  </w:p>
  <w:p w:rsidR="002E4C64" w:rsidP="001E348A" w14:paraId="01033C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20926"/>
    <w:rsid w:val="00020F52"/>
    <w:rsid w:val="000239E2"/>
    <w:rsid w:val="00023CBD"/>
    <w:rsid w:val="00032EB3"/>
    <w:rsid w:val="00034A4C"/>
    <w:rsid w:val="00036039"/>
    <w:rsid w:val="00036EBB"/>
    <w:rsid w:val="00037506"/>
    <w:rsid w:val="00037F90"/>
    <w:rsid w:val="000409A7"/>
    <w:rsid w:val="00041FA4"/>
    <w:rsid w:val="0004267E"/>
    <w:rsid w:val="00043776"/>
    <w:rsid w:val="00044329"/>
    <w:rsid w:val="000474B4"/>
    <w:rsid w:val="000510A7"/>
    <w:rsid w:val="00051D08"/>
    <w:rsid w:val="000546E3"/>
    <w:rsid w:val="00057EC4"/>
    <w:rsid w:val="00060B19"/>
    <w:rsid w:val="00060E3B"/>
    <w:rsid w:val="00064FCE"/>
    <w:rsid w:val="00067174"/>
    <w:rsid w:val="00072EEF"/>
    <w:rsid w:val="00077556"/>
    <w:rsid w:val="00080528"/>
    <w:rsid w:val="000812CD"/>
    <w:rsid w:val="00084844"/>
    <w:rsid w:val="000875BF"/>
    <w:rsid w:val="00093012"/>
    <w:rsid w:val="00094FF2"/>
    <w:rsid w:val="00096D8C"/>
    <w:rsid w:val="000A1DBA"/>
    <w:rsid w:val="000A4143"/>
    <w:rsid w:val="000A69D0"/>
    <w:rsid w:val="000A747B"/>
    <w:rsid w:val="000A78D2"/>
    <w:rsid w:val="000B076B"/>
    <w:rsid w:val="000B4C5A"/>
    <w:rsid w:val="000B761E"/>
    <w:rsid w:val="000C0B65"/>
    <w:rsid w:val="000C3C46"/>
    <w:rsid w:val="000C4982"/>
    <w:rsid w:val="000C53CB"/>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09C7"/>
    <w:rsid w:val="00161593"/>
    <w:rsid w:val="00161F7D"/>
    <w:rsid w:val="00161FD5"/>
    <w:rsid w:val="00163419"/>
    <w:rsid w:val="00164854"/>
    <w:rsid w:val="001659BF"/>
    <w:rsid w:val="001664A0"/>
    <w:rsid w:val="001667ED"/>
    <w:rsid w:val="0017171A"/>
    <w:rsid w:val="00172BF5"/>
    <w:rsid w:val="00173587"/>
    <w:rsid w:val="00174F9E"/>
    <w:rsid w:val="00175B75"/>
    <w:rsid w:val="00176197"/>
    <w:rsid w:val="0017677C"/>
    <w:rsid w:val="00180D54"/>
    <w:rsid w:val="00182E46"/>
    <w:rsid w:val="001850F1"/>
    <w:rsid w:val="001877EB"/>
    <w:rsid w:val="00193512"/>
    <w:rsid w:val="001955C8"/>
    <w:rsid w:val="00196CFD"/>
    <w:rsid w:val="001A06A5"/>
    <w:rsid w:val="001A2FD6"/>
    <w:rsid w:val="001A5074"/>
    <w:rsid w:val="001A6AEF"/>
    <w:rsid w:val="001A7A02"/>
    <w:rsid w:val="001B4BAE"/>
    <w:rsid w:val="001C50A9"/>
    <w:rsid w:val="001C7762"/>
    <w:rsid w:val="001D10CF"/>
    <w:rsid w:val="001D63ED"/>
    <w:rsid w:val="001D6BCF"/>
    <w:rsid w:val="001E01CA"/>
    <w:rsid w:val="001E348A"/>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31522"/>
    <w:rsid w:val="002352DC"/>
    <w:rsid w:val="00237F53"/>
    <w:rsid w:val="00240F56"/>
    <w:rsid w:val="00243018"/>
    <w:rsid w:val="002551FD"/>
    <w:rsid w:val="00261C5F"/>
    <w:rsid w:val="002626EB"/>
    <w:rsid w:val="002632D5"/>
    <w:rsid w:val="002645F4"/>
    <w:rsid w:val="00266788"/>
    <w:rsid w:val="00266A8E"/>
    <w:rsid w:val="00273B9A"/>
    <w:rsid w:val="002755D1"/>
    <w:rsid w:val="00276796"/>
    <w:rsid w:val="00276DAE"/>
    <w:rsid w:val="00277598"/>
    <w:rsid w:val="00277F32"/>
    <w:rsid w:val="00284E12"/>
    <w:rsid w:val="00285017"/>
    <w:rsid w:val="002850E5"/>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0027"/>
    <w:rsid w:val="002E4C64"/>
    <w:rsid w:val="002E5543"/>
    <w:rsid w:val="002F0F20"/>
    <w:rsid w:val="002F7BE9"/>
    <w:rsid w:val="0030082F"/>
    <w:rsid w:val="003016ED"/>
    <w:rsid w:val="00302BBF"/>
    <w:rsid w:val="00320448"/>
    <w:rsid w:val="00320BE0"/>
    <w:rsid w:val="00327240"/>
    <w:rsid w:val="00327A56"/>
    <w:rsid w:val="003302D1"/>
    <w:rsid w:val="00331532"/>
    <w:rsid w:val="003317A6"/>
    <w:rsid w:val="00334F59"/>
    <w:rsid w:val="00340918"/>
    <w:rsid w:val="003433FA"/>
    <w:rsid w:val="00343749"/>
    <w:rsid w:val="00343B8B"/>
    <w:rsid w:val="003447A3"/>
    <w:rsid w:val="0035018C"/>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B739D"/>
    <w:rsid w:val="003C6DEB"/>
    <w:rsid w:val="003D49D5"/>
    <w:rsid w:val="003D7EBD"/>
    <w:rsid w:val="003E2E66"/>
    <w:rsid w:val="003F1126"/>
    <w:rsid w:val="003F171C"/>
    <w:rsid w:val="003F5C7D"/>
    <w:rsid w:val="004008FF"/>
    <w:rsid w:val="00400BCE"/>
    <w:rsid w:val="00404B01"/>
    <w:rsid w:val="0041095B"/>
    <w:rsid w:val="00412FC5"/>
    <w:rsid w:val="00414A07"/>
    <w:rsid w:val="00414BD8"/>
    <w:rsid w:val="00414F00"/>
    <w:rsid w:val="004172DB"/>
    <w:rsid w:val="00422276"/>
    <w:rsid w:val="004227E6"/>
    <w:rsid w:val="004242F1"/>
    <w:rsid w:val="00433E5E"/>
    <w:rsid w:val="00434575"/>
    <w:rsid w:val="004348F7"/>
    <w:rsid w:val="004359DD"/>
    <w:rsid w:val="00435FB8"/>
    <w:rsid w:val="004409D9"/>
    <w:rsid w:val="00445A00"/>
    <w:rsid w:val="004479E5"/>
    <w:rsid w:val="00450242"/>
    <w:rsid w:val="00451B0F"/>
    <w:rsid w:val="00452FFD"/>
    <w:rsid w:val="004554BB"/>
    <w:rsid w:val="00455FEB"/>
    <w:rsid w:val="00463506"/>
    <w:rsid w:val="0046402A"/>
    <w:rsid w:val="004655CB"/>
    <w:rsid w:val="00465FD1"/>
    <w:rsid w:val="00471DDB"/>
    <w:rsid w:val="004737E2"/>
    <w:rsid w:val="00484691"/>
    <w:rsid w:val="004864CE"/>
    <w:rsid w:val="00486ADC"/>
    <w:rsid w:val="00490FA1"/>
    <w:rsid w:val="00491CAC"/>
    <w:rsid w:val="00492284"/>
    <w:rsid w:val="00494244"/>
    <w:rsid w:val="0049610C"/>
    <w:rsid w:val="004A1DD7"/>
    <w:rsid w:val="004A25AB"/>
    <w:rsid w:val="004A296D"/>
    <w:rsid w:val="004A4478"/>
    <w:rsid w:val="004A55DF"/>
    <w:rsid w:val="004B441D"/>
    <w:rsid w:val="004B5795"/>
    <w:rsid w:val="004B5871"/>
    <w:rsid w:val="004B6755"/>
    <w:rsid w:val="004C2EE3"/>
    <w:rsid w:val="004C366A"/>
    <w:rsid w:val="004C693C"/>
    <w:rsid w:val="004C6AC5"/>
    <w:rsid w:val="004C7120"/>
    <w:rsid w:val="004C7963"/>
    <w:rsid w:val="004D14D2"/>
    <w:rsid w:val="004D1DB2"/>
    <w:rsid w:val="004E2022"/>
    <w:rsid w:val="004E347E"/>
    <w:rsid w:val="004E4A22"/>
    <w:rsid w:val="004E5936"/>
    <w:rsid w:val="004F0148"/>
    <w:rsid w:val="004F3A1A"/>
    <w:rsid w:val="004F4B62"/>
    <w:rsid w:val="004F5449"/>
    <w:rsid w:val="004F5E64"/>
    <w:rsid w:val="004F5E89"/>
    <w:rsid w:val="0050401D"/>
    <w:rsid w:val="00504CFE"/>
    <w:rsid w:val="005050D6"/>
    <w:rsid w:val="0051080A"/>
    <w:rsid w:val="00511968"/>
    <w:rsid w:val="0051245D"/>
    <w:rsid w:val="005124D9"/>
    <w:rsid w:val="005145CB"/>
    <w:rsid w:val="00517116"/>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74A7"/>
    <w:rsid w:val="005776BD"/>
    <w:rsid w:val="00582969"/>
    <w:rsid w:val="00585FE9"/>
    <w:rsid w:val="00586385"/>
    <w:rsid w:val="00592C4C"/>
    <w:rsid w:val="00597DF3"/>
    <w:rsid w:val="005A2A94"/>
    <w:rsid w:val="005B2F52"/>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4CF8"/>
    <w:rsid w:val="005E7899"/>
    <w:rsid w:val="005F3A0D"/>
    <w:rsid w:val="005F54A4"/>
    <w:rsid w:val="005F558B"/>
    <w:rsid w:val="005F615D"/>
    <w:rsid w:val="00602329"/>
    <w:rsid w:val="00603931"/>
    <w:rsid w:val="00605A3F"/>
    <w:rsid w:val="00605A87"/>
    <w:rsid w:val="00606FF6"/>
    <w:rsid w:val="00607BA5"/>
    <w:rsid w:val="00607BF9"/>
    <w:rsid w:val="006100EB"/>
    <w:rsid w:val="006108AD"/>
    <w:rsid w:val="00611BC3"/>
    <w:rsid w:val="00611E7C"/>
    <w:rsid w:val="00612B4D"/>
    <w:rsid w:val="006158E3"/>
    <w:rsid w:val="006225BE"/>
    <w:rsid w:val="00624FD7"/>
    <w:rsid w:val="00626468"/>
    <w:rsid w:val="00626EB6"/>
    <w:rsid w:val="0063094A"/>
    <w:rsid w:val="006309DD"/>
    <w:rsid w:val="006313E2"/>
    <w:rsid w:val="006358B7"/>
    <w:rsid w:val="006520A5"/>
    <w:rsid w:val="006554F4"/>
    <w:rsid w:val="00655D03"/>
    <w:rsid w:val="006561B9"/>
    <w:rsid w:val="00661747"/>
    <w:rsid w:val="006663EC"/>
    <w:rsid w:val="00670411"/>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3A2C"/>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06C83"/>
    <w:rsid w:val="007115F7"/>
    <w:rsid w:val="00714014"/>
    <w:rsid w:val="0071473B"/>
    <w:rsid w:val="00721B06"/>
    <w:rsid w:val="00721F9C"/>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76B70"/>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2ED"/>
    <w:rsid w:val="007A247C"/>
    <w:rsid w:val="007A7BA1"/>
    <w:rsid w:val="007B0C25"/>
    <w:rsid w:val="007B37B7"/>
    <w:rsid w:val="007B3BDA"/>
    <w:rsid w:val="007B4F15"/>
    <w:rsid w:val="007B4F9B"/>
    <w:rsid w:val="007C0B39"/>
    <w:rsid w:val="007C4B67"/>
    <w:rsid w:val="007C6255"/>
    <w:rsid w:val="007D3344"/>
    <w:rsid w:val="007D3BC9"/>
    <w:rsid w:val="007E10BA"/>
    <w:rsid w:val="007E1B57"/>
    <w:rsid w:val="007E2BD7"/>
    <w:rsid w:val="007E2D92"/>
    <w:rsid w:val="007E460A"/>
    <w:rsid w:val="007E5DAB"/>
    <w:rsid w:val="007F25D2"/>
    <w:rsid w:val="007F40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303B"/>
    <w:rsid w:val="00843A5F"/>
    <w:rsid w:val="00843D0C"/>
    <w:rsid w:val="00844998"/>
    <w:rsid w:val="008472AC"/>
    <w:rsid w:val="00850DBC"/>
    <w:rsid w:val="008511B9"/>
    <w:rsid w:val="00852F69"/>
    <w:rsid w:val="00854D99"/>
    <w:rsid w:val="00860B3E"/>
    <w:rsid w:val="008644A6"/>
    <w:rsid w:val="0086518D"/>
    <w:rsid w:val="00865DC9"/>
    <w:rsid w:val="00867B1A"/>
    <w:rsid w:val="00880BA8"/>
    <w:rsid w:val="00881DA6"/>
    <w:rsid w:val="00883302"/>
    <w:rsid w:val="00887F97"/>
    <w:rsid w:val="00890101"/>
    <w:rsid w:val="008947F4"/>
    <w:rsid w:val="00897120"/>
    <w:rsid w:val="008A0994"/>
    <w:rsid w:val="008A1228"/>
    <w:rsid w:val="008A267C"/>
    <w:rsid w:val="008A37FE"/>
    <w:rsid w:val="008A5341"/>
    <w:rsid w:val="008A7EA5"/>
    <w:rsid w:val="008C14DE"/>
    <w:rsid w:val="008C2AA6"/>
    <w:rsid w:val="008C2D54"/>
    <w:rsid w:val="008C4282"/>
    <w:rsid w:val="008C5719"/>
    <w:rsid w:val="008D046F"/>
    <w:rsid w:val="008D1458"/>
    <w:rsid w:val="008D35FE"/>
    <w:rsid w:val="008D579C"/>
    <w:rsid w:val="008D66A7"/>
    <w:rsid w:val="008E08DB"/>
    <w:rsid w:val="008F2CBC"/>
    <w:rsid w:val="008F546F"/>
    <w:rsid w:val="008F5609"/>
    <w:rsid w:val="008F6354"/>
    <w:rsid w:val="009000B2"/>
    <w:rsid w:val="00903487"/>
    <w:rsid w:val="00903E19"/>
    <w:rsid w:val="009052A4"/>
    <w:rsid w:val="0090635A"/>
    <w:rsid w:val="009102C4"/>
    <w:rsid w:val="00910F04"/>
    <w:rsid w:val="00911882"/>
    <w:rsid w:val="00912507"/>
    <w:rsid w:val="00912A4B"/>
    <w:rsid w:val="00917CD4"/>
    <w:rsid w:val="00921803"/>
    <w:rsid w:val="0092218F"/>
    <w:rsid w:val="00922F5C"/>
    <w:rsid w:val="00925EC6"/>
    <w:rsid w:val="00926503"/>
    <w:rsid w:val="00927355"/>
    <w:rsid w:val="0092745B"/>
    <w:rsid w:val="00931485"/>
    <w:rsid w:val="009314F3"/>
    <w:rsid w:val="009316FF"/>
    <w:rsid w:val="009317FB"/>
    <w:rsid w:val="009319F8"/>
    <w:rsid w:val="009332A1"/>
    <w:rsid w:val="0093490E"/>
    <w:rsid w:val="00935E3A"/>
    <w:rsid w:val="0094240B"/>
    <w:rsid w:val="00943560"/>
    <w:rsid w:val="00950EB7"/>
    <w:rsid w:val="009542A0"/>
    <w:rsid w:val="00956027"/>
    <w:rsid w:val="00956337"/>
    <w:rsid w:val="00962945"/>
    <w:rsid w:val="009632A6"/>
    <w:rsid w:val="00964237"/>
    <w:rsid w:val="00966371"/>
    <w:rsid w:val="00966537"/>
    <w:rsid w:val="009676BC"/>
    <w:rsid w:val="00970C6B"/>
    <w:rsid w:val="009711A2"/>
    <w:rsid w:val="009716F7"/>
    <w:rsid w:val="0097256B"/>
    <w:rsid w:val="009741B1"/>
    <w:rsid w:val="00975449"/>
    <w:rsid w:val="00976233"/>
    <w:rsid w:val="0097651C"/>
    <w:rsid w:val="00981C93"/>
    <w:rsid w:val="00981F23"/>
    <w:rsid w:val="0098449D"/>
    <w:rsid w:val="00987FB6"/>
    <w:rsid w:val="0099140B"/>
    <w:rsid w:val="00992F4D"/>
    <w:rsid w:val="009942A1"/>
    <w:rsid w:val="009A40C2"/>
    <w:rsid w:val="009A4C16"/>
    <w:rsid w:val="009A7EE4"/>
    <w:rsid w:val="009B352A"/>
    <w:rsid w:val="009B5065"/>
    <w:rsid w:val="009B5A50"/>
    <w:rsid w:val="009C6B2A"/>
    <w:rsid w:val="009D10E8"/>
    <w:rsid w:val="009D332B"/>
    <w:rsid w:val="009D666C"/>
    <w:rsid w:val="009D66D5"/>
    <w:rsid w:val="009E04BA"/>
    <w:rsid w:val="009E2677"/>
    <w:rsid w:val="009E3939"/>
    <w:rsid w:val="009E4E15"/>
    <w:rsid w:val="009E58C9"/>
    <w:rsid w:val="009E5BD6"/>
    <w:rsid w:val="009F04D5"/>
    <w:rsid w:val="009F286B"/>
    <w:rsid w:val="009F3A92"/>
    <w:rsid w:val="009F77E2"/>
    <w:rsid w:val="009F7C04"/>
    <w:rsid w:val="00A00B66"/>
    <w:rsid w:val="00A027EA"/>
    <w:rsid w:val="00A03DB3"/>
    <w:rsid w:val="00A05473"/>
    <w:rsid w:val="00A06315"/>
    <w:rsid w:val="00A0704F"/>
    <w:rsid w:val="00A12F28"/>
    <w:rsid w:val="00A15CBD"/>
    <w:rsid w:val="00A16466"/>
    <w:rsid w:val="00A17A3B"/>
    <w:rsid w:val="00A20FF3"/>
    <w:rsid w:val="00A214C3"/>
    <w:rsid w:val="00A23AF4"/>
    <w:rsid w:val="00A27ACB"/>
    <w:rsid w:val="00A35CE8"/>
    <w:rsid w:val="00A36B4A"/>
    <w:rsid w:val="00A3732E"/>
    <w:rsid w:val="00A453E0"/>
    <w:rsid w:val="00A45F4F"/>
    <w:rsid w:val="00A4658E"/>
    <w:rsid w:val="00A5227B"/>
    <w:rsid w:val="00A55AD7"/>
    <w:rsid w:val="00A5729D"/>
    <w:rsid w:val="00A57B31"/>
    <w:rsid w:val="00A600A9"/>
    <w:rsid w:val="00A60258"/>
    <w:rsid w:val="00A606BF"/>
    <w:rsid w:val="00A6117C"/>
    <w:rsid w:val="00A61ED7"/>
    <w:rsid w:val="00A66336"/>
    <w:rsid w:val="00A669A9"/>
    <w:rsid w:val="00A70D5A"/>
    <w:rsid w:val="00A74DB8"/>
    <w:rsid w:val="00A77D25"/>
    <w:rsid w:val="00A81E40"/>
    <w:rsid w:val="00A82494"/>
    <w:rsid w:val="00A87C06"/>
    <w:rsid w:val="00A936BB"/>
    <w:rsid w:val="00A95282"/>
    <w:rsid w:val="00A96A5E"/>
    <w:rsid w:val="00A9769D"/>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27C2"/>
    <w:rsid w:val="00AD3587"/>
    <w:rsid w:val="00AD3D92"/>
    <w:rsid w:val="00AD6C34"/>
    <w:rsid w:val="00AE1D47"/>
    <w:rsid w:val="00AE214E"/>
    <w:rsid w:val="00AE27F8"/>
    <w:rsid w:val="00AE43B7"/>
    <w:rsid w:val="00AE4DB3"/>
    <w:rsid w:val="00AE4E54"/>
    <w:rsid w:val="00AF03D6"/>
    <w:rsid w:val="00AF0CFB"/>
    <w:rsid w:val="00AF6522"/>
    <w:rsid w:val="00AF7DAD"/>
    <w:rsid w:val="00B00166"/>
    <w:rsid w:val="00B02DC2"/>
    <w:rsid w:val="00B02FB8"/>
    <w:rsid w:val="00B039E3"/>
    <w:rsid w:val="00B045DF"/>
    <w:rsid w:val="00B07321"/>
    <w:rsid w:val="00B07E5C"/>
    <w:rsid w:val="00B10576"/>
    <w:rsid w:val="00B13350"/>
    <w:rsid w:val="00B141B4"/>
    <w:rsid w:val="00B14FAF"/>
    <w:rsid w:val="00B15877"/>
    <w:rsid w:val="00B1792B"/>
    <w:rsid w:val="00B211FD"/>
    <w:rsid w:val="00B239D9"/>
    <w:rsid w:val="00B277A4"/>
    <w:rsid w:val="00B302CB"/>
    <w:rsid w:val="00B318D0"/>
    <w:rsid w:val="00B32157"/>
    <w:rsid w:val="00B32FEF"/>
    <w:rsid w:val="00B373CB"/>
    <w:rsid w:val="00B44A4F"/>
    <w:rsid w:val="00B47311"/>
    <w:rsid w:val="00B508D0"/>
    <w:rsid w:val="00B517BE"/>
    <w:rsid w:val="00B5414A"/>
    <w:rsid w:val="00B56AE5"/>
    <w:rsid w:val="00B64EC5"/>
    <w:rsid w:val="00B65EF8"/>
    <w:rsid w:val="00B66445"/>
    <w:rsid w:val="00B66F5A"/>
    <w:rsid w:val="00B67077"/>
    <w:rsid w:val="00B73945"/>
    <w:rsid w:val="00B75912"/>
    <w:rsid w:val="00B761CF"/>
    <w:rsid w:val="00B80DF6"/>
    <w:rsid w:val="00B811F7"/>
    <w:rsid w:val="00B816A7"/>
    <w:rsid w:val="00B84E6C"/>
    <w:rsid w:val="00B860D7"/>
    <w:rsid w:val="00B87679"/>
    <w:rsid w:val="00BA3B91"/>
    <w:rsid w:val="00BA5DC6"/>
    <w:rsid w:val="00BA6196"/>
    <w:rsid w:val="00BA6AFE"/>
    <w:rsid w:val="00BA7F12"/>
    <w:rsid w:val="00BB0606"/>
    <w:rsid w:val="00BB0C03"/>
    <w:rsid w:val="00BB365A"/>
    <w:rsid w:val="00BB5512"/>
    <w:rsid w:val="00BC2CFF"/>
    <w:rsid w:val="00BC5D56"/>
    <w:rsid w:val="00BC68DF"/>
    <w:rsid w:val="00BC6D8C"/>
    <w:rsid w:val="00BC76F9"/>
    <w:rsid w:val="00BD129C"/>
    <w:rsid w:val="00BD24F4"/>
    <w:rsid w:val="00BD257E"/>
    <w:rsid w:val="00BE2581"/>
    <w:rsid w:val="00BE2B2B"/>
    <w:rsid w:val="00BE56B5"/>
    <w:rsid w:val="00BE73DC"/>
    <w:rsid w:val="00BE7722"/>
    <w:rsid w:val="00BF0234"/>
    <w:rsid w:val="00BF0BDB"/>
    <w:rsid w:val="00BF1EEC"/>
    <w:rsid w:val="00C02FA9"/>
    <w:rsid w:val="00C04D36"/>
    <w:rsid w:val="00C06E84"/>
    <w:rsid w:val="00C10ADD"/>
    <w:rsid w:val="00C176B8"/>
    <w:rsid w:val="00C218DC"/>
    <w:rsid w:val="00C26F5F"/>
    <w:rsid w:val="00C27723"/>
    <w:rsid w:val="00C34006"/>
    <w:rsid w:val="00C4174C"/>
    <w:rsid w:val="00C426B1"/>
    <w:rsid w:val="00C438ED"/>
    <w:rsid w:val="00C447D2"/>
    <w:rsid w:val="00C473A8"/>
    <w:rsid w:val="00C47A0C"/>
    <w:rsid w:val="00C518D0"/>
    <w:rsid w:val="00C523B9"/>
    <w:rsid w:val="00C52CF8"/>
    <w:rsid w:val="00C566EC"/>
    <w:rsid w:val="00C6071D"/>
    <w:rsid w:val="00C612AC"/>
    <w:rsid w:val="00C652D0"/>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F1C0F"/>
    <w:rsid w:val="00CF2E66"/>
    <w:rsid w:val="00CF2F47"/>
    <w:rsid w:val="00CF6B78"/>
    <w:rsid w:val="00CF77B7"/>
    <w:rsid w:val="00D00695"/>
    <w:rsid w:val="00D0218D"/>
    <w:rsid w:val="00D031AB"/>
    <w:rsid w:val="00D03AD8"/>
    <w:rsid w:val="00D046D2"/>
    <w:rsid w:val="00D05A77"/>
    <w:rsid w:val="00D1069B"/>
    <w:rsid w:val="00D10745"/>
    <w:rsid w:val="00D11DBE"/>
    <w:rsid w:val="00D13D2E"/>
    <w:rsid w:val="00D15C1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52151"/>
    <w:rsid w:val="00D52555"/>
    <w:rsid w:val="00D55448"/>
    <w:rsid w:val="00D558AE"/>
    <w:rsid w:val="00D5619D"/>
    <w:rsid w:val="00D56630"/>
    <w:rsid w:val="00D61FAC"/>
    <w:rsid w:val="00D630D3"/>
    <w:rsid w:val="00D67F84"/>
    <w:rsid w:val="00D704AA"/>
    <w:rsid w:val="00D70822"/>
    <w:rsid w:val="00D71CDA"/>
    <w:rsid w:val="00D76723"/>
    <w:rsid w:val="00D806D5"/>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105"/>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B5C"/>
    <w:rsid w:val="00DF5C09"/>
    <w:rsid w:val="00DF62B6"/>
    <w:rsid w:val="00DF7138"/>
    <w:rsid w:val="00E03633"/>
    <w:rsid w:val="00E037E1"/>
    <w:rsid w:val="00E05A8E"/>
    <w:rsid w:val="00E069F9"/>
    <w:rsid w:val="00E07225"/>
    <w:rsid w:val="00E141AE"/>
    <w:rsid w:val="00E206B2"/>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6661E"/>
    <w:rsid w:val="00E70486"/>
    <w:rsid w:val="00E73616"/>
    <w:rsid w:val="00E765F5"/>
    <w:rsid w:val="00E76A80"/>
    <w:rsid w:val="00E76AE5"/>
    <w:rsid w:val="00E828C5"/>
    <w:rsid w:val="00E842A5"/>
    <w:rsid w:val="00E843BC"/>
    <w:rsid w:val="00E868CB"/>
    <w:rsid w:val="00E87831"/>
    <w:rsid w:val="00E93679"/>
    <w:rsid w:val="00E94865"/>
    <w:rsid w:val="00E95C94"/>
    <w:rsid w:val="00EA1A3D"/>
    <w:rsid w:val="00EA21F8"/>
    <w:rsid w:val="00EA296C"/>
    <w:rsid w:val="00EA367A"/>
    <w:rsid w:val="00EA42ED"/>
    <w:rsid w:val="00EB0F91"/>
    <w:rsid w:val="00EB1673"/>
    <w:rsid w:val="00EB2E40"/>
    <w:rsid w:val="00EB356C"/>
    <w:rsid w:val="00EB6225"/>
    <w:rsid w:val="00EB752D"/>
    <w:rsid w:val="00EC5684"/>
    <w:rsid w:val="00EC58BD"/>
    <w:rsid w:val="00EC663A"/>
    <w:rsid w:val="00EC767E"/>
    <w:rsid w:val="00ED1A85"/>
    <w:rsid w:val="00ED419F"/>
    <w:rsid w:val="00ED48FF"/>
    <w:rsid w:val="00ED527E"/>
    <w:rsid w:val="00ED5746"/>
    <w:rsid w:val="00ED64B0"/>
    <w:rsid w:val="00EE0C8E"/>
    <w:rsid w:val="00EE6488"/>
    <w:rsid w:val="00EF1C44"/>
    <w:rsid w:val="00EF28F5"/>
    <w:rsid w:val="00EF3095"/>
    <w:rsid w:val="00EF4CF7"/>
    <w:rsid w:val="00EF505E"/>
    <w:rsid w:val="00EF7F44"/>
    <w:rsid w:val="00F021FA"/>
    <w:rsid w:val="00F038E2"/>
    <w:rsid w:val="00F05444"/>
    <w:rsid w:val="00F125D4"/>
    <w:rsid w:val="00F162E3"/>
    <w:rsid w:val="00F240C3"/>
    <w:rsid w:val="00F24FF8"/>
    <w:rsid w:val="00F360F9"/>
    <w:rsid w:val="00F361E6"/>
    <w:rsid w:val="00F3638F"/>
    <w:rsid w:val="00F3676D"/>
    <w:rsid w:val="00F442BB"/>
    <w:rsid w:val="00F44F3A"/>
    <w:rsid w:val="00F513D6"/>
    <w:rsid w:val="00F62E97"/>
    <w:rsid w:val="00F64209"/>
    <w:rsid w:val="00F6525C"/>
    <w:rsid w:val="00F65CE9"/>
    <w:rsid w:val="00F70E6D"/>
    <w:rsid w:val="00F71F68"/>
    <w:rsid w:val="00F723E4"/>
    <w:rsid w:val="00F74D07"/>
    <w:rsid w:val="00F80663"/>
    <w:rsid w:val="00F810BC"/>
    <w:rsid w:val="00F810F3"/>
    <w:rsid w:val="00F82C43"/>
    <w:rsid w:val="00F84126"/>
    <w:rsid w:val="00F84BCA"/>
    <w:rsid w:val="00F85EA2"/>
    <w:rsid w:val="00F8761E"/>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1180"/>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0474D"/>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9E58C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1E348A"/>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1E348A"/>
    <w:rPr>
      <w:b/>
      <w:snapToGrid w:val="0"/>
      <w:kern w:val="28"/>
      <w:sz w:val="22"/>
    </w:rPr>
  </w:style>
  <w:style w:type="paragraph" w:styleId="Revision">
    <w:name w:val="Revision"/>
    <w:hidden/>
    <w:uiPriority w:val="99"/>
    <w:semiHidden/>
    <w:rsid w:val="00ED527E"/>
    <w:rPr>
      <w:snapToGrid w:val="0"/>
      <w:kern w:val="28"/>
      <w:sz w:val="22"/>
    </w:rPr>
  </w:style>
  <w:style w:type="character" w:styleId="UnresolvedMention">
    <w:name w:val="Unresolved Mention"/>
    <w:basedOn w:val="DefaultParagraphFont"/>
    <w:uiPriority w:val="99"/>
    <w:semiHidden/>
    <w:unhideWhenUsed/>
    <w:rsid w:val="00DB5105"/>
    <w:rPr>
      <w:color w:val="605E5C"/>
      <w:shd w:val="clear" w:color="auto" w:fill="E1DFDD"/>
    </w:rPr>
  </w:style>
  <w:style w:type="character" w:customStyle="1" w:styleId="Heading1Char">
    <w:name w:val="Heading 1 Char"/>
    <w:basedOn w:val="DefaultParagraphFont"/>
    <w:link w:val="Heading1"/>
    <w:locked/>
    <w:rsid w:val="00776B70"/>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yperlink" Target="mailto:Jeffrey.Gee@fcc.gov" TargetMode="External" /><Relationship Id="rId13" Type="http://schemas.openxmlformats.org/officeDocument/2006/relationships/hyperlink" Target="mailto:Christopher.Sova@fcc.gov" TargetMode="External" /><Relationship Id="rId14" Type="http://schemas.openxmlformats.org/officeDocument/2006/relationships/hyperlink" Target="mailto:Frederick.Giroux@fcc.gov" TargetMode="External" /><Relationship Id="rId15" Type="http://schemas.openxmlformats.org/officeDocument/2006/relationships/hyperlink" Target="mailto:Melissa.Marshall@fcc.gov" TargetMode="External" /><Relationship Id="rId16" Type="http://schemas.openxmlformats.org/officeDocument/2006/relationships/hyperlink" Target="mailto:RROGWireFaxes@fcc.gov" TargetMode="External" /><Relationship Id="rId17" Type="http://schemas.openxmlformats.org/officeDocument/2006/relationships/hyperlink" Target="https://www.fcc.gov/licensing-databases/fees/wire-transfer" TargetMode="External" /><Relationship Id="rId18" Type="http://schemas.openxmlformats.org/officeDocument/2006/relationships/hyperlink" Target="https://appsint.fcc.gov/cores/userLogin.do" TargetMode="External" /><Relationship Id="rId19" Type="http://schemas.openxmlformats.org/officeDocument/2006/relationships/hyperlink" Target="https://apps.fcc.gov/cores/paymentFrnLogin.do" TargetMode="Externa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graham@clevelandcliffs.com" TargetMode="External" /><Relationship Id="rId6" Type="http://schemas.openxmlformats.org/officeDocument/2006/relationships/hyperlink" Target="mailto:bolcott@jonesday.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levelandcliffs.com/about" TargetMode="External" /><Relationship Id="rId2" Type="http://schemas.openxmlformats.org/officeDocument/2006/relationships/hyperlink" Target="https://www.fcc.gov/licensing-databases/fees/fcc-remittance-advice-form-159" TargetMode="External" /><Relationship Id="rId3" Type="http://schemas.openxmlformats.org/officeDocument/2006/relationships/hyperlink" Target="https://apps.fcc.gov/cores/userLogin.do" TargetMode="External" /><Relationship Id="rId4"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