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571FCD5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7A15D261" w14:textId="72ABCD5A">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AF5BF9">
        <w:rPr>
          <w:b/>
          <w:snapToGrid w:val="0"/>
          <w:kern w:val="28"/>
          <w:szCs w:val="22"/>
        </w:rPr>
        <w:t>982</w:t>
      </w:r>
    </w:p>
    <w:p w:rsidR="00AD440B" w:rsidRPr="00CB6B4E" w:rsidP="00ED51D0" w14:paraId="3234C787" w14:textId="77777777">
      <w:pPr>
        <w:widowControl w:val="0"/>
        <w:jc w:val="right"/>
        <w:rPr>
          <w:b/>
          <w:snapToGrid w:val="0"/>
          <w:kern w:val="28"/>
          <w:szCs w:val="22"/>
        </w:rPr>
      </w:pPr>
      <w:r w:rsidRPr="00CB6B4E">
        <w:rPr>
          <w:b/>
          <w:snapToGrid w:val="0"/>
          <w:kern w:val="28"/>
          <w:szCs w:val="22"/>
        </w:rPr>
        <w:t xml:space="preserve">Released:  </w:t>
      </w:r>
      <w:r w:rsidR="00314D1F">
        <w:rPr>
          <w:b/>
          <w:snapToGrid w:val="0"/>
          <w:kern w:val="28"/>
          <w:szCs w:val="22"/>
        </w:rPr>
        <w:t xml:space="preserve">September </w:t>
      </w:r>
      <w:r w:rsidR="005D3947">
        <w:rPr>
          <w:b/>
          <w:snapToGrid w:val="0"/>
          <w:kern w:val="28"/>
          <w:szCs w:val="22"/>
        </w:rPr>
        <w:t>20</w:t>
      </w:r>
      <w:r w:rsidRPr="00CB6B4E">
        <w:rPr>
          <w:b/>
          <w:snapToGrid w:val="0"/>
          <w:kern w:val="28"/>
          <w:szCs w:val="22"/>
        </w:rPr>
        <w:t>, 202</w:t>
      </w:r>
      <w:r w:rsidRPr="00CB6B4E" w:rsidR="0089666B">
        <w:rPr>
          <w:b/>
          <w:snapToGrid w:val="0"/>
          <w:kern w:val="28"/>
          <w:szCs w:val="22"/>
        </w:rPr>
        <w:t>2</w:t>
      </w:r>
    </w:p>
    <w:p w:rsidR="00AD440B" w:rsidRPr="00CB6B4E" w:rsidP="00AD440B" w14:paraId="2DD75C49" w14:textId="77777777">
      <w:pPr>
        <w:widowControl w:val="0"/>
        <w:spacing w:before="60"/>
        <w:jc w:val="center"/>
        <w:rPr>
          <w:b/>
          <w:snapToGrid w:val="0"/>
          <w:kern w:val="28"/>
          <w:szCs w:val="22"/>
        </w:rPr>
      </w:pPr>
    </w:p>
    <w:p w:rsidR="00ED6E8F" w:rsidP="00A47EA1" w14:paraId="39FC38F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1736D0" w:rsidP="4E2AB46F" w14:paraId="1C22D492" w14:textId="77777777">
      <w:pPr>
        <w:jc w:val="center"/>
        <w:rPr>
          <w:b/>
          <w:bCs/>
          <w:caps/>
        </w:rPr>
      </w:pPr>
      <w:r w:rsidRPr="4E2AB46F">
        <w:rPr>
          <w:b/>
          <w:bCs/>
        </w:rPr>
        <w:t xml:space="preserve">THE </w:t>
      </w:r>
      <w:r w:rsidRPr="4E2AB46F">
        <w:rPr>
          <w:b/>
          <w:bCs/>
          <w:caps/>
        </w:rPr>
        <w:t xml:space="preserve">TRANSFER OF CONTROL OF </w:t>
      </w:r>
      <w:r w:rsidRPr="4E2AB46F" w:rsidR="00A60963">
        <w:rPr>
          <w:b/>
          <w:bCs/>
          <w:caps/>
        </w:rPr>
        <w:t>Nicholville Telco LLC, and</w:t>
      </w:r>
      <w:r>
        <w:br/>
      </w:r>
      <w:r w:rsidRPr="4E2AB46F" w:rsidR="00A60963">
        <w:rPr>
          <w:b/>
          <w:bCs/>
          <w:caps/>
        </w:rPr>
        <w:t>SLIC Network Solutions, Inc. TO SDC Atlas AcquisitionCo, LLC</w:t>
      </w:r>
    </w:p>
    <w:p w:rsidR="00AD440B" w:rsidRPr="00AD440B" w:rsidP="00AD440B" w14:paraId="7F41A147" w14:textId="77777777">
      <w:pPr>
        <w:jc w:val="center"/>
        <w:rPr>
          <w:b/>
          <w:bCs/>
          <w:szCs w:val="22"/>
        </w:rPr>
      </w:pPr>
      <w:r w:rsidRPr="00AD440B">
        <w:rPr>
          <w:b/>
          <w:bCs/>
          <w:caps/>
          <w:szCs w:val="22"/>
        </w:rPr>
        <w:t xml:space="preserve"> </w:t>
      </w:r>
    </w:p>
    <w:p w:rsidR="00AD440B" w:rsidP="4E2AB46F" w14:paraId="13D5227F" w14:textId="77777777">
      <w:pPr>
        <w:jc w:val="center"/>
        <w:rPr>
          <w:b/>
          <w:bCs/>
        </w:rPr>
      </w:pPr>
      <w:r w:rsidRPr="4E2AB46F">
        <w:rPr>
          <w:b/>
          <w:bCs/>
        </w:rPr>
        <w:t>NON-</w:t>
      </w:r>
      <w:r w:rsidRPr="4E2AB46F" w:rsidR="000C1460">
        <w:rPr>
          <w:b/>
          <w:bCs/>
        </w:rPr>
        <w:t>STREAMLINED PLEADING CYCLE ESTABLISHED</w:t>
      </w:r>
    </w:p>
    <w:p w:rsidR="00031C8B" w:rsidRPr="0055505D" w:rsidP="0055505D" w14:paraId="729925CB" w14:textId="77777777">
      <w:pPr>
        <w:jc w:val="center"/>
        <w:rPr>
          <w:b/>
          <w:szCs w:val="22"/>
        </w:rPr>
      </w:pPr>
    </w:p>
    <w:p w:rsidR="00AD440B" w:rsidRPr="00AD440B" w:rsidP="00AD440B" w14:paraId="784BDDC5" w14:textId="777777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7E3EF9">
        <w:rPr>
          <w:b/>
          <w:snapToGrid w:val="0"/>
          <w:kern w:val="28"/>
          <w:szCs w:val="22"/>
        </w:rPr>
        <w:t>-</w:t>
      </w:r>
      <w:r w:rsidR="00A41F9A">
        <w:rPr>
          <w:b/>
          <w:snapToGrid w:val="0"/>
          <w:kern w:val="28"/>
          <w:szCs w:val="22"/>
        </w:rPr>
        <w:t>30</w:t>
      </w:r>
      <w:r w:rsidR="00A60963">
        <w:rPr>
          <w:b/>
          <w:snapToGrid w:val="0"/>
          <w:kern w:val="28"/>
          <w:szCs w:val="22"/>
        </w:rPr>
        <w:t>9</w:t>
      </w:r>
    </w:p>
    <w:p w:rsidR="00E94F15" w:rsidP="00AD440B" w14:paraId="1187C6AE" w14:textId="77777777">
      <w:pPr>
        <w:rPr>
          <w:b/>
          <w:szCs w:val="22"/>
        </w:rPr>
      </w:pPr>
    </w:p>
    <w:p w:rsidR="00AD440B" w:rsidRPr="00AD440B" w:rsidP="00AD440B" w14:paraId="20DDBB48" w14:textId="77777777">
      <w:pPr>
        <w:rPr>
          <w:b/>
          <w:szCs w:val="22"/>
        </w:rPr>
      </w:pPr>
      <w:r w:rsidRPr="00AD440B">
        <w:rPr>
          <w:b/>
          <w:szCs w:val="22"/>
        </w:rPr>
        <w:t xml:space="preserve">Comments Due:  </w:t>
      </w:r>
      <w:r w:rsidR="00BB16F3">
        <w:rPr>
          <w:b/>
          <w:szCs w:val="22"/>
        </w:rPr>
        <w:t>October</w:t>
      </w:r>
      <w:r w:rsidR="00193234">
        <w:rPr>
          <w:b/>
          <w:szCs w:val="22"/>
        </w:rPr>
        <w:t xml:space="preserve"> </w:t>
      </w:r>
      <w:r w:rsidR="005B5BDB">
        <w:rPr>
          <w:b/>
          <w:szCs w:val="22"/>
        </w:rPr>
        <w:t>4</w:t>
      </w:r>
      <w:r w:rsidRPr="00AD440B">
        <w:rPr>
          <w:b/>
          <w:szCs w:val="22"/>
        </w:rPr>
        <w:t>, 202</w:t>
      </w:r>
      <w:r w:rsidR="0089666B">
        <w:rPr>
          <w:b/>
          <w:szCs w:val="22"/>
        </w:rPr>
        <w:t>2</w:t>
      </w:r>
      <w:r w:rsidRPr="00AD440B">
        <w:rPr>
          <w:b/>
          <w:szCs w:val="22"/>
        </w:rPr>
        <w:t xml:space="preserve"> </w:t>
      </w:r>
    </w:p>
    <w:p w:rsidR="00AD440B" w:rsidRPr="00AD440B" w:rsidP="00AD440B" w14:paraId="75668A3A" w14:textId="77777777">
      <w:pPr>
        <w:rPr>
          <w:b/>
          <w:szCs w:val="22"/>
        </w:rPr>
      </w:pPr>
      <w:r w:rsidRPr="00AD440B">
        <w:rPr>
          <w:b/>
          <w:szCs w:val="22"/>
        </w:rPr>
        <w:t xml:space="preserve">Reply Comment Due:  </w:t>
      </w:r>
      <w:r w:rsidR="00DC5172">
        <w:rPr>
          <w:b/>
          <w:szCs w:val="22"/>
        </w:rPr>
        <w:t>October</w:t>
      </w:r>
      <w:r w:rsidR="00193234">
        <w:rPr>
          <w:b/>
          <w:szCs w:val="22"/>
        </w:rPr>
        <w:t xml:space="preserve"> </w:t>
      </w:r>
      <w:r w:rsidR="005B5BDB">
        <w:rPr>
          <w:b/>
          <w:szCs w:val="22"/>
        </w:rPr>
        <w:t>11</w:t>
      </w:r>
      <w:r w:rsidRPr="00AD440B">
        <w:rPr>
          <w:b/>
          <w:szCs w:val="22"/>
        </w:rPr>
        <w:t>, 202</w:t>
      </w:r>
      <w:r w:rsidR="0089666B">
        <w:rPr>
          <w:b/>
          <w:szCs w:val="22"/>
        </w:rPr>
        <w:t>2</w:t>
      </w:r>
      <w:r w:rsidRPr="00AD440B">
        <w:rPr>
          <w:b/>
          <w:szCs w:val="22"/>
        </w:rPr>
        <w:t xml:space="preserve"> </w:t>
      </w:r>
    </w:p>
    <w:p w:rsidR="00AD440B" w:rsidRPr="00AD440B" w:rsidP="00AD440B" w14:paraId="79D1C170" w14:textId="77777777">
      <w:pPr>
        <w:rPr>
          <w:b/>
          <w:szCs w:val="22"/>
        </w:rPr>
      </w:pPr>
    </w:p>
    <w:p w:rsidR="00FD0D52" w:rsidP="00DC5172" w14:paraId="7EF6D4F4" w14:textId="77777777">
      <w:pPr>
        <w:autoSpaceDE w:val="0"/>
        <w:autoSpaceDN w:val="0"/>
        <w:adjustRightInd w:val="0"/>
        <w:spacing w:after="120"/>
        <w:ind w:firstLine="720"/>
      </w:pPr>
      <w:r w:rsidRPr="4E2AB46F">
        <w:t>By this Public Notice, the Wireline Competition Bureau</w:t>
      </w:r>
      <w:r w:rsidR="0042593D">
        <w:rPr>
          <w:szCs w:val="22"/>
        </w:rPr>
        <w:t xml:space="preserve"> </w:t>
      </w:r>
      <w:r w:rsidR="00E40BDC">
        <w:rPr>
          <w:szCs w:val="22"/>
        </w:rPr>
        <w:t xml:space="preserve">(Bureau) </w:t>
      </w:r>
      <w:r w:rsidRPr="4E2AB46F">
        <w:t xml:space="preserve">seeks comment from interested parties on an application filed </w:t>
      </w:r>
      <w:r w:rsidRPr="4E2AB46F" w:rsidR="2D594EE2">
        <w:t xml:space="preserve">by </w:t>
      </w:r>
      <w:bookmarkStart w:id="3" w:name="_Hlk73713070"/>
      <w:bookmarkStart w:id="4" w:name="_Hlk67917977"/>
      <w:r w:rsidRPr="4E2AB46F" w:rsidR="00114887">
        <w:t>Atlas Connectivity,</w:t>
      </w:r>
      <w:r w:rsidR="00114887">
        <w:rPr>
          <w:szCs w:val="22"/>
        </w:rPr>
        <w:t xml:space="preserve"> </w:t>
      </w:r>
      <w:r w:rsidRPr="4E2AB46F" w:rsidR="00114887">
        <w:t>LLC (Atlas)</w:t>
      </w:r>
      <w:r w:rsidRPr="4E2AB46F" w:rsidR="39DA8BB4">
        <w:t>,</w:t>
      </w:r>
      <w:r w:rsidRPr="4E2AB46F" w:rsidR="00114887">
        <w:t xml:space="preserve"> Nicholville Telco LLC (Nicholville)</w:t>
      </w:r>
      <w:r w:rsidRPr="4E2AB46F" w:rsidR="0500DE92">
        <w:t>,</w:t>
      </w:r>
      <w:r w:rsidRPr="4E2AB46F" w:rsidR="00114887">
        <w:t xml:space="preserve"> SLIC Network</w:t>
      </w:r>
      <w:r w:rsidR="00114887">
        <w:rPr>
          <w:szCs w:val="22"/>
        </w:rPr>
        <w:t xml:space="preserve"> </w:t>
      </w:r>
      <w:r w:rsidRPr="4E2AB46F" w:rsidR="00114887">
        <w:t>Solutions, Inc. (SLIC) (</w:t>
      </w:r>
      <w:bookmarkStart w:id="5" w:name="_Hlk112154008"/>
      <w:r w:rsidRPr="4E2AB46F" w:rsidR="00114887">
        <w:t>Nicholville and SLIC</w:t>
      </w:r>
      <w:r w:rsidRPr="4E2AB46F" w:rsidR="69563790">
        <w:t>,</w:t>
      </w:r>
      <w:bookmarkEnd w:id="5"/>
      <w:r w:rsidRPr="4E2AB46F" w:rsidR="00114887">
        <w:t xml:space="preserve"> together, the Licensees</w:t>
      </w:r>
      <w:r w:rsidRPr="008931FC" w:rsidR="008931FC">
        <w:rPr>
          <w:szCs w:val="22"/>
        </w:rPr>
        <w:t>)</w:t>
      </w:r>
      <w:r w:rsidRPr="196F0510" w:rsidR="55C38424">
        <w:t xml:space="preserve">, and </w:t>
      </w:r>
      <w:r w:rsidR="55C38424">
        <w:t>SDC Atlas AcquisitionCo, LLC (SDC Acquisition</w:t>
      </w:r>
      <w:r w:rsidR="00CA2DE4">
        <w:t xml:space="preserve"> or Transferee) </w:t>
      </w:r>
      <w:r>
        <w:rPr>
          <w:szCs w:val="22"/>
        </w:rPr>
        <w:t>(</w:t>
      </w:r>
      <w:r w:rsidRPr="196F0510" w:rsidR="16CB0A97">
        <w:t xml:space="preserve">Atlas, </w:t>
      </w:r>
      <w:r w:rsidR="00523E57">
        <w:t xml:space="preserve">the </w:t>
      </w:r>
      <w:r w:rsidRPr="196F0510" w:rsidR="16CB0A97">
        <w:t xml:space="preserve">Licensees, and SDC Acquisition, </w:t>
      </w:r>
      <w:r w:rsidRPr="4E2AB46F" w:rsidR="00ED6E8F">
        <w:t>collectively</w:t>
      </w:r>
      <w:r w:rsidRPr="4E2AB46F">
        <w:t>, Applicants),</w:t>
      </w:r>
      <w:r w:rsidRPr="00CD20C1">
        <w:rPr>
          <w:szCs w:val="22"/>
        </w:rPr>
        <w:t xml:space="preserve"> </w:t>
      </w:r>
      <w:r w:rsidRPr="4E2AB46F">
        <w:t>pursuant to section 214 of the Communications Act of 1934, as amended, and sections 63.03-04 of the Commission’s rules, requesting consent to transfer</w:t>
      </w:r>
      <w:r w:rsidR="00114887">
        <w:rPr>
          <w:szCs w:val="22"/>
        </w:rPr>
        <w:t xml:space="preserve"> </w:t>
      </w:r>
      <w:r w:rsidRPr="4E2AB46F" w:rsidR="00A77A14">
        <w:t>control of</w:t>
      </w:r>
      <w:r w:rsidR="001A3B07">
        <w:rPr>
          <w:szCs w:val="22"/>
        </w:rPr>
        <w:t xml:space="preserve"> </w:t>
      </w:r>
      <w:r w:rsidR="003E0BDA">
        <w:t xml:space="preserve">the Licensees </w:t>
      </w:r>
      <w:r w:rsidRPr="4E2AB46F" w:rsidR="001A3B07">
        <w:t>to</w:t>
      </w:r>
      <w:r w:rsidRPr="001A3B07" w:rsidR="001A3B07">
        <w:rPr>
          <w:szCs w:val="22"/>
        </w:rPr>
        <w:t xml:space="preserve"> </w:t>
      </w:r>
      <w:r w:rsidRPr="4E2AB46F" w:rsidR="005F4B79">
        <w:t>SDC Acquisition</w:t>
      </w:r>
      <w:r w:rsidR="00314D1F">
        <w:t xml:space="preserve"> (the Transaction)</w:t>
      </w:r>
      <w:r w:rsidR="0055505D">
        <w:rPr>
          <w:szCs w:val="22"/>
        </w:rPr>
        <w:t>.</w:t>
      </w:r>
      <w:bookmarkEnd w:id="3"/>
      <w:bookmarkEnd w:id="4"/>
      <w:r>
        <w:rPr>
          <w:vertAlign w:val="superscript"/>
        </w:rPr>
        <w:footnoteReference w:id="3"/>
      </w:r>
      <w:r w:rsidR="0055505D">
        <w:rPr>
          <w:szCs w:val="22"/>
        </w:rPr>
        <w:t xml:space="preserve"> </w:t>
      </w:r>
      <w:r w:rsidRPr="00AD440B" w:rsidR="0029098D">
        <w:rPr>
          <w:szCs w:val="22"/>
        </w:rPr>
        <w:t xml:space="preserve"> </w:t>
      </w:r>
    </w:p>
    <w:p w:rsidR="00A230E6" w:rsidP="00DC5172" w14:paraId="5E548ACD" w14:textId="77777777">
      <w:pPr>
        <w:spacing w:after="120"/>
        <w:ind w:firstLine="720"/>
      </w:pPr>
      <w:bookmarkStart w:id="6" w:name="_Hlk108012978"/>
      <w:bookmarkEnd w:id="6"/>
      <w:r>
        <w:t>Atlas</w:t>
      </w:r>
      <w:r w:rsidR="59D2D52B">
        <w:t xml:space="preserve">, </w:t>
      </w:r>
      <w:r>
        <w:t xml:space="preserve">a Delaware limited liability </w:t>
      </w:r>
      <w:r w:rsidR="51B73D10">
        <w:t xml:space="preserve">and holding </w:t>
      </w:r>
      <w:r>
        <w:t xml:space="preserve">company, </w:t>
      </w:r>
      <w:r w:rsidR="6AB7FB06">
        <w:t xml:space="preserve">wholly-owns </w:t>
      </w:r>
      <w:r>
        <w:t>Nicholville</w:t>
      </w:r>
      <w:r w:rsidR="5CFF03D0">
        <w:t xml:space="preserve"> and SLIC</w:t>
      </w:r>
      <w:r w:rsidR="27ECE3A8">
        <w:t>, both New York entities.</w:t>
      </w:r>
      <w:r>
        <w:rPr>
          <w:vertAlign w:val="superscript"/>
        </w:rPr>
        <w:footnoteReference w:id="4"/>
      </w:r>
      <w:r>
        <w:t xml:space="preserve"> </w:t>
      </w:r>
      <w:r w:rsidR="6FAE94DA">
        <w:t xml:space="preserve"> </w:t>
      </w:r>
      <w:r>
        <w:t xml:space="preserve">Nicholville </w:t>
      </w:r>
      <w:r w:rsidR="672BE416">
        <w:t xml:space="preserve">provides service as a </w:t>
      </w:r>
      <w:r>
        <w:t xml:space="preserve">rural local </w:t>
      </w:r>
      <w:r w:rsidRPr="00AA0CD9" w:rsidR="00775047">
        <w:t>incumbent</w:t>
      </w:r>
      <w:r w:rsidR="00775047">
        <w:t xml:space="preserve"> </w:t>
      </w:r>
      <w:r>
        <w:t xml:space="preserve">exchange </w:t>
      </w:r>
      <w:r>
        <w:t xml:space="preserve">carrier (LEC) </w:t>
      </w:r>
      <w:r w:rsidR="0086090E">
        <w:t xml:space="preserve">in </w:t>
      </w:r>
      <w:r w:rsidR="7B7A8DBC">
        <w:t xml:space="preserve">the </w:t>
      </w:r>
      <w:r>
        <w:t xml:space="preserve">Nicholville and Winthrop exchanges in </w:t>
      </w:r>
      <w:r w:rsidR="066751CB">
        <w:t xml:space="preserve">upstate </w:t>
      </w:r>
      <w:r>
        <w:t>New York.</w:t>
      </w:r>
      <w:r>
        <w:rPr>
          <w:vertAlign w:val="superscript"/>
        </w:rPr>
        <w:footnoteReference w:id="5"/>
      </w:r>
      <w:r w:rsidRPr="00A56C1A">
        <w:rPr>
          <w:vertAlign w:val="superscript"/>
        </w:rPr>
        <w:t xml:space="preserve"> </w:t>
      </w:r>
      <w:r w:rsidR="61F860CB">
        <w:t xml:space="preserve"> </w:t>
      </w:r>
      <w:r w:rsidR="00AA0CD9">
        <w:t>Nicholville is also an Eligible Telecommunications Carrier (ETC) in New York.</w:t>
      </w:r>
      <w:r>
        <w:rPr>
          <w:rStyle w:val="FootnoteReference"/>
        </w:rPr>
        <w:footnoteReference w:id="6"/>
      </w:r>
      <w:r w:rsidR="00AA0CD9">
        <w:t xml:space="preserve">  </w:t>
      </w:r>
      <w:r>
        <w:t xml:space="preserve">SLIC </w:t>
      </w:r>
      <w:r w:rsidR="7913B584">
        <w:t xml:space="preserve">provides </w:t>
      </w:r>
      <w:r w:rsidR="4E55569E">
        <w:t>service as</w:t>
      </w:r>
      <w:r>
        <w:t xml:space="preserve"> a competitive LEC in the North Country of the State of New York</w:t>
      </w:r>
      <w:r w:rsidR="00AD1BE0">
        <w:t>, and also holds an ETC designation in New York</w:t>
      </w:r>
      <w:r w:rsidR="00AA0CD9">
        <w:t>.</w:t>
      </w:r>
      <w:r>
        <w:rPr>
          <w:vertAlign w:val="superscript"/>
        </w:rPr>
        <w:footnoteReference w:id="7"/>
      </w:r>
      <w:r w:rsidR="61C6D5C5">
        <w:t xml:space="preserve">  </w:t>
      </w:r>
      <w:r w:rsidR="00ED4A15">
        <w:t>SLIC</w:t>
      </w:r>
      <w:r w:rsidR="00AD1BE0">
        <w:rPr>
          <w:szCs w:val="22"/>
        </w:rPr>
        <w:t xml:space="preserve"> </w:t>
      </w:r>
      <w:r w:rsidRPr="009A6314" w:rsidR="00AD1BE0">
        <w:rPr>
          <w:szCs w:val="22"/>
        </w:rPr>
        <w:t xml:space="preserve">receives </w:t>
      </w:r>
      <w:r w:rsidRPr="009A6314" w:rsidR="00AD1BE0">
        <w:rPr>
          <w:snapToGrid w:val="0"/>
          <w:kern w:val="28"/>
          <w:szCs w:val="22"/>
        </w:rPr>
        <w:t>Connect America Fund (CAF) Phase II Auction 903 support</w:t>
      </w:r>
      <w:r w:rsidRPr="009A6314" w:rsidR="00AD1BE0">
        <w:rPr>
          <w:szCs w:val="22"/>
        </w:rPr>
        <w:t xml:space="preserve"> in </w:t>
      </w:r>
      <w:r w:rsidR="00AD1BE0">
        <w:rPr>
          <w:szCs w:val="22"/>
        </w:rPr>
        <w:t xml:space="preserve">New </w:t>
      </w:r>
      <w:r w:rsidR="006013F5">
        <w:rPr>
          <w:szCs w:val="22"/>
        </w:rPr>
        <w:t>York</w:t>
      </w:r>
      <w:r w:rsidR="00AD1BE0">
        <w:rPr>
          <w:szCs w:val="22"/>
        </w:rPr>
        <w:t>.</w:t>
      </w:r>
      <w:r>
        <w:rPr>
          <w:szCs w:val="22"/>
          <w:vertAlign w:val="superscript"/>
        </w:rPr>
        <w:footnoteReference w:id="8"/>
      </w:r>
      <w:r w:rsidRPr="009A6314" w:rsidR="00AD1BE0">
        <w:rPr>
          <w:szCs w:val="22"/>
        </w:rPr>
        <w:t xml:space="preserve">  On </w:t>
      </w:r>
      <w:r w:rsidR="00AD1BE0">
        <w:rPr>
          <w:szCs w:val="22"/>
        </w:rPr>
        <w:t>April 15</w:t>
      </w:r>
      <w:r w:rsidRPr="009A6314" w:rsidR="00AD1BE0">
        <w:rPr>
          <w:szCs w:val="22"/>
        </w:rPr>
        <w:t>, 2022, the Bureau authorized</w:t>
      </w:r>
      <w:r w:rsidR="00AD1BE0">
        <w:rPr>
          <w:szCs w:val="22"/>
        </w:rPr>
        <w:t xml:space="preserve"> SLIC</w:t>
      </w:r>
      <w:r w:rsidR="002832FB">
        <w:rPr>
          <w:szCs w:val="22"/>
        </w:rPr>
        <w:t xml:space="preserve"> </w:t>
      </w:r>
      <w:r w:rsidRPr="009A6314" w:rsidR="00AD1BE0">
        <w:rPr>
          <w:szCs w:val="22"/>
        </w:rPr>
        <w:t>to receive $</w:t>
      </w:r>
      <w:r w:rsidR="00670515">
        <w:rPr>
          <w:szCs w:val="22"/>
        </w:rPr>
        <w:t>978,722</w:t>
      </w:r>
      <w:r w:rsidRPr="009A6314" w:rsidR="00AD1BE0">
        <w:rPr>
          <w:szCs w:val="22"/>
        </w:rPr>
        <w:t xml:space="preserve"> </w:t>
      </w:r>
      <w:r w:rsidR="00AD1BE0">
        <w:rPr>
          <w:szCs w:val="22"/>
        </w:rPr>
        <w:t xml:space="preserve">of </w:t>
      </w:r>
      <w:r w:rsidRPr="009A6314" w:rsidR="00AD1BE0">
        <w:rPr>
          <w:szCs w:val="22"/>
        </w:rPr>
        <w:t xml:space="preserve">Rural Digital Opportunity Fund (RDOF) Auction 904 support to provide service to </w:t>
      </w:r>
      <w:r w:rsidR="00ED4A15">
        <w:rPr>
          <w:szCs w:val="22"/>
        </w:rPr>
        <w:t xml:space="preserve">3,660 </w:t>
      </w:r>
      <w:r w:rsidRPr="009A6314" w:rsidR="00AD1BE0">
        <w:rPr>
          <w:szCs w:val="22"/>
        </w:rPr>
        <w:t xml:space="preserve">locations in </w:t>
      </w:r>
      <w:r w:rsidR="00AD1BE0">
        <w:rPr>
          <w:szCs w:val="22"/>
        </w:rPr>
        <w:t xml:space="preserve">New </w:t>
      </w:r>
      <w:r w:rsidR="00ED4A15">
        <w:rPr>
          <w:szCs w:val="22"/>
        </w:rPr>
        <w:t>York.</w:t>
      </w:r>
      <w:r>
        <w:rPr>
          <w:rStyle w:val="FootnoteReference"/>
        </w:rPr>
        <w:footnoteReference w:id="9"/>
      </w:r>
    </w:p>
    <w:p w:rsidR="4E2AB46F" w:rsidP="00983CC2" w14:paraId="6C5DC58B" w14:textId="77777777">
      <w:pPr>
        <w:spacing w:after="120"/>
        <w:ind w:firstLine="720"/>
      </w:pPr>
      <w:r>
        <w:t>SDC Acquisition</w:t>
      </w:r>
      <w:r w:rsidR="66A77B42">
        <w:t>,</w:t>
      </w:r>
      <w:r>
        <w:t xml:space="preserve"> </w:t>
      </w:r>
      <w:r w:rsidR="7B904025">
        <w:t xml:space="preserve">a </w:t>
      </w:r>
      <w:r w:rsidRPr="00F66CC3">
        <w:t>Delaware limited liability company</w:t>
      </w:r>
      <w:r w:rsidRPr="00F66CC3" w:rsidR="77D592F5">
        <w:t xml:space="preserve"> formed for the purposes of this transaction</w:t>
      </w:r>
      <w:r w:rsidRPr="00F66CC3">
        <w:t xml:space="preserve">, </w:t>
      </w:r>
      <w:r w:rsidRPr="00F66CC3" w:rsidR="0F8BE962">
        <w:t xml:space="preserve">is </w:t>
      </w:r>
      <w:r w:rsidRPr="00F66CC3">
        <w:t>indirect</w:t>
      </w:r>
      <w:r>
        <w:t>ly</w:t>
      </w:r>
      <w:r w:rsidR="379B2633">
        <w:t xml:space="preserve"> </w:t>
      </w:r>
      <w:r w:rsidR="6D5FA396">
        <w:t xml:space="preserve">and </w:t>
      </w:r>
      <w:r>
        <w:t>wholly</w:t>
      </w:r>
      <w:r w:rsidR="29CE45E8">
        <w:t>-</w:t>
      </w:r>
      <w:r>
        <w:t>owned by SDC Digital Infrastructure Opportunity Fund III, L.P. (the SDC Fund</w:t>
      </w:r>
      <w:r w:rsidR="6B208EA8">
        <w:t xml:space="preserve"> III</w:t>
      </w:r>
      <w:r>
        <w:t>), a</w:t>
      </w:r>
      <w:r w:rsidR="41AC1D3C">
        <w:t xml:space="preserve"> Delaware</w:t>
      </w:r>
      <w:r>
        <w:t xml:space="preserve"> investment fund</w:t>
      </w:r>
      <w:r w:rsidR="23369372">
        <w:t xml:space="preserve"> </w:t>
      </w:r>
      <w:r w:rsidR="359CA014">
        <w:t xml:space="preserve">that is </w:t>
      </w:r>
      <w:r>
        <w:t>ultimately controlled by an affiliate of SDC Capital Partners, LLC</w:t>
      </w:r>
      <w:r w:rsidR="5D636DB9">
        <w:t>, a New York based investment firm</w:t>
      </w:r>
      <w:r>
        <w:t>.</w:t>
      </w:r>
      <w:r>
        <w:rPr>
          <w:vertAlign w:val="superscript"/>
        </w:rPr>
        <w:footnoteReference w:id="10"/>
      </w:r>
      <w:r w:rsidR="00983CC2">
        <w:t xml:space="preserve">  </w:t>
      </w:r>
      <w:r w:rsidRPr="00983CC2" w:rsidR="00983CC2">
        <w:t>The SDC Fund III is held by SDC Digital Infrastructure III UGP, LLC (SDC UGP) (approximately 86%</w:t>
      </w:r>
      <w:r w:rsidR="00BB49B1">
        <w:t xml:space="preserve"> equity</w:t>
      </w:r>
      <w:r w:rsidRPr="00983CC2" w:rsidR="00983CC2">
        <w:t>) and the Texas Municipal Retirement System (approximately 11%</w:t>
      </w:r>
      <w:r w:rsidR="00BB49B1">
        <w:t xml:space="preserve"> equity</w:t>
      </w:r>
      <w:r w:rsidRPr="00983CC2" w:rsidR="00983CC2">
        <w:t>), both U.S. entities.</w:t>
      </w:r>
      <w:r>
        <w:rPr>
          <w:rStyle w:val="FootnoteReference"/>
        </w:rPr>
        <w:footnoteReference w:id="11"/>
      </w:r>
      <w:r w:rsidRPr="00983CC2" w:rsidR="00983CC2">
        <w:t xml:space="preserve">  The members of </w:t>
      </w:r>
      <w:r w:rsidRPr="00EE5718" w:rsidR="00983CC2">
        <w:t>SDC UGP are TMA DIOF Holdings III, LLC (TMA Holdings) (62% equity and 50% voting) and DMK DIOF Holdings III, LP (DMK LP) (38% equity and 50% voting).</w:t>
      </w:r>
      <w:r>
        <w:rPr>
          <w:rStyle w:val="FootnoteReference"/>
        </w:rPr>
        <w:footnoteReference w:id="12"/>
      </w:r>
      <w:r w:rsidRPr="00983CC2" w:rsidR="00983CC2">
        <w:t xml:space="preserve">  TMA Holdings is owned by Jessica Aaron (25%) and Todd Aaron (75%), both U.S. citizens.</w:t>
      </w:r>
      <w:r>
        <w:rPr>
          <w:rStyle w:val="FootnoteReference"/>
        </w:rPr>
        <w:footnoteReference w:id="13"/>
      </w:r>
      <w:r w:rsidRPr="00983CC2" w:rsidR="00983CC2">
        <w:t xml:space="preserve">  The only 10% or greater interest holder of DMK LP is Douglas Kaden (49%</w:t>
      </w:r>
      <w:r w:rsidR="00BB49B1">
        <w:t xml:space="preserve"> equity</w:t>
      </w:r>
      <w:r w:rsidRPr="00983CC2" w:rsidR="00983CC2">
        <w:t>), a U.S. citizen.</w:t>
      </w:r>
      <w:r>
        <w:rPr>
          <w:rStyle w:val="FootnoteReference"/>
        </w:rPr>
        <w:footnoteReference w:id="14"/>
      </w:r>
      <w:r w:rsidR="00983CC2">
        <w:t xml:space="preserve">  Applicants state that other than what is disclosed in the Application, SDC Acquisition does not hold a 10% or greater interest in any other provider of domestic telecommunications services.</w:t>
      </w:r>
      <w:r>
        <w:rPr>
          <w:rStyle w:val="FootnoteReference"/>
        </w:rPr>
        <w:footnoteReference w:id="15"/>
      </w:r>
    </w:p>
    <w:p w:rsidR="4E2AB46F" w:rsidP="00DC5172" w14:paraId="647054FD" w14:textId="77777777">
      <w:pPr>
        <w:spacing w:after="120"/>
        <w:ind w:firstLine="720"/>
      </w:pPr>
      <w:r>
        <w:t xml:space="preserve">Pursuant to terms of the proposed transaction, </w:t>
      </w:r>
      <w:bookmarkStart w:id="7" w:name="_Hlk83807160"/>
      <w:r w:rsidR="00A7446F">
        <w:t>Atlas will become a direct, wholly-owned subsidiary of SDC Acquisition</w:t>
      </w:r>
      <w:r w:rsidR="00D60436">
        <w:t>,</w:t>
      </w:r>
      <w:r w:rsidR="2A2F1D5A">
        <w:t xml:space="preserve"> and </w:t>
      </w:r>
      <w:r w:rsidR="00A7446F">
        <w:t>Nicholville and SLIC will become indirect, wholly-owned subsidiaries of SDC Acquisition.</w:t>
      </w:r>
      <w:bookmarkEnd w:id="7"/>
      <w:r>
        <w:rPr>
          <w:vertAlign w:val="superscript"/>
        </w:rPr>
        <w:footnoteReference w:id="16"/>
      </w:r>
      <w:r w:rsidRPr="00A56C1A" w:rsidR="00E70C10">
        <w:rPr>
          <w:vertAlign w:val="superscript"/>
        </w:rPr>
        <w:t xml:space="preserve"> </w:t>
      </w:r>
      <w:r w:rsidR="00E70C10">
        <w:t xml:space="preserve"> </w:t>
      </w:r>
      <w:r w:rsidR="005A51D6">
        <w:t xml:space="preserve"> </w:t>
      </w:r>
    </w:p>
    <w:p w:rsidR="00994779" w:rsidRPr="00DC2155" w:rsidP="00DC2155" w14:paraId="4479528A" w14:textId="77777777">
      <w:pPr>
        <w:autoSpaceDE w:val="0"/>
        <w:autoSpaceDN w:val="0"/>
        <w:adjustRightInd w:val="0"/>
        <w:spacing w:after="120"/>
        <w:ind w:firstLine="720"/>
        <w:rPr>
          <w:szCs w:val="22"/>
        </w:rPr>
      </w:pPr>
      <w:r w:rsidRPr="00EA5EC7">
        <w:rPr>
          <w:bCs/>
        </w:rPr>
        <w:t>Applicants assert that a grant of the Application would serve the public interest, convenience, and necessity.</w:t>
      </w:r>
      <w:r>
        <w:rPr>
          <w:rStyle w:val="FootnoteReference"/>
          <w:bCs/>
        </w:rPr>
        <w:footnoteReference w:id="17"/>
      </w:r>
      <w:r w:rsidRPr="00EA5EC7">
        <w:rPr>
          <w:bCs/>
        </w:rPr>
        <w:t xml:space="preserve"> </w:t>
      </w:r>
      <w:r w:rsidR="00997950">
        <w:rPr>
          <w:bCs/>
        </w:rPr>
        <w:t xml:space="preserve"> </w:t>
      </w:r>
      <w:r w:rsidRPr="00DC2155" w:rsidR="00CF13B7">
        <w:rPr>
          <w:szCs w:val="22"/>
        </w:rPr>
        <w:t xml:space="preserve">They </w:t>
      </w:r>
      <w:r w:rsidR="00106DEE">
        <w:rPr>
          <w:szCs w:val="22"/>
        </w:rPr>
        <w:t>affirm that SLIC will</w:t>
      </w:r>
      <w:r w:rsidR="006D49EB">
        <w:rPr>
          <w:szCs w:val="22"/>
        </w:rPr>
        <w:t xml:space="preserve"> continue</w:t>
      </w:r>
      <w:r w:rsidR="00106DEE">
        <w:rPr>
          <w:szCs w:val="22"/>
        </w:rPr>
        <w:t xml:space="preserve"> to meets its CAF-II and RDOF obligations post-transaction, and that </w:t>
      </w:r>
      <w:r w:rsidR="006D49EB">
        <w:rPr>
          <w:szCs w:val="22"/>
        </w:rPr>
        <w:t>Transferee</w:t>
      </w:r>
      <w:r w:rsidR="00106DEE">
        <w:rPr>
          <w:szCs w:val="22"/>
        </w:rPr>
        <w:t xml:space="preserve"> will provide Licensees with additional financial and operational resources to </w:t>
      </w:r>
      <w:r w:rsidR="0073062D">
        <w:rPr>
          <w:szCs w:val="22"/>
        </w:rPr>
        <w:t xml:space="preserve">invest in fiber deployment and </w:t>
      </w:r>
      <w:r w:rsidR="00106DEE">
        <w:rPr>
          <w:szCs w:val="22"/>
        </w:rPr>
        <w:t xml:space="preserve">meet </w:t>
      </w:r>
      <w:r w:rsidR="00EF3C58">
        <w:rPr>
          <w:szCs w:val="22"/>
        </w:rPr>
        <w:t xml:space="preserve">all of </w:t>
      </w:r>
      <w:r w:rsidR="00106DEE">
        <w:rPr>
          <w:szCs w:val="22"/>
        </w:rPr>
        <w:t>their universal service obligations.</w:t>
      </w:r>
      <w:r>
        <w:rPr>
          <w:rStyle w:val="FootnoteReference"/>
          <w:szCs w:val="22"/>
        </w:rPr>
        <w:footnoteReference w:id="18"/>
      </w:r>
      <w:r w:rsidR="00106DEE">
        <w:rPr>
          <w:szCs w:val="22"/>
        </w:rPr>
        <w:t xml:space="preserve"> </w:t>
      </w:r>
      <w:r w:rsidR="006D49EB">
        <w:rPr>
          <w:szCs w:val="22"/>
        </w:rPr>
        <w:t xml:space="preserve">They further affirm that </w:t>
      </w:r>
      <w:r w:rsidRPr="00DC2155">
        <w:rPr>
          <w:szCs w:val="22"/>
        </w:rPr>
        <w:t xml:space="preserve">do not expect changes with respect to Licensees’ management and technology following completion of the </w:t>
      </w:r>
      <w:r w:rsidR="0073062D">
        <w:rPr>
          <w:szCs w:val="22"/>
        </w:rPr>
        <w:t>proposed t</w:t>
      </w:r>
      <w:r w:rsidRPr="00DC2155">
        <w:rPr>
          <w:szCs w:val="22"/>
        </w:rPr>
        <w:t>ransaction</w:t>
      </w:r>
      <w:r w:rsidR="006D49EB">
        <w:rPr>
          <w:szCs w:val="22"/>
        </w:rPr>
        <w:t>, and that “e</w:t>
      </w:r>
      <w:r w:rsidRPr="00DC2155">
        <w:rPr>
          <w:szCs w:val="22"/>
        </w:rPr>
        <w:t xml:space="preserve">xisting debt of Atlas and SLIC will be paid off at closing and subsequently may be replaced by new debt facilities. </w:t>
      </w:r>
      <w:r w:rsidRPr="00DC2155" w:rsidR="005A51D6">
        <w:rPr>
          <w:szCs w:val="22"/>
        </w:rPr>
        <w:t xml:space="preserve"> </w:t>
      </w:r>
      <w:r w:rsidRPr="00DC2155">
        <w:rPr>
          <w:szCs w:val="22"/>
        </w:rPr>
        <w:t>Nicholville currently does not have third-party debt and will not incur debt following completion of the Transaction.”</w:t>
      </w:r>
      <w:r>
        <w:rPr>
          <w:rStyle w:val="FootnoteReference"/>
          <w:szCs w:val="22"/>
        </w:rPr>
        <w:footnoteReference w:id="19"/>
      </w:r>
      <w:r w:rsidRPr="00DC2155" w:rsidR="00EA5EC7">
        <w:rPr>
          <w:szCs w:val="22"/>
        </w:rPr>
        <w:t xml:space="preserve">  </w:t>
      </w:r>
    </w:p>
    <w:p w:rsidR="00031C8B" w:rsidRPr="0044009A" w:rsidP="00DC5172" w14:paraId="7D604FCC" w14:textId="77777777">
      <w:pPr>
        <w:autoSpaceDE w:val="0"/>
        <w:autoSpaceDN w:val="0"/>
        <w:adjustRightInd w:val="0"/>
        <w:spacing w:after="120"/>
        <w:ind w:firstLine="720"/>
      </w:pPr>
      <w:r>
        <w:t>A</w:t>
      </w:r>
      <w:r w:rsidRPr="00165038" w:rsidR="000C1460">
        <w:t xml:space="preserve">pplicants request streamlined </w:t>
      </w:r>
      <w:r>
        <w:t>processing for the Application,</w:t>
      </w:r>
      <w:r>
        <w:rPr>
          <w:rStyle w:val="FootnoteReference"/>
        </w:rPr>
        <w:footnoteReference w:id="20"/>
      </w:r>
      <w:r>
        <w:t xml:space="preserve"> however, b</w:t>
      </w:r>
      <w:r w:rsidRPr="00392AD5" w:rsidR="00392AD5">
        <w:t>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Pr>
          <w:rStyle w:val="FootnoteReference"/>
        </w:rPr>
        <w:footnoteReference w:id="21"/>
      </w:r>
    </w:p>
    <w:p w:rsidR="0044009A" w:rsidP="00E94F15" w14:paraId="72E232E0"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064FAD" w:rsidP="00064FAD" w14:paraId="6AC6BF9F" w14:textId="77777777">
      <w:pPr>
        <w:ind w:left="720"/>
      </w:pPr>
      <w:r>
        <w:t xml:space="preserve">Nicholville Telco LLC, </w:t>
      </w:r>
      <w:r w:rsidR="2037E8DA">
        <w:t>a</w:t>
      </w:r>
      <w:r>
        <w:t xml:space="preserve">nd SLIC Network Solutions, Inc. </w:t>
      </w:r>
      <w:r w:rsidR="17970F30">
        <w:t>t</w:t>
      </w:r>
      <w:r>
        <w:t xml:space="preserve">o </w:t>
      </w:r>
    </w:p>
    <w:p w:rsidR="00AD440B" w:rsidRPr="00AD440B" w:rsidP="00064FAD" w14:paraId="65B22787" w14:textId="77777777">
      <w:pPr>
        <w:ind w:left="720"/>
      </w:pPr>
      <w:r>
        <w:t>SDC Atlas AcquisitionCo, LLC</w:t>
      </w:r>
      <w:r w:rsidR="00E94F15">
        <w:t>,</w:t>
      </w:r>
      <w:r w:rsidR="00366BC6">
        <w:t xml:space="preserve"> </w:t>
      </w:r>
      <w:r w:rsidR="000C1460">
        <w:t>WC Docket No. 2</w:t>
      </w:r>
      <w:r w:rsidR="00554D90">
        <w:t>2</w:t>
      </w:r>
      <w:r w:rsidR="000C1460">
        <w:t>-</w:t>
      </w:r>
      <w:r w:rsidR="00834136">
        <w:t>3</w:t>
      </w:r>
      <w:r w:rsidR="00CF046F">
        <w:t>0</w:t>
      </w:r>
      <w:r>
        <w:t>9</w:t>
      </w:r>
      <w:r w:rsidR="000C1460">
        <w:t xml:space="preserve"> (filed </w:t>
      </w:r>
      <w:r w:rsidR="00CF046F">
        <w:t>Aug.</w:t>
      </w:r>
      <w:r w:rsidR="006E5548">
        <w:t xml:space="preserve"> </w:t>
      </w:r>
      <w:r>
        <w:t>22</w:t>
      </w:r>
      <w:r w:rsidR="000C1460">
        <w:t>, 202</w:t>
      </w:r>
      <w:r w:rsidR="00B07676">
        <w:t>2</w:t>
      </w:r>
      <w:r w:rsidR="000C1460">
        <w:t>).</w:t>
      </w:r>
    </w:p>
    <w:p w:rsidR="00AD440B" w:rsidRPr="00AD440B" w:rsidP="00AD440B" w14:paraId="7EA34E1D" w14:textId="77777777">
      <w:pPr>
        <w:widowControl w:val="0"/>
        <w:rPr>
          <w:snapToGrid w:val="0"/>
          <w:kern w:val="28"/>
          <w:szCs w:val="22"/>
        </w:rPr>
      </w:pPr>
    </w:p>
    <w:p w:rsidR="00AD440B" w:rsidRPr="00AD440B" w:rsidP="00AD440B" w14:paraId="59F8BA33" w14:textId="77777777">
      <w:pPr>
        <w:autoSpaceDE w:val="0"/>
        <w:autoSpaceDN w:val="0"/>
        <w:adjustRightInd w:val="0"/>
        <w:rPr>
          <w:szCs w:val="22"/>
        </w:rPr>
      </w:pPr>
      <w:r w:rsidRPr="00AD440B">
        <w:rPr>
          <w:b/>
          <w:szCs w:val="22"/>
          <w:u w:val="single"/>
        </w:rPr>
        <w:t>GENERAL INFORMATION</w:t>
      </w:r>
    </w:p>
    <w:p w:rsidR="00AD440B" w:rsidRPr="00AD440B" w:rsidP="00AD440B" w14:paraId="360C268C" w14:textId="77777777">
      <w:pPr>
        <w:autoSpaceDE w:val="0"/>
        <w:autoSpaceDN w:val="0"/>
        <w:adjustRightInd w:val="0"/>
        <w:rPr>
          <w:szCs w:val="22"/>
        </w:rPr>
      </w:pPr>
    </w:p>
    <w:p w:rsidR="00BB16F3" w:rsidRPr="00EC66CA" w:rsidP="00BB16F3" w14:paraId="0B2F918B"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BB16F3" w:rsidRPr="00EC66CA" w:rsidP="00BB16F3" w14:paraId="3AEF3C51" w14:textId="77777777">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Pr>
          <w:b/>
          <w:szCs w:val="22"/>
        </w:rPr>
        <w:t xml:space="preserve">October </w:t>
      </w:r>
      <w:r w:rsidR="005B5BDB">
        <w:rPr>
          <w:b/>
          <w:szCs w:val="22"/>
        </w:rPr>
        <w:t>4</w:t>
      </w:r>
      <w:r>
        <w:rPr>
          <w:b/>
          <w:szCs w:val="22"/>
        </w:rPr>
        <w:t>,</w:t>
      </w:r>
      <w:r w:rsidRPr="006F586C">
        <w:rPr>
          <w:b/>
          <w:szCs w:val="22"/>
        </w:rPr>
        <w:t xml:space="preserve"> 202</w:t>
      </w:r>
      <w:r>
        <w:rPr>
          <w:b/>
          <w:szCs w:val="22"/>
        </w:rPr>
        <w:t>2</w:t>
      </w:r>
      <w:r w:rsidRPr="006F586C">
        <w:rPr>
          <w:szCs w:val="22"/>
        </w:rPr>
        <w:t xml:space="preserve">, and reply comments </w:t>
      </w:r>
      <w:r w:rsidRPr="006F586C">
        <w:rPr>
          <w:b/>
          <w:szCs w:val="22"/>
        </w:rPr>
        <w:t xml:space="preserve">on or before </w:t>
      </w:r>
      <w:r>
        <w:rPr>
          <w:b/>
          <w:szCs w:val="22"/>
        </w:rPr>
        <w:t>October</w:t>
      </w:r>
      <w:r w:rsidR="005B5BDB">
        <w:rPr>
          <w:b/>
          <w:szCs w:val="22"/>
        </w:rPr>
        <w:t xml:space="preserve"> 11</w:t>
      </w:r>
      <w:r w:rsidRPr="006F586C">
        <w:rPr>
          <w:b/>
          <w:szCs w:val="22"/>
        </w:rPr>
        <w:t>, 202</w:t>
      </w:r>
      <w:r>
        <w:rPr>
          <w:b/>
          <w:szCs w:val="22"/>
        </w:rPr>
        <w:t>2</w:t>
      </w:r>
      <w:r w:rsidRPr="006F586C">
        <w:rPr>
          <w:szCs w:val="22"/>
        </w:rPr>
        <w:t>.</w:t>
      </w:r>
      <w:r w:rsidRPr="00CB2908">
        <w:rPr>
          <w:szCs w:val="22"/>
        </w:rPr>
        <w:t xml:space="preserve">  </w:t>
      </w:r>
      <w:r w:rsidRPr="00EC66CA">
        <w:rPr>
          <w:szCs w:val="22"/>
        </w:rPr>
        <w:t>Comments may be filed using the Commission’s Electronic Comment Filing System (ECFS) or by paper.  </w:t>
      </w:r>
    </w:p>
    <w:p w:rsidR="00BB16F3" w:rsidP="00BB16F3" w14:paraId="06E9B975"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Pr>
          <w:rStyle w:val="Hyperlink"/>
          <w:szCs w:val="22"/>
        </w:rPr>
        <w:t xml:space="preserve"> </w:t>
      </w:r>
      <w:r>
        <w:rPr>
          <w:szCs w:val="22"/>
        </w:rPr>
        <w:t>.</w:t>
      </w:r>
    </w:p>
    <w:p w:rsidR="00BB16F3" w:rsidRPr="00EC66CA" w:rsidP="00BB16F3" w14:paraId="4F7C82A9" w14:textId="77777777">
      <w:pPr>
        <w:autoSpaceDE w:val="0"/>
        <w:autoSpaceDN w:val="0"/>
        <w:adjustRightInd w:val="0"/>
        <w:ind w:left="720"/>
        <w:rPr>
          <w:szCs w:val="22"/>
        </w:rPr>
      </w:pPr>
    </w:p>
    <w:p w:rsidR="00BB16F3" w:rsidP="00BB16F3" w14:paraId="76AD8055"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B16F3" w:rsidRPr="004D7912" w:rsidP="00BB16F3" w14:paraId="79212F24" w14:textId="77777777">
      <w:pPr>
        <w:autoSpaceDE w:val="0"/>
        <w:autoSpaceDN w:val="0"/>
        <w:adjustRightInd w:val="0"/>
        <w:ind w:left="720"/>
        <w:rPr>
          <w:szCs w:val="22"/>
        </w:rPr>
      </w:pPr>
    </w:p>
    <w:p w:rsidR="00BB16F3" w:rsidRPr="004D7912" w:rsidP="00BB16F3" w14:paraId="091A786F"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2"/>
      </w:r>
      <w:r w:rsidRPr="004D7912">
        <w:rPr>
          <w:szCs w:val="22"/>
        </w:rPr>
        <w:t xml:space="preserve">  All filings must be addressed to the Commission’s Secretary, Office of the Secretary, Federal Communications Commission.</w:t>
      </w:r>
    </w:p>
    <w:p w:rsidR="00BB16F3" w:rsidRPr="0011311D" w:rsidP="00BB16F3" w14:paraId="578AF3A5"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BB16F3" w:rsidRPr="0075291B" w:rsidP="00BB16F3" w14:paraId="08B1D910" w14:textId="77777777">
      <w:pPr>
        <w:autoSpaceDE w:val="0"/>
        <w:autoSpaceDN w:val="0"/>
        <w:adjustRightInd w:val="0"/>
        <w:rPr>
          <w:szCs w:val="22"/>
        </w:rPr>
      </w:pPr>
    </w:p>
    <w:p w:rsidR="00BB16F3" w:rsidP="00BB16F3" w14:paraId="29E0DF4E"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9" w:tgtFrame="_blank" w:history="1">
        <w:r w:rsidRPr="009B1CCF">
          <w:rPr>
            <w:rStyle w:val="Hyperlink"/>
            <w:szCs w:val="22"/>
          </w:rPr>
          <w:t>fcc504@fcc.gov</w:t>
        </w:r>
      </w:hyperlink>
      <w:r w:rsidRPr="009B1CCF">
        <w:rPr>
          <w:szCs w:val="22"/>
        </w:rPr>
        <w:t> or call the Consumer and Governmental Affairs Bureau at (202) 418-0530.</w:t>
      </w:r>
    </w:p>
    <w:p w:rsidR="00AD440B" w:rsidRPr="00AD440B" w:rsidP="00AD440B" w14:paraId="32E3786C"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FE122A" w:rsidP="00A56C1A" w14:paraId="5B8F8CD7" w14:textId="77777777">
      <w:pPr>
        <w:widowControl w:val="0"/>
        <w:numPr>
          <w:ilvl w:val="0"/>
          <w:numId w:val="18"/>
        </w:numPr>
        <w:autoSpaceDE w:val="0"/>
        <w:autoSpaceDN w:val="0"/>
        <w:adjustRightInd w:val="0"/>
        <w:spacing w:after="120"/>
      </w:pPr>
      <w:r>
        <w:t>Gregory Kwan</w:t>
      </w:r>
      <w:r w:rsidR="00594E8C">
        <w:t xml:space="preserve">, Competition Policy Division, Wireline Competition Bureau, </w:t>
      </w:r>
      <w:hyperlink r:id="rId10" w:history="1">
        <w:r w:rsidRPr="00C9720B" w:rsidR="00A56C1A">
          <w:rPr>
            <w:rStyle w:val="Hyperlink"/>
          </w:rPr>
          <w:t>gregory.kwan@fcc.gov</w:t>
        </w:r>
      </w:hyperlink>
      <w:r w:rsidR="00A56C1A">
        <w:t>;</w:t>
      </w:r>
      <w:r w:rsidR="31B81A66">
        <w:t xml:space="preserve"> </w:t>
      </w:r>
      <w:r w:rsidR="00594E8C">
        <w:t xml:space="preserve"> </w:t>
      </w:r>
    </w:p>
    <w:p w:rsidR="00FE122A" w:rsidP="00FE122A" w14:paraId="2D1B0A7E" w14:textId="77777777">
      <w:pPr>
        <w:widowControl w:val="0"/>
        <w:numPr>
          <w:ilvl w:val="0"/>
          <w:numId w:val="18"/>
        </w:numPr>
        <w:autoSpaceDE w:val="0"/>
        <w:autoSpaceDN w:val="0"/>
        <w:adjustRightInd w:val="0"/>
        <w:spacing w:after="120"/>
        <w:rPr>
          <w:szCs w:val="22"/>
        </w:rPr>
      </w:pPr>
      <w:r>
        <w:rPr>
          <w:szCs w:val="22"/>
        </w:rPr>
        <w:t xml:space="preserve">David Krech and </w:t>
      </w:r>
      <w:r w:rsidRPr="00FE122A" w:rsidR="000C1460">
        <w:rPr>
          <w:szCs w:val="22"/>
        </w:rPr>
        <w:t xml:space="preserve">Sumita Mukhoty, Telecommunications and Analysis Division, International Bureau, </w:t>
      </w:r>
      <w:hyperlink r:id="rId11" w:history="1">
        <w:r w:rsidRPr="004A3FBF">
          <w:rPr>
            <w:rStyle w:val="Hyperlink"/>
            <w:szCs w:val="22"/>
          </w:rPr>
          <w:t>david.krech@fcc.gov</w:t>
        </w:r>
      </w:hyperlink>
      <w:r>
        <w:rPr>
          <w:szCs w:val="22"/>
        </w:rPr>
        <w:t xml:space="preserve">; </w:t>
      </w:r>
      <w:hyperlink r:id="rId12" w:history="1">
        <w:r w:rsidRPr="00FE122A" w:rsidR="000C1460">
          <w:rPr>
            <w:rStyle w:val="Hyperlink"/>
            <w:szCs w:val="22"/>
          </w:rPr>
          <w:t>sumita.mukhoty@fcc.gov</w:t>
        </w:r>
      </w:hyperlink>
      <w:r w:rsidRPr="00FE122A" w:rsidR="000C1460">
        <w:rPr>
          <w:szCs w:val="22"/>
        </w:rPr>
        <w:t>; and</w:t>
      </w:r>
    </w:p>
    <w:p w:rsidR="00AD440B" w:rsidRPr="00FE122A" w:rsidP="00FE122A" w14:paraId="016E5D51"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3" w:history="1">
        <w:r w:rsidRPr="00FE122A">
          <w:rPr>
            <w:color w:val="0000FF"/>
            <w:szCs w:val="22"/>
            <w:u w:val="single"/>
          </w:rPr>
          <w:t>jim.bird@fcc.gov</w:t>
        </w:r>
      </w:hyperlink>
      <w:r w:rsidRPr="00FE122A">
        <w:rPr>
          <w:szCs w:val="22"/>
        </w:rPr>
        <w:t>.</w:t>
      </w:r>
    </w:p>
    <w:p w:rsidR="00AD440B" w:rsidRPr="00AD440B" w:rsidP="00AD440B" w14:paraId="01FEA23A"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20A24E96" w14:textId="77777777">
      <w:pPr>
        <w:autoSpaceDE w:val="0"/>
        <w:autoSpaceDN w:val="0"/>
        <w:adjustRightInd w:val="0"/>
        <w:spacing w:after="120"/>
        <w:ind w:firstLine="720"/>
        <w:rPr>
          <w:szCs w:val="22"/>
        </w:rPr>
      </w:pPr>
      <w:r w:rsidRPr="4E2AB46F">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vertAlign w:val="superscript"/>
        </w:rPr>
        <w:footnoteReference w:id="23"/>
      </w:r>
      <w:r w:rsidRPr="4E2AB46F">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32028217" w14:paraId="0DAD825C" w14:textId="77777777">
      <w:pPr>
        <w:autoSpaceDE w:val="0"/>
        <w:autoSpaceDN w:val="0"/>
        <w:adjustRightInd w:val="0"/>
        <w:spacing w:after="120"/>
        <w:ind w:firstLine="720"/>
      </w:pPr>
      <w:r>
        <w:t xml:space="preserve">For further information, please contact </w:t>
      </w:r>
      <w:r w:rsidR="3E18723D">
        <w:t>Gre</w:t>
      </w:r>
      <w:r w:rsidR="00DC5172">
        <w:t>g</w:t>
      </w:r>
      <w:r w:rsidR="3E18723D">
        <w:t>ory Kwan</w:t>
      </w:r>
      <w:r w:rsidR="005D7189">
        <w:t xml:space="preserve"> at (202) 418-</w:t>
      </w:r>
      <w:r w:rsidR="14089F93">
        <w:t>1191.</w:t>
      </w:r>
    </w:p>
    <w:p w:rsidR="00AD440B" w:rsidRPr="00AD440B" w:rsidP="00AD440B" w14:paraId="546EAE8B" w14:textId="77777777">
      <w:pPr>
        <w:autoSpaceDE w:val="0"/>
        <w:autoSpaceDN w:val="0"/>
        <w:adjustRightInd w:val="0"/>
        <w:rPr>
          <w:szCs w:val="22"/>
        </w:rPr>
      </w:pPr>
    </w:p>
    <w:p w:rsidR="00E7033D" w:rsidRPr="00AD440B" w:rsidP="00AD440B" w14:paraId="352AE5A6" w14:textId="77777777">
      <w:pPr>
        <w:autoSpaceDE w:val="0"/>
        <w:autoSpaceDN w:val="0"/>
        <w:adjustRightInd w:val="0"/>
        <w:jc w:val="center"/>
        <w:rPr>
          <w:color w:val="000000"/>
          <w:szCs w:val="22"/>
        </w:rPr>
      </w:pPr>
      <w:r>
        <w:rPr>
          <w:b/>
          <w:szCs w:val="22"/>
        </w:rPr>
        <w:t>-</w:t>
      </w:r>
      <w:r w:rsidRPr="00AD440B" w:rsidR="000C1460">
        <w:rPr>
          <w:b/>
          <w:szCs w:val="22"/>
        </w:rPr>
        <w:t>FCC</w:t>
      </w:r>
      <w:bookmarkEnd w:id="1"/>
      <w:bookmarkEnd w:id="2"/>
      <w:r>
        <w:rPr>
          <w:b/>
          <w:szCs w:val="22"/>
        </w:rPr>
        <w:t>-</w:t>
      </w:r>
    </w:p>
    <w:p w:rsidR="00524D79" w14:paraId="49B8D6B0"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A3B5C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B19">
      <w:rPr>
        <w:rStyle w:val="PageNumber"/>
        <w:noProof/>
      </w:rPr>
      <w:t>1</w:t>
    </w:r>
    <w:r>
      <w:rPr>
        <w:rStyle w:val="PageNumber"/>
      </w:rPr>
      <w:fldChar w:fldCharType="end"/>
    </w:r>
  </w:p>
  <w:p w:rsidR="005E21F5" w14:paraId="52681A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ACE24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15AA2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262C44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62104AC1" w14:textId="77777777"/>
  <w:p w:rsidR="005E21F5" w14:paraId="2610B71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67AC" w14:paraId="5310FF6B" w14:textId="77777777">
      <w:r>
        <w:separator/>
      </w:r>
    </w:p>
  </w:footnote>
  <w:footnote w:type="continuationSeparator" w:id="1">
    <w:p w:rsidR="00AF67AC" w14:paraId="459C33F8" w14:textId="77777777">
      <w:r>
        <w:continuationSeparator/>
      </w:r>
    </w:p>
  </w:footnote>
  <w:footnote w:type="continuationNotice" w:id="2">
    <w:p w:rsidR="00AF67AC" w14:paraId="6D5578CC" w14:textId="77777777"/>
  </w:footnote>
  <w:footnote w:id="3">
    <w:p w:rsidR="005E21F5" w:rsidRPr="005B5BDB" w:rsidP="005B5BDB" w14:paraId="75E48ED9" w14:textId="77777777">
      <w:pPr>
        <w:spacing w:after="120"/>
        <w:rPr>
          <w:sz w:val="20"/>
        </w:rPr>
      </w:pPr>
      <w:r w:rsidRPr="005B5BDB">
        <w:rPr>
          <w:rStyle w:val="FootnoteReference"/>
          <w:sz w:val="20"/>
        </w:rPr>
        <w:footnoteRef/>
      </w:r>
      <w:r w:rsidRPr="005B5BDB" w:rsidR="76FE84D4">
        <w:rPr>
          <w:sz w:val="20"/>
        </w:rPr>
        <w:t xml:space="preserve"> </w:t>
      </w:r>
      <w:r w:rsidRPr="005B5BDB" w:rsidR="76FE84D4">
        <w:rPr>
          <w:i/>
          <w:iCs/>
          <w:sz w:val="20"/>
        </w:rPr>
        <w:t>See</w:t>
      </w:r>
      <w:r w:rsidRPr="005B5BDB" w:rsidR="76FE84D4">
        <w:rPr>
          <w:sz w:val="20"/>
        </w:rPr>
        <w:t xml:space="preserve"> 47 U.S.C. § 214; 47 CFR §§ 63.03-04.  Application of SDC Atlas AcquisitionCo, LLC, Atlas Connectivity, LLC, Nicholv</w:t>
      </w:r>
      <w:r w:rsidRPr="005B5BDB" w:rsidR="00D27E62">
        <w:rPr>
          <w:sz w:val="20"/>
        </w:rPr>
        <w:t>i</w:t>
      </w:r>
      <w:r w:rsidRPr="005B5BDB" w:rsidR="76FE84D4">
        <w:rPr>
          <w:sz w:val="20"/>
        </w:rPr>
        <w:t>lle Telco, LLC, and SLIC Network Solutions, Inc., WC Docket No. 22-309 (filed Aug. 22, 2022) (Application).  On Se</w:t>
      </w:r>
      <w:r w:rsidRPr="005B5BDB" w:rsidR="00994779">
        <w:rPr>
          <w:sz w:val="20"/>
        </w:rPr>
        <w:t>ptember 15</w:t>
      </w:r>
      <w:r w:rsidRPr="005B5BDB" w:rsidR="76FE84D4">
        <w:rPr>
          <w:sz w:val="20"/>
        </w:rPr>
        <w:t xml:space="preserve">, 2022, Applicants filed a supplement to their domestic section 214 application.  </w:t>
      </w:r>
      <w:r w:rsidRPr="005B5BDB" w:rsidR="00994779">
        <w:rPr>
          <w:sz w:val="20"/>
        </w:rPr>
        <w:t xml:space="preserve">Letter from Todd </w:t>
      </w:r>
      <w:r w:rsidRPr="005B5BDB" w:rsidR="00CE0C91">
        <w:rPr>
          <w:sz w:val="20"/>
        </w:rPr>
        <w:t xml:space="preserve">B. </w:t>
      </w:r>
      <w:r w:rsidRPr="005B5BDB" w:rsidR="00994779">
        <w:rPr>
          <w:sz w:val="20"/>
        </w:rPr>
        <w:t xml:space="preserve">Lantor, Counsel for Atlas and the Licensees, and Tamar E. Finn, </w:t>
      </w:r>
      <w:r w:rsidRPr="005B5BDB" w:rsidR="00CE0C91">
        <w:rPr>
          <w:sz w:val="20"/>
        </w:rPr>
        <w:t>Joshua Bobeck, Patricia Cave, C</w:t>
      </w:r>
      <w:r w:rsidRPr="005B5BDB" w:rsidR="00994779">
        <w:rPr>
          <w:sz w:val="20"/>
        </w:rPr>
        <w:t xml:space="preserve">ounsel for SDC Acquisition, to Marlene H. Dortch, Secretary, FCC </w:t>
      </w:r>
      <w:r w:rsidRPr="005B5BDB" w:rsidR="00F66CC3">
        <w:rPr>
          <w:sz w:val="20"/>
        </w:rPr>
        <w:t>(Sept. 1</w:t>
      </w:r>
      <w:r w:rsidRPr="005B5BDB" w:rsidR="00CE0C91">
        <w:rPr>
          <w:sz w:val="20"/>
        </w:rPr>
        <w:t>5</w:t>
      </w:r>
      <w:r w:rsidRPr="005B5BDB" w:rsidR="00F66CC3">
        <w:rPr>
          <w:sz w:val="20"/>
        </w:rPr>
        <w:t xml:space="preserve">, 2022) (on file in WC Docket No. 22-309) (Supplement).  </w:t>
      </w:r>
      <w:r w:rsidRPr="005B5BDB" w:rsidR="76FE84D4">
        <w:rPr>
          <w:sz w:val="20"/>
        </w:rPr>
        <w:t>Applicants also filed</w:t>
      </w:r>
      <w:r w:rsidRPr="005B5BDB" w:rsidR="00F66CC3">
        <w:rPr>
          <w:sz w:val="20"/>
        </w:rPr>
        <w:t xml:space="preserve"> an</w:t>
      </w:r>
      <w:r w:rsidRPr="005B5BDB" w:rsidR="76FE84D4">
        <w:rPr>
          <w:sz w:val="20"/>
        </w:rPr>
        <w:t xml:space="preserve"> application for the transfer of authorizations associated with international services.  Any action on this domestic section 214 application is without prejudice to Commission action on other related, pending applications.</w:t>
      </w:r>
    </w:p>
  </w:footnote>
  <w:footnote w:id="4">
    <w:p w:rsidR="4E2AB46F" w:rsidRPr="005B5BDB" w:rsidP="005B5BDB" w14:paraId="5C490527" w14:textId="77777777">
      <w:pPr>
        <w:spacing w:after="120"/>
        <w:rPr>
          <w:sz w:val="20"/>
        </w:rPr>
      </w:pPr>
      <w:r w:rsidRPr="005B5BDB">
        <w:rPr>
          <w:sz w:val="20"/>
          <w:vertAlign w:val="superscript"/>
        </w:rPr>
        <w:footnoteRef/>
      </w:r>
      <w:r w:rsidRPr="005B5BDB">
        <w:rPr>
          <w:sz w:val="20"/>
        </w:rPr>
        <w:t xml:space="preserve"> Application at 3.</w:t>
      </w:r>
      <w:r w:rsidRPr="005B5BDB" w:rsidR="00F14B4D">
        <w:rPr>
          <w:sz w:val="20"/>
        </w:rPr>
        <w:t xml:space="preserve">  </w:t>
      </w:r>
      <w:r w:rsidRPr="005B5BDB" w:rsidR="00E40BDC">
        <w:rPr>
          <w:sz w:val="20"/>
        </w:rPr>
        <w:t xml:space="preserve">On August 26, 2022, the Bureau accepted a domestic </w:t>
      </w:r>
      <w:r w:rsidRPr="005B5BDB" w:rsidR="00267EBC">
        <w:rPr>
          <w:sz w:val="20"/>
        </w:rPr>
        <w:t xml:space="preserve">section </w:t>
      </w:r>
      <w:r w:rsidRPr="005B5BDB" w:rsidR="00E40BDC">
        <w:rPr>
          <w:sz w:val="20"/>
        </w:rPr>
        <w:t>214 application for filing for Atlas to acquire Westelcom Communications, Inc., which wholly-owns Westelcom Net</w:t>
      </w:r>
      <w:r w:rsidRPr="005B5BDB" w:rsidR="00267EBC">
        <w:rPr>
          <w:sz w:val="20"/>
        </w:rPr>
        <w:t>work</w:t>
      </w:r>
      <w:r w:rsidRPr="005B5BDB" w:rsidR="00E40BDC">
        <w:rPr>
          <w:sz w:val="20"/>
        </w:rPr>
        <w:t xml:space="preserve">, Inc., a competitive local exchange carrier (LEC) in the counties of Jefferson, Lewis, St. Lawrence, Franklin, Clinton, and Essex in New York.  </w:t>
      </w:r>
      <w:r w:rsidRPr="005B5BDB" w:rsidR="00E40BDC">
        <w:rPr>
          <w:i/>
          <w:iCs/>
          <w:sz w:val="20"/>
        </w:rPr>
        <w:t>Domestic Section 214 Application Filed for the Transfer of Westelcom Communications, Inc. to Atlas Connectivity, LLC</w:t>
      </w:r>
      <w:r w:rsidRPr="005B5BDB" w:rsidR="00E40BDC">
        <w:rPr>
          <w:sz w:val="20"/>
        </w:rPr>
        <w:t xml:space="preserve">, WC Docket No. 22-291, Public Notice, DA 22-894 (WCB 2022).  Applicants state that the </w:t>
      </w:r>
      <w:r w:rsidRPr="005B5BDB" w:rsidR="00D03C54">
        <w:rPr>
          <w:sz w:val="20"/>
        </w:rPr>
        <w:t xml:space="preserve">current proposed transaction </w:t>
      </w:r>
      <w:r w:rsidRPr="005B5BDB" w:rsidR="00E40BDC">
        <w:rPr>
          <w:sz w:val="20"/>
        </w:rPr>
        <w:t>is independent of the Westelcom proposed transaction</w:t>
      </w:r>
      <w:r w:rsidRPr="005B5BDB" w:rsidR="00267EBC">
        <w:rPr>
          <w:sz w:val="20"/>
        </w:rPr>
        <w:t>.  Application at n.8.</w:t>
      </w:r>
    </w:p>
  </w:footnote>
  <w:footnote w:id="5">
    <w:p w:rsidR="4E2AB46F" w:rsidRPr="005B5BDB" w:rsidP="005B5BDB" w14:paraId="78579FC7" w14:textId="77777777">
      <w:pPr>
        <w:spacing w:after="120"/>
        <w:rPr>
          <w:sz w:val="20"/>
        </w:rPr>
      </w:pPr>
      <w:r w:rsidRPr="005B5BDB">
        <w:rPr>
          <w:sz w:val="20"/>
          <w:vertAlign w:val="superscript"/>
        </w:rPr>
        <w:footnoteRef/>
      </w:r>
      <w:r w:rsidRPr="005B5BDB" w:rsidR="196F0510">
        <w:rPr>
          <w:sz w:val="20"/>
        </w:rPr>
        <w:t xml:space="preserve"> </w:t>
      </w:r>
      <w:r w:rsidRPr="005B5BDB" w:rsidR="00D03C54">
        <w:rPr>
          <w:sz w:val="20"/>
        </w:rPr>
        <w:t xml:space="preserve">Application </w:t>
      </w:r>
      <w:r w:rsidRPr="005B5BDB" w:rsidR="0015793B">
        <w:rPr>
          <w:sz w:val="20"/>
        </w:rPr>
        <w:t>at 3 and 12.</w:t>
      </w:r>
      <w:r w:rsidRPr="005B5BDB" w:rsidR="196F0510">
        <w:rPr>
          <w:i/>
          <w:iCs/>
          <w:sz w:val="20"/>
        </w:rPr>
        <w:t xml:space="preserve">  </w:t>
      </w:r>
      <w:r w:rsidRPr="005B5BDB" w:rsidR="0015793B">
        <w:rPr>
          <w:sz w:val="20"/>
        </w:rPr>
        <w:t>Applicant</w:t>
      </w:r>
      <w:r w:rsidRPr="005B5BDB" w:rsidR="00D341C5">
        <w:rPr>
          <w:sz w:val="20"/>
        </w:rPr>
        <w:t>s state that</w:t>
      </w:r>
      <w:r w:rsidRPr="005B5BDB" w:rsidR="0015793B">
        <w:rPr>
          <w:sz w:val="20"/>
        </w:rPr>
        <w:t xml:space="preserve"> Nicholville receives fixed high-cost universal service fund (USF) support through the Revised </w:t>
      </w:r>
      <w:r w:rsidRPr="005B5BDB" w:rsidR="0020516B">
        <w:rPr>
          <w:sz w:val="20"/>
        </w:rPr>
        <w:t>Alternative Connect America Model (</w:t>
      </w:r>
      <w:r w:rsidRPr="005B5BDB" w:rsidR="0015793B">
        <w:rPr>
          <w:sz w:val="20"/>
        </w:rPr>
        <w:t>ACAM-I</w:t>
      </w:r>
      <w:r w:rsidRPr="005B5BDB" w:rsidR="0020516B">
        <w:rPr>
          <w:sz w:val="20"/>
        </w:rPr>
        <w:t>)</w:t>
      </w:r>
      <w:r w:rsidRPr="005B5BDB" w:rsidR="0015793B">
        <w:rPr>
          <w:sz w:val="20"/>
        </w:rPr>
        <w:t xml:space="preserve"> mechanism, as well as</w:t>
      </w:r>
      <w:r w:rsidRPr="005B5BDB" w:rsidR="0020516B">
        <w:rPr>
          <w:sz w:val="20"/>
        </w:rPr>
        <w:t xml:space="preserve"> Intercarrier Compensation (</w:t>
      </w:r>
      <w:r w:rsidRPr="005B5BDB" w:rsidR="0015793B">
        <w:rPr>
          <w:sz w:val="20"/>
        </w:rPr>
        <w:t>ICC</w:t>
      </w:r>
      <w:r w:rsidRPr="005B5BDB" w:rsidR="0020516B">
        <w:rPr>
          <w:sz w:val="20"/>
        </w:rPr>
        <w:t>)</w:t>
      </w:r>
      <w:r w:rsidRPr="005B5BDB" w:rsidR="0015793B">
        <w:rPr>
          <w:sz w:val="20"/>
        </w:rPr>
        <w:t xml:space="preserve"> support.  </w:t>
      </w:r>
      <w:r w:rsidRPr="005B5BDB" w:rsidR="0015793B">
        <w:rPr>
          <w:i/>
          <w:iCs/>
          <w:sz w:val="20"/>
        </w:rPr>
        <w:t xml:space="preserve">Id. </w:t>
      </w:r>
      <w:r w:rsidRPr="005B5BDB" w:rsidR="0015793B">
        <w:rPr>
          <w:sz w:val="20"/>
        </w:rPr>
        <w:t xml:space="preserve"> </w:t>
      </w:r>
      <w:r w:rsidRPr="005B5BDB" w:rsidR="00D341C5">
        <w:rPr>
          <w:sz w:val="20"/>
        </w:rPr>
        <w:t xml:space="preserve">Applicants further state that </w:t>
      </w:r>
      <w:r w:rsidRPr="005B5BDB" w:rsidR="0015793B">
        <w:rPr>
          <w:sz w:val="20"/>
        </w:rPr>
        <w:t xml:space="preserve">Nicholville was a participating provider in the </w:t>
      </w:r>
      <w:r w:rsidRPr="005B5BDB" w:rsidR="00D341C5">
        <w:rPr>
          <w:sz w:val="20"/>
        </w:rPr>
        <w:t>Emergency Broadband Benefit (</w:t>
      </w:r>
      <w:r w:rsidRPr="005B5BDB" w:rsidR="0015793B">
        <w:rPr>
          <w:sz w:val="20"/>
        </w:rPr>
        <w:t>EBB</w:t>
      </w:r>
      <w:r w:rsidRPr="005B5BDB" w:rsidR="00D341C5">
        <w:rPr>
          <w:sz w:val="20"/>
        </w:rPr>
        <w:t>)</w:t>
      </w:r>
      <w:r w:rsidRPr="005B5BDB" w:rsidR="0015793B">
        <w:rPr>
          <w:sz w:val="20"/>
        </w:rPr>
        <w:t xml:space="preserve"> Program and is a participating provider in the </w:t>
      </w:r>
      <w:r w:rsidRPr="005B5BDB" w:rsidR="00D341C5">
        <w:rPr>
          <w:sz w:val="20"/>
        </w:rPr>
        <w:t>Affordable Connectivity Program (</w:t>
      </w:r>
      <w:r w:rsidRPr="005B5BDB" w:rsidR="0015793B">
        <w:rPr>
          <w:sz w:val="20"/>
        </w:rPr>
        <w:t>ACP</w:t>
      </w:r>
      <w:r w:rsidRPr="005B5BDB" w:rsidR="00D341C5">
        <w:rPr>
          <w:sz w:val="20"/>
        </w:rPr>
        <w:t xml:space="preserve">) and </w:t>
      </w:r>
      <w:r w:rsidRPr="005B5BDB" w:rsidR="0015793B">
        <w:rPr>
          <w:sz w:val="20"/>
        </w:rPr>
        <w:t>also provides Lifeline services.</w:t>
      </w:r>
      <w:r w:rsidRPr="005B5BDB" w:rsidR="00D341C5">
        <w:rPr>
          <w:sz w:val="20"/>
        </w:rPr>
        <w:t xml:space="preserve">  </w:t>
      </w:r>
      <w:r w:rsidRPr="005B5BDB" w:rsidR="00D341C5">
        <w:rPr>
          <w:i/>
          <w:iCs/>
          <w:sz w:val="20"/>
        </w:rPr>
        <w:t xml:space="preserve">Id. </w:t>
      </w:r>
      <w:r w:rsidRPr="005B5BDB" w:rsidR="00D341C5">
        <w:rPr>
          <w:sz w:val="20"/>
        </w:rPr>
        <w:t>at 12.</w:t>
      </w:r>
    </w:p>
  </w:footnote>
  <w:footnote w:id="6">
    <w:p w:rsidR="00AA0CD9" w:rsidRPr="005B5BDB" w:rsidP="005B5BDB" w14:paraId="549983BD" w14:textId="77777777">
      <w:pPr>
        <w:pStyle w:val="FootnoteText"/>
        <w:spacing w:after="120"/>
        <w:rPr>
          <w:sz w:val="20"/>
        </w:rPr>
      </w:pPr>
      <w:r w:rsidRPr="005B5BDB">
        <w:rPr>
          <w:rStyle w:val="FootnoteReference"/>
          <w:sz w:val="20"/>
        </w:rPr>
        <w:footnoteRef/>
      </w:r>
      <w:r w:rsidRPr="005B5BDB">
        <w:rPr>
          <w:sz w:val="20"/>
        </w:rPr>
        <w:t xml:space="preserve"> </w:t>
      </w:r>
      <w:r w:rsidRPr="005B5BDB">
        <w:rPr>
          <w:i/>
          <w:iCs/>
          <w:sz w:val="20"/>
        </w:rPr>
        <w:t>Id.</w:t>
      </w:r>
      <w:r w:rsidRPr="005B5BDB" w:rsidR="0020516B">
        <w:rPr>
          <w:sz w:val="20"/>
        </w:rPr>
        <w:t xml:space="preserve"> at </w:t>
      </w:r>
      <w:r w:rsidRPr="005B5BDB" w:rsidR="00DC2155">
        <w:rPr>
          <w:sz w:val="20"/>
        </w:rPr>
        <w:t>3</w:t>
      </w:r>
      <w:r w:rsidRPr="005B5BDB" w:rsidR="0020516B">
        <w:rPr>
          <w:sz w:val="20"/>
        </w:rPr>
        <w:t xml:space="preserve">.  </w:t>
      </w:r>
    </w:p>
  </w:footnote>
  <w:footnote w:id="7">
    <w:p w:rsidR="06FA5BD6" w:rsidRPr="005B5BDB" w:rsidP="005B5BDB" w14:paraId="205FB99C" w14:textId="77777777">
      <w:pPr>
        <w:spacing w:after="120"/>
        <w:rPr>
          <w:sz w:val="20"/>
        </w:rPr>
      </w:pPr>
      <w:r w:rsidRPr="005B5BDB">
        <w:rPr>
          <w:sz w:val="20"/>
          <w:vertAlign w:val="superscript"/>
        </w:rPr>
        <w:footnoteRef/>
      </w:r>
      <w:r w:rsidRPr="005B5BDB">
        <w:rPr>
          <w:sz w:val="20"/>
        </w:rPr>
        <w:t xml:space="preserve"> </w:t>
      </w:r>
      <w:r w:rsidRPr="005B5BDB" w:rsidR="00DC2155">
        <w:rPr>
          <w:i/>
          <w:iCs/>
          <w:sz w:val="20"/>
        </w:rPr>
        <w:t xml:space="preserve">Id. </w:t>
      </w:r>
      <w:r w:rsidRPr="005B5BDB" w:rsidR="00DC2155">
        <w:rPr>
          <w:sz w:val="20"/>
        </w:rPr>
        <w:t xml:space="preserve">at 3 and 12.  Applicants state that SLIC was a participating provider in the </w:t>
      </w:r>
      <w:r w:rsidRPr="005B5BDB" w:rsidR="00ED4A15">
        <w:rPr>
          <w:sz w:val="20"/>
        </w:rPr>
        <w:t>E</w:t>
      </w:r>
      <w:r w:rsidRPr="005B5BDB" w:rsidR="00DC2155">
        <w:rPr>
          <w:sz w:val="20"/>
        </w:rPr>
        <w:t xml:space="preserve">BB </w:t>
      </w:r>
      <w:r w:rsidRPr="005B5BDB" w:rsidR="006013F5">
        <w:rPr>
          <w:sz w:val="20"/>
        </w:rPr>
        <w:t>p</w:t>
      </w:r>
      <w:r w:rsidRPr="005B5BDB" w:rsidR="00DC2155">
        <w:rPr>
          <w:sz w:val="20"/>
        </w:rPr>
        <w:t xml:space="preserve">rogram, is a participating provider in the </w:t>
      </w:r>
      <w:r w:rsidRPr="005B5BDB" w:rsidR="006013F5">
        <w:rPr>
          <w:sz w:val="20"/>
        </w:rPr>
        <w:t>ACP,</w:t>
      </w:r>
      <w:r w:rsidRPr="005B5BDB" w:rsidR="00DC2155">
        <w:rPr>
          <w:sz w:val="20"/>
        </w:rPr>
        <w:t xml:space="preserve"> and also provides Lifeline services.  </w:t>
      </w:r>
      <w:r w:rsidRPr="005B5BDB" w:rsidR="00DC2155">
        <w:rPr>
          <w:i/>
          <w:iCs/>
          <w:sz w:val="20"/>
        </w:rPr>
        <w:t>Id.</w:t>
      </w:r>
      <w:r w:rsidRPr="005B5BDB" w:rsidR="00DC2155">
        <w:rPr>
          <w:sz w:val="20"/>
        </w:rPr>
        <w:t xml:space="preserve"> at 12.</w:t>
      </w:r>
    </w:p>
  </w:footnote>
  <w:footnote w:id="8">
    <w:p w:rsidR="00AD1BE0" w:rsidRPr="005B5BDB" w:rsidP="005B5BDB" w14:paraId="1360683F" w14:textId="77777777">
      <w:pPr>
        <w:pStyle w:val="FootnoteText"/>
        <w:spacing w:after="120"/>
        <w:rPr>
          <w:sz w:val="20"/>
        </w:rPr>
      </w:pPr>
      <w:r w:rsidRPr="005B5BDB">
        <w:rPr>
          <w:rStyle w:val="FootnoteReference"/>
          <w:sz w:val="20"/>
        </w:rPr>
        <w:footnoteRef/>
      </w:r>
      <w:r w:rsidRPr="005B5BDB">
        <w:rPr>
          <w:sz w:val="20"/>
        </w:rPr>
        <w:t xml:space="preserve"> </w:t>
      </w:r>
      <w:r w:rsidRPr="005B5BDB">
        <w:rPr>
          <w:i/>
          <w:iCs/>
          <w:sz w:val="20"/>
        </w:rPr>
        <w:t>Id</w:t>
      </w:r>
      <w:r w:rsidRPr="005B5BDB" w:rsidR="006013F5">
        <w:rPr>
          <w:sz w:val="20"/>
        </w:rPr>
        <w:t>.</w:t>
      </w:r>
      <w:r w:rsidRPr="005B5BDB">
        <w:rPr>
          <w:sz w:val="20"/>
        </w:rPr>
        <w:t xml:space="preserve">  </w:t>
      </w:r>
      <w:r w:rsidRPr="005B5BDB" w:rsidR="006013F5">
        <w:rPr>
          <w:sz w:val="20"/>
        </w:rPr>
        <w:t xml:space="preserve">SLIC receives CAF-II support pursuant to a waiver granted by the Commission to permit use of CAF-II support in CAF-eligible areas in New York in coordination with the New NY Broadband Program.  </w:t>
      </w:r>
      <w:r w:rsidRPr="005B5BDB">
        <w:rPr>
          <w:i/>
          <w:iCs/>
          <w:sz w:val="20"/>
        </w:rPr>
        <w:t xml:space="preserve">See </w:t>
      </w:r>
      <w:r w:rsidRPr="005B5BDB" w:rsidR="006013F5">
        <w:rPr>
          <w:i/>
          <w:iCs/>
          <w:sz w:val="20"/>
        </w:rPr>
        <w:t>Connect America Fund Phase II Support Authorized for Five New York Winning Bidders</w:t>
      </w:r>
      <w:r w:rsidRPr="005B5BDB" w:rsidR="006013F5">
        <w:rPr>
          <w:sz w:val="20"/>
        </w:rPr>
        <w:t xml:space="preserve">, WC Docket No. 10-90, Public Notice, 34 FCC Rcd 6094 (WCB 2019); </w:t>
      </w:r>
      <w:r w:rsidRPr="005B5BDB" w:rsidR="006013F5">
        <w:rPr>
          <w:i/>
          <w:iCs/>
          <w:sz w:val="20"/>
        </w:rPr>
        <w:t>Connect America Fund Phase II Auction Support Authorized for a New York Winning Bidder</w:t>
      </w:r>
      <w:r w:rsidRPr="005B5BDB" w:rsidR="006013F5">
        <w:rPr>
          <w:sz w:val="20"/>
        </w:rPr>
        <w:t>, WC Docket No. 10-90, Public Notice, 36 FCC Rcd 236 (WCB 2021)</w:t>
      </w:r>
      <w:r w:rsidRPr="005B5BDB">
        <w:rPr>
          <w:sz w:val="20"/>
        </w:rPr>
        <w:t>.</w:t>
      </w:r>
    </w:p>
  </w:footnote>
  <w:footnote w:id="9">
    <w:p w:rsidR="00551F3A" w:rsidRPr="005B5BDB" w:rsidP="005B5BDB" w14:paraId="748BF2CE" w14:textId="77777777">
      <w:pPr>
        <w:pStyle w:val="FootnoteText"/>
        <w:spacing w:after="120"/>
        <w:rPr>
          <w:sz w:val="20"/>
        </w:rPr>
      </w:pPr>
      <w:r w:rsidRPr="005B5BDB">
        <w:rPr>
          <w:rStyle w:val="FootnoteReference"/>
          <w:sz w:val="20"/>
        </w:rPr>
        <w:footnoteRef/>
      </w:r>
      <w:r w:rsidRPr="005B5BDB">
        <w:rPr>
          <w:sz w:val="20"/>
        </w:rPr>
        <w:t xml:space="preserve"> </w:t>
      </w:r>
      <w:r w:rsidRPr="005B5BDB" w:rsidR="00ED4A15">
        <w:rPr>
          <w:sz w:val="20"/>
        </w:rPr>
        <w:t xml:space="preserve">Application at 4, 12; </w:t>
      </w:r>
      <w:r w:rsidRPr="005B5BDB" w:rsidR="0020516B">
        <w:rPr>
          <w:i/>
          <w:iCs/>
          <w:sz w:val="20"/>
        </w:rPr>
        <w:t>Rural Digital Opportunity Fund Support Authorized for 1,345 Winning Bids</w:t>
      </w:r>
      <w:r w:rsidRPr="005B5BDB" w:rsidR="0020516B">
        <w:rPr>
          <w:sz w:val="20"/>
        </w:rPr>
        <w:t>, AU Docket No. 20-34, WC Docket No</w:t>
      </w:r>
      <w:r w:rsidRPr="005B5BDB" w:rsidR="00ED4A15">
        <w:rPr>
          <w:sz w:val="20"/>
        </w:rPr>
        <w:t>s</w:t>
      </w:r>
      <w:r w:rsidRPr="005B5BDB" w:rsidR="0020516B">
        <w:rPr>
          <w:sz w:val="20"/>
        </w:rPr>
        <w:t>. 19-126</w:t>
      </w:r>
      <w:r w:rsidRPr="005B5BDB" w:rsidR="00ED4A15">
        <w:rPr>
          <w:sz w:val="20"/>
        </w:rPr>
        <w:t xml:space="preserve"> and </w:t>
      </w:r>
      <w:r w:rsidRPr="005B5BDB" w:rsidR="0020516B">
        <w:rPr>
          <w:sz w:val="20"/>
        </w:rPr>
        <w:t>10-90, Public Notice, DA 22-402</w:t>
      </w:r>
      <w:r w:rsidRPr="005B5BDB" w:rsidR="00ED4A15">
        <w:rPr>
          <w:sz w:val="20"/>
        </w:rPr>
        <w:t>, Attach. A (Authorized Long-Form Applicants and Winning Bids)</w:t>
      </w:r>
      <w:r w:rsidRPr="005B5BDB" w:rsidR="0020516B">
        <w:rPr>
          <w:sz w:val="20"/>
        </w:rPr>
        <w:t xml:space="preserve"> (</w:t>
      </w:r>
      <w:r w:rsidRPr="005B5BDB" w:rsidR="00ED4A15">
        <w:rPr>
          <w:sz w:val="20"/>
        </w:rPr>
        <w:t xml:space="preserve">WCB </w:t>
      </w:r>
      <w:r w:rsidRPr="005B5BDB" w:rsidR="0020516B">
        <w:rPr>
          <w:sz w:val="20"/>
        </w:rPr>
        <w:t>2022).</w:t>
      </w:r>
    </w:p>
  </w:footnote>
  <w:footnote w:id="10">
    <w:p w:rsidR="06FA5BD6" w:rsidRPr="005B5BDB" w:rsidP="005B5BDB" w14:paraId="37EEB256" w14:textId="77777777">
      <w:pPr>
        <w:spacing w:after="120"/>
        <w:rPr>
          <w:sz w:val="20"/>
        </w:rPr>
      </w:pPr>
      <w:r w:rsidRPr="005B5BDB">
        <w:rPr>
          <w:sz w:val="20"/>
          <w:vertAlign w:val="superscript"/>
        </w:rPr>
        <w:footnoteRef/>
      </w:r>
      <w:r w:rsidRPr="005B5BDB">
        <w:rPr>
          <w:sz w:val="20"/>
          <w:vertAlign w:val="superscript"/>
        </w:rPr>
        <w:t xml:space="preserve"> </w:t>
      </w:r>
      <w:r w:rsidRPr="005B5BDB">
        <w:rPr>
          <w:sz w:val="20"/>
        </w:rPr>
        <w:t xml:space="preserve">Application at 2.  Applicants provide post-ownership charts and information of the Licensees.  Application at Exh. A (Current, Post-Preferred Unit Purchase, and Post-Transaction Corporate Ownership Structure Charts) and Exh. B (Post-Transaction Ownership of the Licensees).  </w:t>
      </w:r>
    </w:p>
  </w:footnote>
  <w:footnote w:id="11">
    <w:p w:rsidR="00983CC2" w:rsidRPr="005B5BDB" w:rsidP="005B5BDB" w14:paraId="5B3C5D7D" w14:textId="77777777">
      <w:pPr>
        <w:pStyle w:val="FootnoteText"/>
        <w:spacing w:after="120"/>
        <w:rPr>
          <w:sz w:val="20"/>
        </w:rPr>
      </w:pPr>
      <w:r w:rsidRPr="005B5BDB">
        <w:rPr>
          <w:rStyle w:val="FootnoteReference"/>
          <w:sz w:val="20"/>
        </w:rPr>
        <w:footnoteRef/>
      </w:r>
      <w:r w:rsidRPr="005B5BDB">
        <w:rPr>
          <w:sz w:val="20"/>
        </w:rPr>
        <w:t xml:space="preserve"> Application at Exh. A at 5-6 and Exh. B at 3 and 5.</w:t>
      </w:r>
    </w:p>
  </w:footnote>
  <w:footnote w:id="12">
    <w:p w:rsidR="00983CC2" w:rsidRPr="005B5BDB" w:rsidP="005B5BDB" w14:paraId="35DB72DB" w14:textId="77777777">
      <w:pPr>
        <w:pStyle w:val="FootnoteText"/>
        <w:spacing w:after="120"/>
        <w:rPr>
          <w:sz w:val="20"/>
        </w:rPr>
      </w:pPr>
      <w:r w:rsidRPr="005B5BDB">
        <w:rPr>
          <w:rStyle w:val="FootnoteReference"/>
          <w:sz w:val="20"/>
        </w:rPr>
        <w:footnoteRef/>
      </w:r>
      <w:r w:rsidRPr="005B5BDB">
        <w:rPr>
          <w:sz w:val="20"/>
        </w:rPr>
        <w:t xml:space="preserve"> </w:t>
      </w:r>
      <w:r w:rsidRPr="005B5BDB">
        <w:rPr>
          <w:i/>
          <w:iCs/>
          <w:sz w:val="20"/>
        </w:rPr>
        <w:t>Id.</w:t>
      </w:r>
      <w:r w:rsidRPr="005B5BDB">
        <w:rPr>
          <w:sz w:val="20"/>
        </w:rPr>
        <w:t xml:space="preserve"> at Exh. A. at 6 and Exh B. at 3-4. </w:t>
      </w:r>
    </w:p>
  </w:footnote>
  <w:footnote w:id="13">
    <w:p w:rsidR="00983CC2" w:rsidRPr="005B5BDB" w:rsidP="005B5BDB" w14:paraId="3ED20B5C" w14:textId="77777777">
      <w:pPr>
        <w:pStyle w:val="FootnoteText"/>
        <w:spacing w:after="120"/>
        <w:rPr>
          <w:sz w:val="20"/>
        </w:rPr>
      </w:pPr>
      <w:r w:rsidRPr="005B5BDB">
        <w:rPr>
          <w:rStyle w:val="FootnoteReference"/>
          <w:sz w:val="20"/>
        </w:rPr>
        <w:footnoteRef/>
      </w:r>
      <w:r w:rsidRPr="005B5BDB">
        <w:rPr>
          <w:sz w:val="20"/>
        </w:rPr>
        <w:t xml:space="preserve"> </w:t>
      </w:r>
      <w:r w:rsidRPr="005B5BDB">
        <w:rPr>
          <w:i/>
          <w:iCs/>
          <w:sz w:val="20"/>
        </w:rPr>
        <w:t xml:space="preserve">Id. </w:t>
      </w:r>
      <w:r w:rsidRPr="005B5BDB">
        <w:rPr>
          <w:sz w:val="20"/>
        </w:rPr>
        <w:t>at Exh. A at 6 and Exh. B at 4.</w:t>
      </w:r>
    </w:p>
  </w:footnote>
  <w:footnote w:id="14">
    <w:p w:rsidR="00983CC2" w:rsidRPr="005B5BDB" w:rsidP="005B5BDB" w14:paraId="1B0A8D0F" w14:textId="77777777">
      <w:pPr>
        <w:pStyle w:val="FootnoteText"/>
        <w:spacing w:after="120"/>
        <w:rPr>
          <w:sz w:val="20"/>
        </w:rPr>
      </w:pPr>
      <w:r w:rsidRPr="005B5BDB">
        <w:rPr>
          <w:rStyle w:val="FootnoteReference"/>
          <w:sz w:val="20"/>
        </w:rPr>
        <w:footnoteRef/>
      </w:r>
      <w:r w:rsidRPr="005B5BDB">
        <w:rPr>
          <w:sz w:val="20"/>
        </w:rPr>
        <w:t xml:space="preserve"> </w:t>
      </w:r>
      <w:r w:rsidRPr="005B5BDB">
        <w:rPr>
          <w:i/>
          <w:iCs/>
          <w:sz w:val="20"/>
        </w:rPr>
        <w:t>Id.</w:t>
      </w:r>
    </w:p>
  </w:footnote>
  <w:footnote w:id="15">
    <w:p w:rsidR="00983CC2" w:rsidRPr="005B5BDB" w:rsidP="005B5BDB" w14:paraId="7ED23A9B" w14:textId="77777777">
      <w:pPr>
        <w:pStyle w:val="FootnoteText"/>
        <w:spacing w:after="120"/>
        <w:rPr>
          <w:sz w:val="20"/>
        </w:rPr>
      </w:pPr>
      <w:r w:rsidRPr="005B5BDB">
        <w:rPr>
          <w:rStyle w:val="FootnoteReference"/>
          <w:sz w:val="20"/>
        </w:rPr>
        <w:footnoteRef/>
      </w:r>
      <w:r w:rsidRPr="005B5BDB">
        <w:rPr>
          <w:sz w:val="20"/>
        </w:rPr>
        <w:t xml:space="preserve"> Application at 15.</w:t>
      </w:r>
      <w:r w:rsidRPr="005B5BDB" w:rsidR="00EE5718">
        <w:rPr>
          <w:sz w:val="20"/>
        </w:rPr>
        <w:t xml:space="preserve">  Applicants state that SDC Acquisition is affiliated with following two competitive LECs:  ALLO Communications LLC, providing service in Nebraska and Colorado, and Fatbeam LLC, providing service in Arizona, Nevada, New Mexico, Oregon, Washington</w:t>
      </w:r>
      <w:r w:rsidRPr="005B5BDB" w:rsidR="00D60436">
        <w:rPr>
          <w:sz w:val="20"/>
        </w:rPr>
        <w:t>,</w:t>
      </w:r>
      <w:r w:rsidRPr="005B5BDB" w:rsidR="00EE5718">
        <w:rPr>
          <w:sz w:val="20"/>
        </w:rPr>
        <w:t xml:space="preserve"> and Idaho.  </w:t>
      </w:r>
      <w:r w:rsidRPr="005B5BDB" w:rsidR="00EE5718">
        <w:rPr>
          <w:i/>
          <w:iCs/>
          <w:sz w:val="20"/>
        </w:rPr>
        <w:t xml:space="preserve">Id. </w:t>
      </w:r>
      <w:r w:rsidRPr="005B5BDB" w:rsidR="00EE5718">
        <w:rPr>
          <w:sz w:val="20"/>
        </w:rPr>
        <w:t>at 14-15.</w:t>
      </w:r>
      <w:r w:rsidRPr="005B5BDB" w:rsidR="00E40BDC">
        <w:rPr>
          <w:sz w:val="20"/>
        </w:rPr>
        <w:t xml:space="preserve">  </w:t>
      </w:r>
    </w:p>
  </w:footnote>
  <w:footnote w:id="16">
    <w:p w:rsidR="06FA5BD6" w:rsidRPr="005B5BDB" w:rsidP="005B5BDB" w14:paraId="621F5B6B" w14:textId="77777777">
      <w:pPr>
        <w:spacing w:after="120"/>
        <w:rPr>
          <w:i/>
          <w:iCs/>
          <w:sz w:val="20"/>
        </w:rPr>
      </w:pPr>
      <w:r w:rsidRPr="005B5BDB">
        <w:rPr>
          <w:sz w:val="20"/>
          <w:vertAlign w:val="superscript"/>
        </w:rPr>
        <w:footnoteRef/>
      </w:r>
      <w:r w:rsidRPr="005B5BDB">
        <w:rPr>
          <w:sz w:val="20"/>
        </w:rPr>
        <w:t xml:space="preserve"> Application at 4-5.  Applicants provide further details about the proposed transaction including </w:t>
      </w:r>
      <w:r w:rsidRPr="005B5BDB" w:rsidR="00EF6098">
        <w:rPr>
          <w:sz w:val="20"/>
        </w:rPr>
        <w:t xml:space="preserve">a series of transactions contemplated in an </w:t>
      </w:r>
      <w:r w:rsidRPr="005B5BDB">
        <w:rPr>
          <w:sz w:val="20"/>
        </w:rPr>
        <w:t xml:space="preserve">Equity Interests Purchase Agreement (Agreement), dated July 26, 2022, </w:t>
      </w:r>
      <w:r w:rsidRPr="005B5BDB" w:rsidR="00EF6098">
        <w:rPr>
          <w:sz w:val="20"/>
        </w:rPr>
        <w:t>pursuant to which, “</w:t>
      </w:r>
      <w:r w:rsidRPr="005B5BDB">
        <w:rPr>
          <w:sz w:val="20"/>
        </w:rPr>
        <w:t xml:space="preserve">upon signing of the Agreement, Atlas issued to SDC Acquisition, and SDC Acquisition purchased from Atlas, 100,000 non-voting Series D Preferred Units of Atlas accompanied by certain limited minority investor protections pending receipt of required regulatory approvals (the Initial Preferred Unit Purchase). </w:t>
      </w:r>
      <w:r w:rsidRPr="005B5BDB" w:rsidR="00EF6098">
        <w:rPr>
          <w:sz w:val="20"/>
        </w:rPr>
        <w:t xml:space="preserve"> </w:t>
      </w:r>
      <w:r w:rsidRPr="005B5BDB">
        <w:rPr>
          <w:sz w:val="20"/>
        </w:rPr>
        <w:t xml:space="preserve">During the period between signing and closing, Atlas may issue, and SDC Acquisition may purchase from Atlas, an additional 300,000 non-voting Series D Preferred Units (the ‘Subsequent Preferred Unit Purchases’ together with the Initial Preferred Unit Purchase, the </w:t>
      </w:r>
      <w:r w:rsidRPr="005B5BDB" w:rsidR="00EF6098">
        <w:rPr>
          <w:sz w:val="20"/>
        </w:rPr>
        <w:t>‘</w:t>
      </w:r>
      <w:r w:rsidRPr="005B5BDB">
        <w:rPr>
          <w:sz w:val="20"/>
        </w:rPr>
        <w:t>Preferred Unit Purchase</w:t>
      </w:r>
      <w:r w:rsidRPr="005B5BDB" w:rsidR="00EF6098">
        <w:rPr>
          <w:sz w:val="20"/>
        </w:rPr>
        <w:t>’</w:t>
      </w:r>
      <w:r w:rsidRPr="005B5BDB">
        <w:rPr>
          <w:sz w:val="20"/>
        </w:rPr>
        <w:t xml:space="preserve">), for a total of up to 400,000 non-voting Series D Preferred Units. </w:t>
      </w:r>
      <w:r w:rsidRPr="005B5BDB" w:rsidR="00EF6098">
        <w:rPr>
          <w:sz w:val="20"/>
        </w:rPr>
        <w:t xml:space="preserve"> </w:t>
      </w:r>
      <w:r w:rsidRPr="005B5BDB">
        <w:rPr>
          <w:sz w:val="20"/>
        </w:rPr>
        <w:t>Following receipt of the required regulatory approvals, including the Commission’s approval, SDC Acquisition will acquire all of the outstanding equity interests in Atlas and the Series D Preferred Units will convert into common units of Atlas.</w:t>
      </w:r>
      <w:r w:rsidRPr="005B5BDB" w:rsidR="00EF6098">
        <w:rPr>
          <w:sz w:val="20"/>
        </w:rPr>
        <w:t xml:space="preserve">”  </w:t>
      </w:r>
      <w:r w:rsidRPr="005B5BDB" w:rsidR="00EF6098">
        <w:rPr>
          <w:i/>
          <w:iCs/>
          <w:sz w:val="20"/>
        </w:rPr>
        <w:t>Id.</w:t>
      </w:r>
    </w:p>
  </w:footnote>
  <w:footnote w:id="17">
    <w:p w:rsidR="00994779" w:rsidRPr="005B5BDB" w:rsidP="005B5BDB" w14:paraId="680315AC" w14:textId="77777777">
      <w:pPr>
        <w:pStyle w:val="FootnoteText"/>
        <w:spacing w:after="120"/>
        <w:rPr>
          <w:sz w:val="20"/>
        </w:rPr>
      </w:pPr>
      <w:r w:rsidRPr="005B5BDB">
        <w:rPr>
          <w:rStyle w:val="FootnoteReference"/>
          <w:sz w:val="20"/>
        </w:rPr>
        <w:footnoteRef/>
      </w:r>
      <w:r w:rsidRPr="005B5BDB">
        <w:rPr>
          <w:sz w:val="20"/>
        </w:rPr>
        <w:t xml:space="preserve"> </w:t>
      </w:r>
      <w:r w:rsidRPr="005B5BDB">
        <w:rPr>
          <w:i/>
          <w:iCs/>
          <w:sz w:val="20"/>
        </w:rPr>
        <w:t xml:space="preserve">Id. </w:t>
      </w:r>
      <w:r w:rsidRPr="005B5BDB">
        <w:rPr>
          <w:sz w:val="20"/>
        </w:rPr>
        <w:t>at 5-7.</w:t>
      </w:r>
    </w:p>
  </w:footnote>
  <w:footnote w:id="18">
    <w:p w:rsidR="00106DEE" w:rsidRPr="005B5BDB" w:rsidP="005B5BDB" w14:paraId="596366B6" w14:textId="77777777">
      <w:pPr>
        <w:pStyle w:val="FootnoteText"/>
        <w:spacing w:after="120"/>
        <w:rPr>
          <w:sz w:val="20"/>
        </w:rPr>
      </w:pPr>
      <w:r w:rsidRPr="005B5BDB">
        <w:rPr>
          <w:rStyle w:val="FootnoteReference"/>
          <w:sz w:val="20"/>
        </w:rPr>
        <w:footnoteRef/>
      </w:r>
      <w:r w:rsidRPr="005B5BDB" w:rsidR="00CE0C91">
        <w:rPr>
          <w:sz w:val="20"/>
        </w:rPr>
        <w:t xml:space="preserve"> </w:t>
      </w:r>
      <w:r w:rsidRPr="005B5BDB">
        <w:rPr>
          <w:sz w:val="20"/>
        </w:rPr>
        <w:t>Supplement at 1.</w:t>
      </w:r>
    </w:p>
  </w:footnote>
  <w:footnote w:id="19">
    <w:p w:rsidR="00994779" w:rsidRPr="005B5BDB" w:rsidP="005B5BDB" w14:paraId="55683E4A" w14:textId="77777777">
      <w:pPr>
        <w:pStyle w:val="FootnoteText"/>
        <w:spacing w:after="120"/>
        <w:rPr>
          <w:sz w:val="20"/>
        </w:rPr>
      </w:pPr>
      <w:r w:rsidRPr="005B5BDB">
        <w:rPr>
          <w:rStyle w:val="FootnoteReference"/>
          <w:sz w:val="20"/>
        </w:rPr>
        <w:footnoteRef/>
      </w:r>
      <w:r w:rsidRPr="005B5BDB">
        <w:rPr>
          <w:sz w:val="20"/>
        </w:rPr>
        <w:t xml:space="preserve"> </w:t>
      </w:r>
      <w:r w:rsidRPr="005B5BDB" w:rsidR="00CE0C91">
        <w:rPr>
          <w:i/>
          <w:iCs/>
          <w:sz w:val="20"/>
        </w:rPr>
        <w:t>Id</w:t>
      </w:r>
      <w:r w:rsidRPr="005B5BDB" w:rsidR="00CE0C91">
        <w:rPr>
          <w:sz w:val="20"/>
        </w:rPr>
        <w:t xml:space="preserve">. </w:t>
      </w:r>
      <w:r w:rsidRPr="005B5BDB" w:rsidR="00F66CC3">
        <w:rPr>
          <w:sz w:val="20"/>
        </w:rPr>
        <w:t>at 1.</w:t>
      </w:r>
    </w:p>
  </w:footnote>
  <w:footnote w:id="20">
    <w:p w:rsidR="00E654A8" w:rsidRPr="005B5BDB" w:rsidP="005B5BDB" w14:paraId="1B2A857C" w14:textId="77777777">
      <w:pPr>
        <w:pStyle w:val="FootnoteText"/>
        <w:spacing w:after="120"/>
        <w:rPr>
          <w:sz w:val="20"/>
        </w:rPr>
      </w:pPr>
      <w:r w:rsidRPr="005B5BDB">
        <w:rPr>
          <w:rStyle w:val="FootnoteReference"/>
          <w:sz w:val="20"/>
        </w:rPr>
        <w:footnoteRef/>
      </w:r>
      <w:r w:rsidRPr="005B5BDB">
        <w:rPr>
          <w:sz w:val="20"/>
        </w:rPr>
        <w:t xml:space="preserve"> Application at 15.</w:t>
      </w:r>
    </w:p>
  </w:footnote>
  <w:footnote w:id="21">
    <w:p w:rsidR="00165038" w:rsidRPr="00CE0C91" w:rsidP="005B5BDB" w14:paraId="494FAF67" w14:textId="77777777">
      <w:pPr>
        <w:pStyle w:val="FootnoteText"/>
        <w:spacing w:after="120"/>
        <w:rPr>
          <w:sz w:val="20"/>
        </w:rPr>
      </w:pPr>
      <w:r w:rsidRPr="005B5BDB">
        <w:rPr>
          <w:rStyle w:val="FootnoteReference"/>
          <w:sz w:val="20"/>
        </w:rPr>
        <w:footnoteRef/>
      </w:r>
      <w:r w:rsidRPr="005B5BDB">
        <w:rPr>
          <w:sz w:val="20"/>
        </w:rPr>
        <w:t xml:space="preserve"> </w:t>
      </w:r>
      <w:r w:rsidRPr="005B5BDB">
        <w:rPr>
          <w:i/>
          <w:iCs/>
          <w:sz w:val="20"/>
        </w:rPr>
        <w:t>See</w:t>
      </w:r>
      <w:r w:rsidRPr="005B5BDB">
        <w:rPr>
          <w:sz w:val="20"/>
        </w:rPr>
        <w:t xml:space="preserve"> 47 CFR § 63.03(c)(1)(v).</w:t>
      </w:r>
    </w:p>
  </w:footnote>
  <w:footnote w:id="22">
    <w:p w:rsidR="00BB16F3" w:rsidRPr="009636EA" w:rsidP="00BB16F3" w14:paraId="1108D597" w14:textId="77777777">
      <w:pPr>
        <w:pStyle w:val="FootnoteText"/>
        <w:spacing w:after="120"/>
        <w:rPr>
          <w:sz w:val="20"/>
        </w:rPr>
      </w:pPr>
      <w:r w:rsidRPr="00050ADD">
        <w:rPr>
          <w:rStyle w:val="FootnoteReference"/>
          <w:sz w:val="20"/>
        </w:rPr>
        <w:footnoteRef/>
      </w:r>
      <w:r w:rsidRPr="00050ADD">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50ADD">
        <w:rPr>
          <w:i/>
          <w:iCs/>
          <w:sz w:val="20"/>
        </w:rPr>
        <w:t>See FCC Announces Closure of FCC Headquarters Open Window and Change in Hand-Delivery Policy</w:t>
      </w:r>
      <w:r w:rsidRPr="00050ADD">
        <w:rPr>
          <w:sz w:val="20"/>
        </w:rPr>
        <w:t xml:space="preserve">, Public Notice, 35 FCC Rcd 2788 (Mar. 19, 2020), </w:t>
      </w:r>
      <w:hyperlink r:id="rId1" w:history="1">
        <w:r w:rsidRPr="00050ADD">
          <w:rPr>
            <w:rStyle w:val="Hyperlink"/>
            <w:sz w:val="20"/>
          </w:rPr>
          <w:t>https://www.fcc.gov/document/fcc-closes-headquarters-open-window-and-changes-hand-delivery-policy</w:t>
        </w:r>
      </w:hyperlink>
      <w:r w:rsidRPr="009636EA">
        <w:rPr>
          <w:rStyle w:val="Hyperlink"/>
          <w:color w:val="auto"/>
          <w:sz w:val="20"/>
          <w:u w:val="none"/>
        </w:rPr>
        <w:t>.</w:t>
      </w:r>
    </w:p>
  </w:footnote>
  <w:footnote w:id="23">
    <w:p w:rsidR="005E21F5" w:rsidRPr="00A56C1A" w:rsidP="00AD440B" w14:paraId="1AF6CD29" w14:textId="77777777">
      <w:pPr>
        <w:pStyle w:val="FootnoteText"/>
        <w:tabs>
          <w:tab w:val="clear" w:pos="720"/>
        </w:tabs>
        <w:spacing w:after="120"/>
        <w:rPr>
          <w:sz w:val="20"/>
          <w:szCs w:val="22"/>
        </w:rPr>
      </w:pPr>
      <w:r w:rsidRPr="00A56C1A">
        <w:rPr>
          <w:rStyle w:val="FootnoteReference"/>
          <w:sz w:val="20"/>
          <w:szCs w:val="22"/>
        </w:rPr>
        <w:footnoteRef/>
      </w:r>
      <w:r w:rsidRPr="00A56C1A">
        <w:rPr>
          <w:sz w:val="20"/>
          <w:szCs w:val="22"/>
        </w:rPr>
        <w:t xml:space="preserve"> </w:t>
      </w:r>
      <w:r w:rsidRPr="00A56C1A">
        <w:rPr>
          <w:i/>
          <w:sz w:val="20"/>
          <w:szCs w:val="22"/>
        </w:rPr>
        <w:t>See</w:t>
      </w:r>
      <w:r w:rsidRPr="00A56C1A">
        <w:rPr>
          <w:sz w:val="20"/>
          <w:szCs w:val="22"/>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A6C820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144B36D9" w14:textId="77777777">
                <w:pPr>
                  <w:rPr>
                    <w:rFonts w:ascii="Arial" w:hAnsi="Arial"/>
                    <w:b/>
                  </w:rPr>
                </w:pPr>
                <w:r>
                  <w:rPr>
                    <w:rFonts w:ascii="Arial" w:hAnsi="Arial"/>
                    <w:b/>
                  </w:rPr>
                  <w:t>Federal Communications Commission</w:t>
                </w:r>
              </w:p>
              <w:p w:rsidR="005E21F5" w14:paraId="2483CEBE" w14:textId="77777777">
                <w:pPr>
                  <w:rPr>
                    <w:rFonts w:ascii="Arial" w:hAnsi="Arial"/>
                    <w:b/>
                  </w:rPr>
                </w:pPr>
                <w:r>
                  <w:rPr>
                    <w:rFonts w:ascii="Arial" w:hAnsi="Arial"/>
                    <w:b/>
                  </w:rPr>
                  <w:t>45 L St., N.E.</w:t>
                </w:r>
              </w:p>
              <w:p w:rsidR="005E21F5" w14:paraId="6F9F136E"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7FC62115"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162F7EAB" w14:textId="77777777">
                <w:pPr>
                  <w:spacing w:before="40"/>
                  <w:jc w:val="right"/>
                  <w:rPr>
                    <w:rFonts w:ascii="Arial" w:hAnsi="Arial"/>
                    <w:b/>
                    <w:sz w:val="16"/>
                  </w:rPr>
                </w:pPr>
                <w:r>
                  <w:rPr>
                    <w:rFonts w:ascii="Arial" w:hAnsi="Arial"/>
                    <w:b/>
                    <w:sz w:val="16"/>
                  </w:rPr>
                  <w:t>News Media Information 202 / 418-0500</w:t>
                </w:r>
              </w:p>
              <w:p w:rsidR="005E21F5" w14:paraId="371B15E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524FA98" w14:textId="77777777">
                <w:pPr>
                  <w:jc w:val="right"/>
                  <w:rPr>
                    <w:rFonts w:ascii="Arial" w:hAnsi="Arial"/>
                    <w:b/>
                    <w:sz w:val="16"/>
                  </w:rPr>
                </w:pPr>
              </w:p>
              <w:p w:rsidR="005E21F5" w14:paraId="16AE565D" w14:textId="77777777">
                <w:pPr>
                  <w:jc w:val="right"/>
                </w:pPr>
              </w:p>
            </w:txbxContent>
          </v:textbox>
        </v:shape>
      </w:pict>
    </w:r>
  </w:p>
  <w:p w:rsidR="005E21F5" w14:paraId="6EF0263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B831D5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1FC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0ADD"/>
    <w:rsid w:val="000534AC"/>
    <w:rsid w:val="000575E7"/>
    <w:rsid w:val="00057881"/>
    <w:rsid w:val="00057E12"/>
    <w:rsid w:val="000629CF"/>
    <w:rsid w:val="000639C7"/>
    <w:rsid w:val="00063CA5"/>
    <w:rsid w:val="00064C7D"/>
    <w:rsid w:val="00064FA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679"/>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DEE"/>
    <w:rsid w:val="00106F5A"/>
    <w:rsid w:val="00110B6E"/>
    <w:rsid w:val="0011311D"/>
    <w:rsid w:val="00114887"/>
    <w:rsid w:val="001150BA"/>
    <w:rsid w:val="0011590C"/>
    <w:rsid w:val="0011599F"/>
    <w:rsid w:val="00117529"/>
    <w:rsid w:val="00117D06"/>
    <w:rsid w:val="001226CB"/>
    <w:rsid w:val="0012329A"/>
    <w:rsid w:val="0012437D"/>
    <w:rsid w:val="001250DE"/>
    <w:rsid w:val="00126DDB"/>
    <w:rsid w:val="00131952"/>
    <w:rsid w:val="00132529"/>
    <w:rsid w:val="0013405D"/>
    <w:rsid w:val="00134FFC"/>
    <w:rsid w:val="001356E5"/>
    <w:rsid w:val="00135941"/>
    <w:rsid w:val="0014084C"/>
    <w:rsid w:val="00141388"/>
    <w:rsid w:val="00141BD0"/>
    <w:rsid w:val="00142ED5"/>
    <w:rsid w:val="001449F9"/>
    <w:rsid w:val="00144E61"/>
    <w:rsid w:val="001470F0"/>
    <w:rsid w:val="001504FA"/>
    <w:rsid w:val="001513B4"/>
    <w:rsid w:val="0015217F"/>
    <w:rsid w:val="00152CF6"/>
    <w:rsid w:val="00156EA3"/>
    <w:rsid w:val="0015793B"/>
    <w:rsid w:val="00161A99"/>
    <w:rsid w:val="00163FAF"/>
    <w:rsid w:val="00165038"/>
    <w:rsid w:val="00165FDC"/>
    <w:rsid w:val="00167C35"/>
    <w:rsid w:val="00171181"/>
    <w:rsid w:val="001736D0"/>
    <w:rsid w:val="00176BD0"/>
    <w:rsid w:val="00187617"/>
    <w:rsid w:val="00190745"/>
    <w:rsid w:val="001916C0"/>
    <w:rsid w:val="00193234"/>
    <w:rsid w:val="001947E9"/>
    <w:rsid w:val="00194E1E"/>
    <w:rsid w:val="001A00A7"/>
    <w:rsid w:val="001A2DFA"/>
    <w:rsid w:val="001A3813"/>
    <w:rsid w:val="001A3B07"/>
    <w:rsid w:val="001A3E67"/>
    <w:rsid w:val="001A47EC"/>
    <w:rsid w:val="001A5568"/>
    <w:rsid w:val="001B1E25"/>
    <w:rsid w:val="001B2C26"/>
    <w:rsid w:val="001B2FBB"/>
    <w:rsid w:val="001B4C2F"/>
    <w:rsid w:val="001B57A4"/>
    <w:rsid w:val="001B69F9"/>
    <w:rsid w:val="001B6EFA"/>
    <w:rsid w:val="001C3C98"/>
    <w:rsid w:val="001C3D38"/>
    <w:rsid w:val="001C5D07"/>
    <w:rsid w:val="001C78FB"/>
    <w:rsid w:val="001C7CD1"/>
    <w:rsid w:val="001D10A0"/>
    <w:rsid w:val="001D3F27"/>
    <w:rsid w:val="001E16CA"/>
    <w:rsid w:val="001E2274"/>
    <w:rsid w:val="001E382D"/>
    <w:rsid w:val="001E659B"/>
    <w:rsid w:val="001E7604"/>
    <w:rsid w:val="001F024C"/>
    <w:rsid w:val="001F1508"/>
    <w:rsid w:val="001F33B5"/>
    <w:rsid w:val="001F6762"/>
    <w:rsid w:val="00200A33"/>
    <w:rsid w:val="0020342F"/>
    <w:rsid w:val="0020516B"/>
    <w:rsid w:val="002057AC"/>
    <w:rsid w:val="00207926"/>
    <w:rsid w:val="00211CCB"/>
    <w:rsid w:val="00213D04"/>
    <w:rsid w:val="00214339"/>
    <w:rsid w:val="00214441"/>
    <w:rsid w:val="00215D21"/>
    <w:rsid w:val="0021680F"/>
    <w:rsid w:val="002217F0"/>
    <w:rsid w:val="00221CCF"/>
    <w:rsid w:val="00221E35"/>
    <w:rsid w:val="002223D3"/>
    <w:rsid w:val="00222993"/>
    <w:rsid w:val="0022329B"/>
    <w:rsid w:val="002233EF"/>
    <w:rsid w:val="00223E8C"/>
    <w:rsid w:val="0022449B"/>
    <w:rsid w:val="00225F62"/>
    <w:rsid w:val="00226656"/>
    <w:rsid w:val="00226CC3"/>
    <w:rsid w:val="002308A9"/>
    <w:rsid w:val="00230D61"/>
    <w:rsid w:val="002344E7"/>
    <w:rsid w:val="00234F46"/>
    <w:rsid w:val="00240B49"/>
    <w:rsid w:val="00241CB2"/>
    <w:rsid w:val="0024326F"/>
    <w:rsid w:val="002519DF"/>
    <w:rsid w:val="0025247F"/>
    <w:rsid w:val="00253247"/>
    <w:rsid w:val="00253AB2"/>
    <w:rsid w:val="00257543"/>
    <w:rsid w:val="00257DD2"/>
    <w:rsid w:val="002606A8"/>
    <w:rsid w:val="0026090D"/>
    <w:rsid w:val="00262C25"/>
    <w:rsid w:val="00262E65"/>
    <w:rsid w:val="00263433"/>
    <w:rsid w:val="0026356E"/>
    <w:rsid w:val="00266135"/>
    <w:rsid w:val="002666BC"/>
    <w:rsid w:val="00266D63"/>
    <w:rsid w:val="00267BF2"/>
    <w:rsid w:val="00267EBC"/>
    <w:rsid w:val="00272142"/>
    <w:rsid w:val="00280873"/>
    <w:rsid w:val="0028149F"/>
    <w:rsid w:val="002832FB"/>
    <w:rsid w:val="0028397D"/>
    <w:rsid w:val="0028555C"/>
    <w:rsid w:val="00286187"/>
    <w:rsid w:val="00287432"/>
    <w:rsid w:val="00287FB9"/>
    <w:rsid w:val="0029098D"/>
    <w:rsid w:val="00297F1D"/>
    <w:rsid w:val="002A0367"/>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203E"/>
    <w:rsid w:val="002C20CC"/>
    <w:rsid w:val="002C22F3"/>
    <w:rsid w:val="002C27F4"/>
    <w:rsid w:val="002C3F26"/>
    <w:rsid w:val="002C74EF"/>
    <w:rsid w:val="002D08D1"/>
    <w:rsid w:val="002D09E2"/>
    <w:rsid w:val="002D11BE"/>
    <w:rsid w:val="002D16A6"/>
    <w:rsid w:val="002D3316"/>
    <w:rsid w:val="002D4A00"/>
    <w:rsid w:val="002D4CB4"/>
    <w:rsid w:val="002D551D"/>
    <w:rsid w:val="002D65CC"/>
    <w:rsid w:val="002D6B37"/>
    <w:rsid w:val="002D6F61"/>
    <w:rsid w:val="002E0BAF"/>
    <w:rsid w:val="002E2A6F"/>
    <w:rsid w:val="002E2B02"/>
    <w:rsid w:val="002E363F"/>
    <w:rsid w:val="002E4894"/>
    <w:rsid w:val="002F2901"/>
    <w:rsid w:val="002F4E17"/>
    <w:rsid w:val="002F5F38"/>
    <w:rsid w:val="0030523C"/>
    <w:rsid w:val="00305D86"/>
    <w:rsid w:val="00306AAD"/>
    <w:rsid w:val="0031156F"/>
    <w:rsid w:val="00312CE1"/>
    <w:rsid w:val="00313546"/>
    <w:rsid w:val="00313A98"/>
    <w:rsid w:val="00314D1F"/>
    <w:rsid w:val="00315BA9"/>
    <w:rsid w:val="00315D50"/>
    <w:rsid w:val="00315FCD"/>
    <w:rsid w:val="0031636F"/>
    <w:rsid w:val="00321F97"/>
    <w:rsid w:val="00325988"/>
    <w:rsid w:val="00325E35"/>
    <w:rsid w:val="0032625B"/>
    <w:rsid w:val="00334E5E"/>
    <w:rsid w:val="00334E6C"/>
    <w:rsid w:val="0033631D"/>
    <w:rsid w:val="00340881"/>
    <w:rsid w:val="00345CA2"/>
    <w:rsid w:val="003471AE"/>
    <w:rsid w:val="003479C9"/>
    <w:rsid w:val="00351689"/>
    <w:rsid w:val="00351A6F"/>
    <w:rsid w:val="00351D1D"/>
    <w:rsid w:val="00353CB5"/>
    <w:rsid w:val="0035663A"/>
    <w:rsid w:val="00360A78"/>
    <w:rsid w:val="003632CF"/>
    <w:rsid w:val="00364590"/>
    <w:rsid w:val="00364DFB"/>
    <w:rsid w:val="00364E88"/>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2AD5"/>
    <w:rsid w:val="00394D23"/>
    <w:rsid w:val="00395294"/>
    <w:rsid w:val="003954A4"/>
    <w:rsid w:val="00395A7A"/>
    <w:rsid w:val="00396D92"/>
    <w:rsid w:val="003A0227"/>
    <w:rsid w:val="003A04F5"/>
    <w:rsid w:val="003A0E99"/>
    <w:rsid w:val="003A0EC4"/>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373"/>
    <w:rsid w:val="003C7229"/>
    <w:rsid w:val="003D08F3"/>
    <w:rsid w:val="003D0E6A"/>
    <w:rsid w:val="003D0F71"/>
    <w:rsid w:val="003D0F8F"/>
    <w:rsid w:val="003D4F94"/>
    <w:rsid w:val="003E02A4"/>
    <w:rsid w:val="003E0BDA"/>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4E95"/>
    <w:rsid w:val="0042593D"/>
    <w:rsid w:val="00425FAF"/>
    <w:rsid w:val="00425FF2"/>
    <w:rsid w:val="0042603C"/>
    <w:rsid w:val="004272E4"/>
    <w:rsid w:val="00430AC0"/>
    <w:rsid w:val="00431E30"/>
    <w:rsid w:val="00432F85"/>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751"/>
    <w:rsid w:val="00466B9F"/>
    <w:rsid w:val="00473955"/>
    <w:rsid w:val="00476EFB"/>
    <w:rsid w:val="004808FC"/>
    <w:rsid w:val="00482EB0"/>
    <w:rsid w:val="00483B1B"/>
    <w:rsid w:val="00484739"/>
    <w:rsid w:val="00485BBB"/>
    <w:rsid w:val="00485D13"/>
    <w:rsid w:val="00490F6A"/>
    <w:rsid w:val="004913FF"/>
    <w:rsid w:val="00492290"/>
    <w:rsid w:val="00492A28"/>
    <w:rsid w:val="004951AE"/>
    <w:rsid w:val="004A3FBF"/>
    <w:rsid w:val="004A4D05"/>
    <w:rsid w:val="004A51C9"/>
    <w:rsid w:val="004A59CA"/>
    <w:rsid w:val="004A684C"/>
    <w:rsid w:val="004A7357"/>
    <w:rsid w:val="004A7E1B"/>
    <w:rsid w:val="004B24F3"/>
    <w:rsid w:val="004B49CC"/>
    <w:rsid w:val="004B4C65"/>
    <w:rsid w:val="004B666C"/>
    <w:rsid w:val="004C0C77"/>
    <w:rsid w:val="004C0CEF"/>
    <w:rsid w:val="004C219F"/>
    <w:rsid w:val="004C22B8"/>
    <w:rsid w:val="004C2516"/>
    <w:rsid w:val="004C3DB0"/>
    <w:rsid w:val="004C712F"/>
    <w:rsid w:val="004D4610"/>
    <w:rsid w:val="004D53C3"/>
    <w:rsid w:val="004D5A7C"/>
    <w:rsid w:val="004D67B7"/>
    <w:rsid w:val="004D74A5"/>
    <w:rsid w:val="004D7912"/>
    <w:rsid w:val="004D79E2"/>
    <w:rsid w:val="004D7AF3"/>
    <w:rsid w:val="004E5AE8"/>
    <w:rsid w:val="004E5E3A"/>
    <w:rsid w:val="004E6AC6"/>
    <w:rsid w:val="004E718B"/>
    <w:rsid w:val="004E74EE"/>
    <w:rsid w:val="004F1C11"/>
    <w:rsid w:val="004F2447"/>
    <w:rsid w:val="004F3603"/>
    <w:rsid w:val="004F3CEC"/>
    <w:rsid w:val="004F515D"/>
    <w:rsid w:val="004F686B"/>
    <w:rsid w:val="004F6F64"/>
    <w:rsid w:val="00500FE4"/>
    <w:rsid w:val="00501D17"/>
    <w:rsid w:val="00501F06"/>
    <w:rsid w:val="00504505"/>
    <w:rsid w:val="00504BF5"/>
    <w:rsid w:val="00505DA1"/>
    <w:rsid w:val="005107DF"/>
    <w:rsid w:val="0051681C"/>
    <w:rsid w:val="005226C6"/>
    <w:rsid w:val="00523E57"/>
    <w:rsid w:val="00524D79"/>
    <w:rsid w:val="00526561"/>
    <w:rsid w:val="005273AB"/>
    <w:rsid w:val="005320B5"/>
    <w:rsid w:val="00533917"/>
    <w:rsid w:val="00534EC1"/>
    <w:rsid w:val="00535877"/>
    <w:rsid w:val="00536ED2"/>
    <w:rsid w:val="0053732F"/>
    <w:rsid w:val="005424F4"/>
    <w:rsid w:val="0054677E"/>
    <w:rsid w:val="005473A6"/>
    <w:rsid w:val="005505CE"/>
    <w:rsid w:val="00551202"/>
    <w:rsid w:val="00551ADB"/>
    <w:rsid w:val="00551DA8"/>
    <w:rsid w:val="00551F3A"/>
    <w:rsid w:val="005524B6"/>
    <w:rsid w:val="00554D90"/>
    <w:rsid w:val="00554E17"/>
    <w:rsid w:val="0055505D"/>
    <w:rsid w:val="0055684E"/>
    <w:rsid w:val="0056058F"/>
    <w:rsid w:val="005642FC"/>
    <w:rsid w:val="0056467B"/>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3E2A"/>
    <w:rsid w:val="005A51D6"/>
    <w:rsid w:val="005A56D4"/>
    <w:rsid w:val="005A64A7"/>
    <w:rsid w:val="005B2105"/>
    <w:rsid w:val="005B2E8A"/>
    <w:rsid w:val="005B376F"/>
    <w:rsid w:val="005B3D27"/>
    <w:rsid w:val="005B4CA6"/>
    <w:rsid w:val="005B57F1"/>
    <w:rsid w:val="005B5B84"/>
    <w:rsid w:val="005B5BDB"/>
    <w:rsid w:val="005C0AE1"/>
    <w:rsid w:val="005C2ADB"/>
    <w:rsid w:val="005C342C"/>
    <w:rsid w:val="005C3E2F"/>
    <w:rsid w:val="005C403A"/>
    <w:rsid w:val="005C44C6"/>
    <w:rsid w:val="005C5C55"/>
    <w:rsid w:val="005C740F"/>
    <w:rsid w:val="005C7DC4"/>
    <w:rsid w:val="005D1C91"/>
    <w:rsid w:val="005D3947"/>
    <w:rsid w:val="005D4020"/>
    <w:rsid w:val="005D55CB"/>
    <w:rsid w:val="005D5B08"/>
    <w:rsid w:val="005D64C0"/>
    <w:rsid w:val="005D6BD0"/>
    <w:rsid w:val="005D7189"/>
    <w:rsid w:val="005D7F49"/>
    <w:rsid w:val="005E1BF3"/>
    <w:rsid w:val="005E21F5"/>
    <w:rsid w:val="005E40DD"/>
    <w:rsid w:val="005E6383"/>
    <w:rsid w:val="005E65C4"/>
    <w:rsid w:val="005E7A72"/>
    <w:rsid w:val="005E7C21"/>
    <w:rsid w:val="005F0281"/>
    <w:rsid w:val="005F06C4"/>
    <w:rsid w:val="005F090A"/>
    <w:rsid w:val="005F189F"/>
    <w:rsid w:val="005F2812"/>
    <w:rsid w:val="005F49F8"/>
    <w:rsid w:val="005F4B79"/>
    <w:rsid w:val="005F6F72"/>
    <w:rsid w:val="005F73CF"/>
    <w:rsid w:val="00600B5F"/>
    <w:rsid w:val="0060105E"/>
    <w:rsid w:val="0060106A"/>
    <w:rsid w:val="006013F5"/>
    <w:rsid w:val="00601476"/>
    <w:rsid w:val="006034FD"/>
    <w:rsid w:val="00603E1E"/>
    <w:rsid w:val="00604A3C"/>
    <w:rsid w:val="00604CFF"/>
    <w:rsid w:val="0061117C"/>
    <w:rsid w:val="0061137C"/>
    <w:rsid w:val="00611B99"/>
    <w:rsid w:val="00611CD9"/>
    <w:rsid w:val="00611E7B"/>
    <w:rsid w:val="00616221"/>
    <w:rsid w:val="00616757"/>
    <w:rsid w:val="00617F31"/>
    <w:rsid w:val="00622967"/>
    <w:rsid w:val="00626D16"/>
    <w:rsid w:val="006311C4"/>
    <w:rsid w:val="00633290"/>
    <w:rsid w:val="006338C5"/>
    <w:rsid w:val="00635062"/>
    <w:rsid w:val="0063611E"/>
    <w:rsid w:val="00636679"/>
    <w:rsid w:val="00637ECE"/>
    <w:rsid w:val="00640FD6"/>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703D5"/>
    <w:rsid w:val="0067051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A3BD7"/>
    <w:rsid w:val="006A6BB5"/>
    <w:rsid w:val="006A6F48"/>
    <w:rsid w:val="006B118F"/>
    <w:rsid w:val="006B3480"/>
    <w:rsid w:val="006B36F1"/>
    <w:rsid w:val="006B5C06"/>
    <w:rsid w:val="006B6400"/>
    <w:rsid w:val="006C146A"/>
    <w:rsid w:val="006C211E"/>
    <w:rsid w:val="006C277B"/>
    <w:rsid w:val="006C2DC7"/>
    <w:rsid w:val="006C32C8"/>
    <w:rsid w:val="006C3309"/>
    <w:rsid w:val="006C4F3D"/>
    <w:rsid w:val="006C5160"/>
    <w:rsid w:val="006C591C"/>
    <w:rsid w:val="006C6FE0"/>
    <w:rsid w:val="006D49DF"/>
    <w:rsid w:val="006D49EB"/>
    <w:rsid w:val="006D4FB7"/>
    <w:rsid w:val="006E099D"/>
    <w:rsid w:val="006E3B3B"/>
    <w:rsid w:val="006E3C11"/>
    <w:rsid w:val="006E3E11"/>
    <w:rsid w:val="006E4EF0"/>
    <w:rsid w:val="006E5548"/>
    <w:rsid w:val="006E61ED"/>
    <w:rsid w:val="006E643F"/>
    <w:rsid w:val="006E67A0"/>
    <w:rsid w:val="006E7452"/>
    <w:rsid w:val="006E77B7"/>
    <w:rsid w:val="006F2F1F"/>
    <w:rsid w:val="006F3441"/>
    <w:rsid w:val="006F4359"/>
    <w:rsid w:val="006F4360"/>
    <w:rsid w:val="006F4B1B"/>
    <w:rsid w:val="006F4D60"/>
    <w:rsid w:val="006F586C"/>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037B"/>
    <w:rsid w:val="00721062"/>
    <w:rsid w:val="00721165"/>
    <w:rsid w:val="00724722"/>
    <w:rsid w:val="0072750E"/>
    <w:rsid w:val="0073062D"/>
    <w:rsid w:val="00733B9B"/>
    <w:rsid w:val="007349C4"/>
    <w:rsid w:val="007413DA"/>
    <w:rsid w:val="00741682"/>
    <w:rsid w:val="0074294F"/>
    <w:rsid w:val="00744022"/>
    <w:rsid w:val="00745559"/>
    <w:rsid w:val="007468B5"/>
    <w:rsid w:val="00746FDA"/>
    <w:rsid w:val="0075291B"/>
    <w:rsid w:val="00753889"/>
    <w:rsid w:val="00756775"/>
    <w:rsid w:val="007569C5"/>
    <w:rsid w:val="00760269"/>
    <w:rsid w:val="00760571"/>
    <w:rsid w:val="007631B9"/>
    <w:rsid w:val="0076331F"/>
    <w:rsid w:val="0076359A"/>
    <w:rsid w:val="00766B00"/>
    <w:rsid w:val="00767369"/>
    <w:rsid w:val="0077017E"/>
    <w:rsid w:val="00771214"/>
    <w:rsid w:val="0077396E"/>
    <w:rsid w:val="00774E30"/>
    <w:rsid w:val="00774F8B"/>
    <w:rsid w:val="00775047"/>
    <w:rsid w:val="007758B4"/>
    <w:rsid w:val="00775CD4"/>
    <w:rsid w:val="00776827"/>
    <w:rsid w:val="00776D7B"/>
    <w:rsid w:val="00777B41"/>
    <w:rsid w:val="00777F32"/>
    <w:rsid w:val="00780F55"/>
    <w:rsid w:val="007904D9"/>
    <w:rsid w:val="00790DDF"/>
    <w:rsid w:val="007915C7"/>
    <w:rsid w:val="00796E19"/>
    <w:rsid w:val="00796E54"/>
    <w:rsid w:val="00797794"/>
    <w:rsid w:val="007A2155"/>
    <w:rsid w:val="007A41CD"/>
    <w:rsid w:val="007A4B45"/>
    <w:rsid w:val="007A5BDB"/>
    <w:rsid w:val="007A6E5A"/>
    <w:rsid w:val="007B1EAE"/>
    <w:rsid w:val="007B3649"/>
    <w:rsid w:val="007B3C07"/>
    <w:rsid w:val="007B4269"/>
    <w:rsid w:val="007B4683"/>
    <w:rsid w:val="007B4D1E"/>
    <w:rsid w:val="007B4DB8"/>
    <w:rsid w:val="007B5F97"/>
    <w:rsid w:val="007B7204"/>
    <w:rsid w:val="007C06D5"/>
    <w:rsid w:val="007C2014"/>
    <w:rsid w:val="007C263F"/>
    <w:rsid w:val="007C4108"/>
    <w:rsid w:val="007C57D4"/>
    <w:rsid w:val="007D03E3"/>
    <w:rsid w:val="007D2657"/>
    <w:rsid w:val="007D27E1"/>
    <w:rsid w:val="007D2E71"/>
    <w:rsid w:val="007D31F7"/>
    <w:rsid w:val="007D3B6A"/>
    <w:rsid w:val="007D3B8F"/>
    <w:rsid w:val="007E0464"/>
    <w:rsid w:val="007E051A"/>
    <w:rsid w:val="007E3EF9"/>
    <w:rsid w:val="007E44C2"/>
    <w:rsid w:val="007E47B5"/>
    <w:rsid w:val="007E64BB"/>
    <w:rsid w:val="007E71D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358"/>
    <w:rsid w:val="0082798B"/>
    <w:rsid w:val="00830915"/>
    <w:rsid w:val="00831D30"/>
    <w:rsid w:val="0083237E"/>
    <w:rsid w:val="00834136"/>
    <w:rsid w:val="0083504A"/>
    <w:rsid w:val="0083618B"/>
    <w:rsid w:val="00837B07"/>
    <w:rsid w:val="00840199"/>
    <w:rsid w:val="0084125A"/>
    <w:rsid w:val="0084563E"/>
    <w:rsid w:val="008470BA"/>
    <w:rsid w:val="0084778A"/>
    <w:rsid w:val="00850A62"/>
    <w:rsid w:val="0085101A"/>
    <w:rsid w:val="00851095"/>
    <w:rsid w:val="00853114"/>
    <w:rsid w:val="00853ACD"/>
    <w:rsid w:val="00854D82"/>
    <w:rsid w:val="0085536D"/>
    <w:rsid w:val="0085579D"/>
    <w:rsid w:val="00856944"/>
    <w:rsid w:val="00857761"/>
    <w:rsid w:val="0086090E"/>
    <w:rsid w:val="00861125"/>
    <w:rsid w:val="008650A4"/>
    <w:rsid w:val="0086691C"/>
    <w:rsid w:val="008675C7"/>
    <w:rsid w:val="00870E07"/>
    <w:rsid w:val="00873A6D"/>
    <w:rsid w:val="00873C90"/>
    <w:rsid w:val="0087554B"/>
    <w:rsid w:val="00876629"/>
    <w:rsid w:val="0087685F"/>
    <w:rsid w:val="00876BE1"/>
    <w:rsid w:val="00877D35"/>
    <w:rsid w:val="008850A3"/>
    <w:rsid w:val="00890CFD"/>
    <w:rsid w:val="008931FC"/>
    <w:rsid w:val="00893308"/>
    <w:rsid w:val="00894B20"/>
    <w:rsid w:val="00894D78"/>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61AD"/>
    <w:rsid w:val="009211C4"/>
    <w:rsid w:val="009236BF"/>
    <w:rsid w:val="0093491F"/>
    <w:rsid w:val="009375A4"/>
    <w:rsid w:val="0094117D"/>
    <w:rsid w:val="009416A6"/>
    <w:rsid w:val="009479AD"/>
    <w:rsid w:val="00950639"/>
    <w:rsid w:val="00951B8C"/>
    <w:rsid w:val="0095318C"/>
    <w:rsid w:val="009558A7"/>
    <w:rsid w:val="00956255"/>
    <w:rsid w:val="009564D0"/>
    <w:rsid w:val="00960857"/>
    <w:rsid w:val="009636EA"/>
    <w:rsid w:val="00963EF4"/>
    <w:rsid w:val="00963F91"/>
    <w:rsid w:val="00965889"/>
    <w:rsid w:val="00966264"/>
    <w:rsid w:val="0097049D"/>
    <w:rsid w:val="0097409F"/>
    <w:rsid w:val="0097560B"/>
    <w:rsid w:val="00976736"/>
    <w:rsid w:val="0097746C"/>
    <w:rsid w:val="00977B5C"/>
    <w:rsid w:val="0098015F"/>
    <w:rsid w:val="00980592"/>
    <w:rsid w:val="00980EF3"/>
    <w:rsid w:val="00983CC2"/>
    <w:rsid w:val="0098437F"/>
    <w:rsid w:val="00990455"/>
    <w:rsid w:val="0099140E"/>
    <w:rsid w:val="00992C03"/>
    <w:rsid w:val="0099352F"/>
    <w:rsid w:val="00994779"/>
    <w:rsid w:val="00995176"/>
    <w:rsid w:val="00997950"/>
    <w:rsid w:val="009A068F"/>
    <w:rsid w:val="009A0D7F"/>
    <w:rsid w:val="009A124E"/>
    <w:rsid w:val="009A338B"/>
    <w:rsid w:val="009A41E5"/>
    <w:rsid w:val="009A483F"/>
    <w:rsid w:val="009A503B"/>
    <w:rsid w:val="009A53C3"/>
    <w:rsid w:val="009A6314"/>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304"/>
    <w:rsid w:val="009C3922"/>
    <w:rsid w:val="009C3EC2"/>
    <w:rsid w:val="009C4538"/>
    <w:rsid w:val="009C51AB"/>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164"/>
    <w:rsid w:val="00A02787"/>
    <w:rsid w:val="00A07DE6"/>
    <w:rsid w:val="00A11865"/>
    <w:rsid w:val="00A132F3"/>
    <w:rsid w:val="00A14FAC"/>
    <w:rsid w:val="00A15248"/>
    <w:rsid w:val="00A229F0"/>
    <w:rsid w:val="00A230E6"/>
    <w:rsid w:val="00A25AB6"/>
    <w:rsid w:val="00A25C41"/>
    <w:rsid w:val="00A26754"/>
    <w:rsid w:val="00A268CF"/>
    <w:rsid w:val="00A30C04"/>
    <w:rsid w:val="00A326BD"/>
    <w:rsid w:val="00A3545A"/>
    <w:rsid w:val="00A36DEA"/>
    <w:rsid w:val="00A37CD0"/>
    <w:rsid w:val="00A41F9A"/>
    <w:rsid w:val="00A4540E"/>
    <w:rsid w:val="00A47815"/>
    <w:rsid w:val="00A47EA1"/>
    <w:rsid w:val="00A55BA1"/>
    <w:rsid w:val="00A55F2F"/>
    <w:rsid w:val="00A569E4"/>
    <w:rsid w:val="00A56C1A"/>
    <w:rsid w:val="00A60963"/>
    <w:rsid w:val="00A64935"/>
    <w:rsid w:val="00A7446F"/>
    <w:rsid w:val="00A77A14"/>
    <w:rsid w:val="00A8041F"/>
    <w:rsid w:val="00A812F7"/>
    <w:rsid w:val="00A824AF"/>
    <w:rsid w:val="00A826F0"/>
    <w:rsid w:val="00A85752"/>
    <w:rsid w:val="00A85921"/>
    <w:rsid w:val="00A91559"/>
    <w:rsid w:val="00A92C9E"/>
    <w:rsid w:val="00A930EF"/>
    <w:rsid w:val="00A94D7F"/>
    <w:rsid w:val="00A964BE"/>
    <w:rsid w:val="00A9705F"/>
    <w:rsid w:val="00A97DA4"/>
    <w:rsid w:val="00AA04BA"/>
    <w:rsid w:val="00AA0CD9"/>
    <w:rsid w:val="00AA1CE3"/>
    <w:rsid w:val="00AA461C"/>
    <w:rsid w:val="00AA50FB"/>
    <w:rsid w:val="00AA662F"/>
    <w:rsid w:val="00AA79C4"/>
    <w:rsid w:val="00AB2A9E"/>
    <w:rsid w:val="00AB582C"/>
    <w:rsid w:val="00AB6787"/>
    <w:rsid w:val="00AB7D5D"/>
    <w:rsid w:val="00AC4CEF"/>
    <w:rsid w:val="00AC7FFC"/>
    <w:rsid w:val="00AD0360"/>
    <w:rsid w:val="00AD1BE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5BF9"/>
    <w:rsid w:val="00AF67AC"/>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344B"/>
    <w:rsid w:val="00B24648"/>
    <w:rsid w:val="00B252B2"/>
    <w:rsid w:val="00B26819"/>
    <w:rsid w:val="00B26F72"/>
    <w:rsid w:val="00B30941"/>
    <w:rsid w:val="00B3095D"/>
    <w:rsid w:val="00B309DB"/>
    <w:rsid w:val="00B32670"/>
    <w:rsid w:val="00B32A8C"/>
    <w:rsid w:val="00B33058"/>
    <w:rsid w:val="00B335D6"/>
    <w:rsid w:val="00B33723"/>
    <w:rsid w:val="00B3405E"/>
    <w:rsid w:val="00B41B3D"/>
    <w:rsid w:val="00B427E6"/>
    <w:rsid w:val="00B43A08"/>
    <w:rsid w:val="00B446D0"/>
    <w:rsid w:val="00B500E9"/>
    <w:rsid w:val="00B506FC"/>
    <w:rsid w:val="00B50FF2"/>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046"/>
    <w:rsid w:val="00BA42C4"/>
    <w:rsid w:val="00BA45FE"/>
    <w:rsid w:val="00BA47A9"/>
    <w:rsid w:val="00BA496C"/>
    <w:rsid w:val="00BA5CCA"/>
    <w:rsid w:val="00BA6803"/>
    <w:rsid w:val="00BA785B"/>
    <w:rsid w:val="00BB0D72"/>
    <w:rsid w:val="00BB1216"/>
    <w:rsid w:val="00BB16F2"/>
    <w:rsid w:val="00BB16F3"/>
    <w:rsid w:val="00BB1B19"/>
    <w:rsid w:val="00BB24EB"/>
    <w:rsid w:val="00BB49B1"/>
    <w:rsid w:val="00BB7CEB"/>
    <w:rsid w:val="00BC0F23"/>
    <w:rsid w:val="00BC1394"/>
    <w:rsid w:val="00BC7555"/>
    <w:rsid w:val="00BD2520"/>
    <w:rsid w:val="00BD3278"/>
    <w:rsid w:val="00BD5AFA"/>
    <w:rsid w:val="00BD5F83"/>
    <w:rsid w:val="00BD6631"/>
    <w:rsid w:val="00BE0364"/>
    <w:rsid w:val="00BE063A"/>
    <w:rsid w:val="00BE09A9"/>
    <w:rsid w:val="00BE1FC9"/>
    <w:rsid w:val="00BE4C7C"/>
    <w:rsid w:val="00BF0B00"/>
    <w:rsid w:val="00BF3E2A"/>
    <w:rsid w:val="00BF4558"/>
    <w:rsid w:val="00BF54A4"/>
    <w:rsid w:val="00BF741B"/>
    <w:rsid w:val="00C001B1"/>
    <w:rsid w:val="00C100C9"/>
    <w:rsid w:val="00C1025D"/>
    <w:rsid w:val="00C117C2"/>
    <w:rsid w:val="00C11939"/>
    <w:rsid w:val="00C11C1B"/>
    <w:rsid w:val="00C15025"/>
    <w:rsid w:val="00C152B5"/>
    <w:rsid w:val="00C16A22"/>
    <w:rsid w:val="00C16F28"/>
    <w:rsid w:val="00C219A5"/>
    <w:rsid w:val="00C229D8"/>
    <w:rsid w:val="00C24812"/>
    <w:rsid w:val="00C3071B"/>
    <w:rsid w:val="00C324E6"/>
    <w:rsid w:val="00C33788"/>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6C4F"/>
    <w:rsid w:val="00C676AD"/>
    <w:rsid w:val="00C67FE7"/>
    <w:rsid w:val="00C70494"/>
    <w:rsid w:val="00C72423"/>
    <w:rsid w:val="00C744C3"/>
    <w:rsid w:val="00C749BC"/>
    <w:rsid w:val="00C75DF3"/>
    <w:rsid w:val="00C76B61"/>
    <w:rsid w:val="00C76C0E"/>
    <w:rsid w:val="00C76CCF"/>
    <w:rsid w:val="00C80742"/>
    <w:rsid w:val="00C81DA7"/>
    <w:rsid w:val="00C82A4A"/>
    <w:rsid w:val="00C82D34"/>
    <w:rsid w:val="00C830C9"/>
    <w:rsid w:val="00C84A4A"/>
    <w:rsid w:val="00C8763B"/>
    <w:rsid w:val="00C9095A"/>
    <w:rsid w:val="00C91CF9"/>
    <w:rsid w:val="00C9414E"/>
    <w:rsid w:val="00C950B4"/>
    <w:rsid w:val="00C9578D"/>
    <w:rsid w:val="00C9720B"/>
    <w:rsid w:val="00CA0295"/>
    <w:rsid w:val="00CA2DE4"/>
    <w:rsid w:val="00CA3644"/>
    <w:rsid w:val="00CA5169"/>
    <w:rsid w:val="00CB08EA"/>
    <w:rsid w:val="00CB1CBB"/>
    <w:rsid w:val="00CB2908"/>
    <w:rsid w:val="00CB56E5"/>
    <w:rsid w:val="00CB5D7D"/>
    <w:rsid w:val="00CB6B4E"/>
    <w:rsid w:val="00CC3DC6"/>
    <w:rsid w:val="00CC45A6"/>
    <w:rsid w:val="00CC70CB"/>
    <w:rsid w:val="00CD20C1"/>
    <w:rsid w:val="00CD3CBE"/>
    <w:rsid w:val="00CD5614"/>
    <w:rsid w:val="00CD6760"/>
    <w:rsid w:val="00CD711A"/>
    <w:rsid w:val="00CD7F18"/>
    <w:rsid w:val="00CE03DE"/>
    <w:rsid w:val="00CE0C91"/>
    <w:rsid w:val="00CE3D85"/>
    <w:rsid w:val="00CE49B4"/>
    <w:rsid w:val="00CF046F"/>
    <w:rsid w:val="00CF13B7"/>
    <w:rsid w:val="00CF1452"/>
    <w:rsid w:val="00CF2BC7"/>
    <w:rsid w:val="00CF4BB1"/>
    <w:rsid w:val="00CF569B"/>
    <w:rsid w:val="00CF6822"/>
    <w:rsid w:val="00CF6960"/>
    <w:rsid w:val="00D00C86"/>
    <w:rsid w:val="00D01A62"/>
    <w:rsid w:val="00D02269"/>
    <w:rsid w:val="00D03C54"/>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27E62"/>
    <w:rsid w:val="00D30DAA"/>
    <w:rsid w:val="00D313A3"/>
    <w:rsid w:val="00D341C5"/>
    <w:rsid w:val="00D343D8"/>
    <w:rsid w:val="00D347E0"/>
    <w:rsid w:val="00D34AD8"/>
    <w:rsid w:val="00D35507"/>
    <w:rsid w:val="00D359B7"/>
    <w:rsid w:val="00D42D5A"/>
    <w:rsid w:val="00D4304C"/>
    <w:rsid w:val="00D443D8"/>
    <w:rsid w:val="00D4618E"/>
    <w:rsid w:val="00D47918"/>
    <w:rsid w:val="00D5278B"/>
    <w:rsid w:val="00D553EC"/>
    <w:rsid w:val="00D55FB1"/>
    <w:rsid w:val="00D566DE"/>
    <w:rsid w:val="00D56FEF"/>
    <w:rsid w:val="00D57071"/>
    <w:rsid w:val="00D57598"/>
    <w:rsid w:val="00D57FBF"/>
    <w:rsid w:val="00D60436"/>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57D5"/>
    <w:rsid w:val="00DB59FD"/>
    <w:rsid w:val="00DB6614"/>
    <w:rsid w:val="00DC0024"/>
    <w:rsid w:val="00DC097A"/>
    <w:rsid w:val="00DC2155"/>
    <w:rsid w:val="00DC3A1A"/>
    <w:rsid w:val="00DC441A"/>
    <w:rsid w:val="00DC5172"/>
    <w:rsid w:val="00DC5921"/>
    <w:rsid w:val="00DC5BDD"/>
    <w:rsid w:val="00DC6D92"/>
    <w:rsid w:val="00DD0238"/>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78D"/>
    <w:rsid w:val="00DF538D"/>
    <w:rsid w:val="00DF635A"/>
    <w:rsid w:val="00DF6BB3"/>
    <w:rsid w:val="00E042F4"/>
    <w:rsid w:val="00E04732"/>
    <w:rsid w:val="00E05096"/>
    <w:rsid w:val="00E0741E"/>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0BDC"/>
    <w:rsid w:val="00E417E3"/>
    <w:rsid w:val="00E43799"/>
    <w:rsid w:val="00E43A72"/>
    <w:rsid w:val="00E43E7A"/>
    <w:rsid w:val="00E43F64"/>
    <w:rsid w:val="00E478CC"/>
    <w:rsid w:val="00E51A47"/>
    <w:rsid w:val="00E54722"/>
    <w:rsid w:val="00E547F0"/>
    <w:rsid w:val="00E55A96"/>
    <w:rsid w:val="00E577F2"/>
    <w:rsid w:val="00E623A7"/>
    <w:rsid w:val="00E63C52"/>
    <w:rsid w:val="00E64254"/>
    <w:rsid w:val="00E654A8"/>
    <w:rsid w:val="00E6637B"/>
    <w:rsid w:val="00E67D1E"/>
    <w:rsid w:val="00E7033D"/>
    <w:rsid w:val="00E70C10"/>
    <w:rsid w:val="00E74981"/>
    <w:rsid w:val="00E76148"/>
    <w:rsid w:val="00E8258B"/>
    <w:rsid w:val="00E8472C"/>
    <w:rsid w:val="00E84DF2"/>
    <w:rsid w:val="00E84F99"/>
    <w:rsid w:val="00E86237"/>
    <w:rsid w:val="00E86FCB"/>
    <w:rsid w:val="00E87A1A"/>
    <w:rsid w:val="00E90A56"/>
    <w:rsid w:val="00E918BD"/>
    <w:rsid w:val="00E92F16"/>
    <w:rsid w:val="00E94F15"/>
    <w:rsid w:val="00E97A6D"/>
    <w:rsid w:val="00EA02F6"/>
    <w:rsid w:val="00EA23F0"/>
    <w:rsid w:val="00EA27A2"/>
    <w:rsid w:val="00EA28AA"/>
    <w:rsid w:val="00EA37A1"/>
    <w:rsid w:val="00EA4948"/>
    <w:rsid w:val="00EA4DBF"/>
    <w:rsid w:val="00EA5089"/>
    <w:rsid w:val="00EA5434"/>
    <w:rsid w:val="00EA5DC9"/>
    <w:rsid w:val="00EA5EC7"/>
    <w:rsid w:val="00EA7EFB"/>
    <w:rsid w:val="00EB0DD8"/>
    <w:rsid w:val="00EB2E3F"/>
    <w:rsid w:val="00EB30DB"/>
    <w:rsid w:val="00EB3FD5"/>
    <w:rsid w:val="00EB4B17"/>
    <w:rsid w:val="00EB7973"/>
    <w:rsid w:val="00EC0FDA"/>
    <w:rsid w:val="00EC3BF9"/>
    <w:rsid w:val="00EC3CCE"/>
    <w:rsid w:val="00EC4D3D"/>
    <w:rsid w:val="00EC66CA"/>
    <w:rsid w:val="00EC7ADB"/>
    <w:rsid w:val="00ED2A13"/>
    <w:rsid w:val="00ED40B2"/>
    <w:rsid w:val="00ED4A15"/>
    <w:rsid w:val="00ED4E9F"/>
    <w:rsid w:val="00ED51D0"/>
    <w:rsid w:val="00ED6A08"/>
    <w:rsid w:val="00ED6E8F"/>
    <w:rsid w:val="00EE0450"/>
    <w:rsid w:val="00EE37C8"/>
    <w:rsid w:val="00EE5718"/>
    <w:rsid w:val="00EE59BC"/>
    <w:rsid w:val="00EE7A85"/>
    <w:rsid w:val="00EF03E8"/>
    <w:rsid w:val="00EF3C58"/>
    <w:rsid w:val="00EF45D4"/>
    <w:rsid w:val="00EF59CB"/>
    <w:rsid w:val="00EF6098"/>
    <w:rsid w:val="00F0047B"/>
    <w:rsid w:val="00F016FA"/>
    <w:rsid w:val="00F02173"/>
    <w:rsid w:val="00F03FBE"/>
    <w:rsid w:val="00F04342"/>
    <w:rsid w:val="00F048D9"/>
    <w:rsid w:val="00F04E22"/>
    <w:rsid w:val="00F05755"/>
    <w:rsid w:val="00F07FAF"/>
    <w:rsid w:val="00F125FF"/>
    <w:rsid w:val="00F12675"/>
    <w:rsid w:val="00F12E9C"/>
    <w:rsid w:val="00F13E8E"/>
    <w:rsid w:val="00F149F6"/>
    <w:rsid w:val="00F14B4D"/>
    <w:rsid w:val="00F151DB"/>
    <w:rsid w:val="00F2145D"/>
    <w:rsid w:val="00F22A55"/>
    <w:rsid w:val="00F23F94"/>
    <w:rsid w:val="00F24030"/>
    <w:rsid w:val="00F242B0"/>
    <w:rsid w:val="00F242B2"/>
    <w:rsid w:val="00F257E5"/>
    <w:rsid w:val="00F25C6B"/>
    <w:rsid w:val="00F270D4"/>
    <w:rsid w:val="00F27F09"/>
    <w:rsid w:val="00F3027E"/>
    <w:rsid w:val="00F3092F"/>
    <w:rsid w:val="00F30EA4"/>
    <w:rsid w:val="00F3488E"/>
    <w:rsid w:val="00F35D70"/>
    <w:rsid w:val="00F36FF9"/>
    <w:rsid w:val="00F3762F"/>
    <w:rsid w:val="00F41DFE"/>
    <w:rsid w:val="00F436AB"/>
    <w:rsid w:val="00F43CCF"/>
    <w:rsid w:val="00F4490B"/>
    <w:rsid w:val="00F451CB"/>
    <w:rsid w:val="00F45BCA"/>
    <w:rsid w:val="00F51F08"/>
    <w:rsid w:val="00F52571"/>
    <w:rsid w:val="00F54AF5"/>
    <w:rsid w:val="00F57A04"/>
    <w:rsid w:val="00F644CD"/>
    <w:rsid w:val="00F65523"/>
    <w:rsid w:val="00F6664A"/>
    <w:rsid w:val="00F66CC3"/>
    <w:rsid w:val="00F674FB"/>
    <w:rsid w:val="00F7052D"/>
    <w:rsid w:val="00F737C1"/>
    <w:rsid w:val="00F7536F"/>
    <w:rsid w:val="00F768B9"/>
    <w:rsid w:val="00F80D9C"/>
    <w:rsid w:val="00F825B6"/>
    <w:rsid w:val="00F83075"/>
    <w:rsid w:val="00F84F1C"/>
    <w:rsid w:val="00F859AF"/>
    <w:rsid w:val="00F91423"/>
    <w:rsid w:val="00F94FC9"/>
    <w:rsid w:val="00FA093F"/>
    <w:rsid w:val="00FA32B6"/>
    <w:rsid w:val="00FA36B4"/>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E22"/>
    <w:rsid w:val="00FD7085"/>
    <w:rsid w:val="00FE122A"/>
    <w:rsid w:val="00FE2544"/>
    <w:rsid w:val="00FE41D5"/>
    <w:rsid w:val="00FE43B3"/>
    <w:rsid w:val="00FE48E3"/>
    <w:rsid w:val="00FE4BE5"/>
    <w:rsid w:val="00FE6F2D"/>
    <w:rsid w:val="00FF1466"/>
    <w:rsid w:val="00FF30FF"/>
    <w:rsid w:val="00FF411B"/>
    <w:rsid w:val="00FF44B1"/>
    <w:rsid w:val="00FF6AD9"/>
    <w:rsid w:val="00FF700D"/>
    <w:rsid w:val="00FF789C"/>
    <w:rsid w:val="01C741D1"/>
    <w:rsid w:val="02034615"/>
    <w:rsid w:val="0303B058"/>
    <w:rsid w:val="0500DE92"/>
    <w:rsid w:val="066751CB"/>
    <w:rsid w:val="06FA5BD6"/>
    <w:rsid w:val="07485C1A"/>
    <w:rsid w:val="09D74E0A"/>
    <w:rsid w:val="0F8BE962"/>
    <w:rsid w:val="1031C50E"/>
    <w:rsid w:val="11715C71"/>
    <w:rsid w:val="12394FD7"/>
    <w:rsid w:val="132C840A"/>
    <w:rsid w:val="14089F93"/>
    <w:rsid w:val="164938E2"/>
    <w:rsid w:val="16C7FCDC"/>
    <w:rsid w:val="16CB0A97"/>
    <w:rsid w:val="17970F30"/>
    <w:rsid w:val="17BCBBEE"/>
    <w:rsid w:val="196F0510"/>
    <w:rsid w:val="1980D9A4"/>
    <w:rsid w:val="199DCB3F"/>
    <w:rsid w:val="19D73CA9"/>
    <w:rsid w:val="1B1CAA05"/>
    <w:rsid w:val="1CF5B50E"/>
    <w:rsid w:val="2037E8DA"/>
    <w:rsid w:val="2176E774"/>
    <w:rsid w:val="23369372"/>
    <w:rsid w:val="2555F394"/>
    <w:rsid w:val="27ECE3A8"/>
    <w:rsid w:val="288AECCF"/>
    <w:rsid w:val="29CE45E8"/>
    <w:rsid w:val="2A2F1D5A"/>
    <w:rsid w:val="2C429134"/>
    <w:rsid w:val="2C56DD0C"/>
    <w:rsid w:val="2D594EE2"/>
    <w:rsid w:val="31B81A66"/>
    <w:rsid w:val="32028217"/>
    <w:rsid w:val="33231928"/>
    <w:rsid w:val="355AB2BC"/>
    <w:rsid w:val="359CA014"/>
    <w:rsid w:val="359E7ABB"/>
    <w:rsid w:val="36F556BA"/>
    <w:rsid w:val="370AB4DE"/>
    <w:rsid w:val="379B2633"/>
    <w:rsid w:val="38927D49"/>
    <w:rsid w:val="39DA8BB4"/>
    <w:rsid w:val="3AC4F676"/>
    <w:rsid w:val="3DA9B66B"/>
    <w:rsid w:val="3E18723D"/>
    <w:rsid w:val="3F15E520"/>
    <w:rsid w:val="3F31E37D"/>
    <w:rsid w:val="3F6BAB5F"/>
    <w:rsid w:val="4001D730"/>
    <w:rsid w:val="40562543"/>
    <w:rsid w:val="409D8F2E"/>
    <w:rsid w:val="40C82ED0"/>
    <w:rsid w:val="414D6057"/>
    <w:rsid w:val="41AC1D3C"/>
    <w:rsid w:val="42E19F2F"/>
    <w:rsid w:val="43623E81"/>
    <w:rsid w:val="43F547BE"/>
    <w:rsid w:val="440366FA"/>
    <w:rsid w:val="470CD0B2"/>
    <w:rsid w:val="49AD393B"/>
    <w:rsid w:val="4B1F0C0A"/>
    <w:rsid w:val="4C7ED827"/>
    <w:rsid w:val="4CEBFD3A"/>
    <w:rsid w:val="4CFEA46A"/>
    <w:rsid w:val="4D6AAD94"/>
    <w:rsid w:val="4DA64299"/>
    <w:rsid w:val="4DEE113F"/>
    <w:rsid w:val="4E2AB46F"/>
    <w:rsid w:val="4E55569E"/>
    <w:rsid w:val="4F1E08BA"/>
    <w:rsid w:val="4F568A2F"/>
    <w:rsid w:val="4F98B41B"/>
    <w:rsid w:val="50DE529A"/>
    <w:rsid w:val="518CF760"/>
    <w:rsid w:val="51B73D10"/>
    <w:rsid w:val="523E1EB7"/>
    <w:rsid w:val="52BDEAFA"/>
    <w:rsid w:val="53635E1A"/>
    <w:rsid w:val="54FE652D"/>
    <w:rsid w:val="5560584F"/>
    <w:rsid w:val="55C38424"/>
    <w:rsid w:val="56A91E18"/>
    <w:rsid w:val="577C2537"/>
    <w:rsid w:val="58C191FC"/>
    <w:rsid w:val="59D2D52B"/>
    <w:rsid w:val="5A2486D9"/>
    <w:rsid w:val="5A797F17"/>
    <w:rsid w:val="5B067682"/>
    <w:rsid w:val="5B117FA3"/>
    <w:rsid w:val="5BF932BE"/>
    <w:rsid w:val="5CFF03D0"/>
    <w:rsid w:val="5D636DB9"/>
    <w:rsid w:val="5DA5C433"/>
    <w:rsid w:val="5EB5F56A"/>
    <w:rsid w:val="601F9D4A"/>
    <w:rsid w:val="60334099"/>
    <w:rsid w:val="6045AA7C"/>
    <w:rsid w:val="61C6D5C5"/>
    <w:rsid w:val="61F860CB"/>
    <w:rsid w:val="627F0BEE"/>
    <w:rsid w:val="6298344B"/>
    <w:rsid w:val="6593D0C9"/>
    <w:rsid w:val="65D8F6BA"/>
    <w:rsid w:val="65ED68B8"/>
    <w:rsid w:val="66A77B42"/>
    <w:rsid w:val="66C015C8"/>
    <w:rsid w:val="672BE416"/>
    <w:rsid w:val="68577ADB"/>
    <w:rsid w:val="69563790"/>
    <w:rsid w:val="6A7ADB3A"/>
    <w:rsid w:val="6AB7FB06"/>
    <w:rsid w:val="6B208EA8"/>
    <w:rsid w:val="6BD0494E"/>
    <w:rsid w:val="6C03124D"/>
    <w:rsid w:val="6C249806"/>
    <w:rsid w:val="6D5FA396"/>
    <w:rsid w:val="6FAE94DA"/>
    <w:rsid w:val="711E2861"/>
    <w:rsid w:val="72AA4003"/>
    <w:rsid w:val="7388F2AB"/>
    <w:rsid w:val="73DF8974"/>
    <w:rsid w:val="74E0D142"/>
    <w:rsid w:val="74E8BEC8"/>
    <w:rsid w:val="7538CB02"/>
    <w:rsid w:val="7615F54E"/>
    <w:rsid w:val="767CA1A3"/>
    <w:rsid w:val="76FE84D4"/>
    <w:rsid w:val="775433ED"/>
    <w:rsid w:val="77D592F5"/>
    <w:rsid w:val="78205F8A"/>
    <w:rsid w:val="78C86CF8"/>
    <w:rsid w:val="78D83759"/>
    <w:rsid w:val="78F64101"/>
    <w:rsid w:val="7913B584"/>
    <w:rsid w:val="7B7A8DBC"/>
    <w:rsid w:val="7B904025"/>
    <w:rsid w:val="7CBD53A0"/>
    <w:rsid w:val="7CCDB9F2"/>
    <w:rsid w:val="7EA72B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3BC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5D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