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918F2D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29CF18" w14:textId="77777777">
      <w:pPr>
        <w:pStyle w:val="StyleBoldCentered"/>
      </w:pPr>
      <w:r>
        <w:t>F</w:t>
      </w:r>
      <w:r>
        <w:rPr>
          <w:caps w:val="0"/>
        </w:rPr>
        <w:t>ederal Communications Commission</w:t>
      </w:r>
    </w:p>
    <w:p w:rsidR="004C2EE3" w:rsidP="00096D8C" w14:paraId="67FA9825" w14:textId="77777777">
      <w:pPr>
        <w:pStyle w:val="StyleBoldCentered"/>
      </w:pPr>
      <w:r>
        <w:rPr>
          <w:caps w:val="0"/>
        </w:rPr>
        <w:t>Washington, D.C. 20554</w:t>
      </w:r>
    </w:p>
    <w:p w:rsidR="004C2EE3" w:rsidP="0070224F" w14:paraId="13ABA7C6" w14:textId="77777777"/>
    <w:p w:rsidR="004C2EE3" w:rsidP="0070224F" w14:paraId="3B5012B9" w14:textId="77777777"/>
    <w:tbl>
      <w:tblPr>
        <w:tblW w:w="0" w:type="auto"/>
        <w:tblLayout w:type="fixed"/>
        <w:tblLook w:val="0000"/>
      </w:tblPr>
      <w:tblGrid>
        <w:gridCol w:w="4698"/>
        <w:gridCol w:w="630"/>
        <w:gridCol w:w="4248"/>
      </w:tblGrid>
      <w:tr w14:paraId="16889892" w14:textId="77777777">
        <w:tblPrEx>
          <w:tblW w:w="0" w:type="auto"/>
          <w:tblLayout w:type="fixed"/>
          <w:tblLook w:val="0000"/>
        </w:tblPrEx>
        <w:tc>
          <w:tcPr>
            <w:tcW w:w="4698" w:type="dxa"/>
          </w:tcPr>
          <w:p w:rsidR="004C2EE3" w14:paraId="09EB1B1A" w14:textId="77777777">
            <w:pPr>
              <w:tabs>
                <w:tab w:val="center" w:pos="4680"/>
              </w:tabs>
              <w:suppressAutoHyphens/>
              <w:rPr>
                <w:spacing w:val="-2"/>
              </w:rPr>
            </w:pPr>
            <w:r>
              <w:rPr>
                <w:spacing w:val="-2"/>
              </w:rPr>
              <w:t>In the Matter of</w:t>
            </w:r>
          </w:p>
          <w:p w:rsidR="004C2EE3" w14:paraId="1B7B6A65" w14:textId="77777777">
            <w:pPr>
              <w:tabs>
                <w:tab w:val="center" w:pos="4680"/>
              </w:tabs>
              <w:suppressAutoHyphens/>
              <w:rPr>
                <w:spacing w:val="-2"/>
              </w:rPr>
            </w:pPr>
          </w:p>
          <w:p w:rsidR="00F32DD7" w:rsidP="00F32DD7" w14:paraId="54C9441B" w14:textId="77777777">
            <w:pPr>
              <w:tabs>
                <w:tab w:val="center" w:pos="4680"/>
              </w:tabs>
              <w:suppressAutoHyphens/>
            </w:pPr>
            <w:r>
              <w:rPr>
                <w:spacing w:val="-2"/>
              </w:rPr>
              <w:t xml:space="preserve">Requests for Waiver of Decisions of </w:t>
            </w:r>
            <w:r w:rsidRPr="00E22506">
              <w:rPr>
                <w:spacing w:val="-2"/>
              </w:rPr>
              <w:t>the Emergency Connectivity Fund Program Administrator</w:t>
            </w:r>
            <w:r>
              <w:rPr>
                <w:spacing w:val="-2"/>
              </w:rPr>
              <w:t xml:space="preserve"> by</w:t>
            </w:r>
          </w:p>
          <w:p w:rsidR="004C2EE3" w:rsidP="007115F7" w14:paraId="68290D11" w14:textId="77777777">
            <w:pPr>
              <w:tabs>
                <w:tab w:val="center" w:pos="4680"/>
              </w:tabs>
              <w:suppressAutoHyphens/>
              <w:rPr>
                <w:spacing w:val="-2"/>
              </w:rPr>
            </w:pPr>
          </w:p>
          <w:p w:rsidR="00F32DD7" w:rsidP="00F32DD7" w14:paraId="09E7368C" w14:textId="77777777">
            <w:pPr>
              <w:tabs>
                <w:tab w:val="center" w:pos="4680"/>
              </w:tabs>
              <w:suppressAutoHyphens/>
            </w:pPr>
            <w:r>
              <w:t>Evans-Brant Central School District</w:t>
            </w:r>
            <w:r w:rsidRPr="002847D6">
              <w:rPr>
                <w:highlight w:val="yellow"/>
              </w:rPr>
              <w:t xml:space="preserve"> </w:t>
            </w:r>
          </w:p>
          <w:p w:rsidR="00F32DD7" w:rsidP="00F32DD7" w14:paraId="06244585" w14:textId="08192DB6">
            <w:pPr>
              <w:tabs>
                <w:tab w:val="center" w:pos="4680"/>
              </w:tabs>
              <w:suppressAutoHyphens/>
              <w:rPr>
                <w:i/>
                <w:iCs/>
              </w:rPr>
            </w:pPr>
            <w:r>
              <w:t xml:space="preserve">Angola, </w:t>
            </w:r>
            <w:r w:rsidR="00A753D7">
              <w:t>NY</w:t>
            </w:r>
            <w:r>
              <w:t xml:space="preserve">, </w:t>
            </w:r>
            <w:r w:rsidRPr="000241FA">
              <w:t>et al.</w:t>
            </w:r>
          </w:p>
          <w:p w:rsidR="00F32DD7" w:rsidP="00F32DD7" w14:paraId="3EB47CA6" w14:textId="2D1EB2F7">
            <w:pPr>
              <w:tabs>
                <w:tab w:val="center" w:pos="4680"/>
              </w:tabs>
              <w:suppressAutoHyphens/>
              <w:rPr>
                <w:i/>
                <w:iCs/>
              </w:rPr>
            </w:pPr>
          </w:p>
          <w:p w:rsidR="00F32DD7" w:rsidP="00F32DD7" w14:paraId="0DC46C39" w14:textId="02C2CE6B">
            <w:pPr>
              <w:tabs>
                <w:tab w:val="center" w:pos="4680"/>
              </w:tabs>
              <w:suppressAutoHyphens/>
            </w:pPr>
            <w:r>
              <w:rPr>
                <w:spacing w:val="-2"/>
              </w:rPr>
              <w:t>Establishing Emergency Connectivity Fund to Close the Homework Gap</w:t>
            </w:r>
          </w:p>
          <w:p w:rsidR="00F32DD7" w:rsidRPr="007115F7" w:rsidP="007115F7" w14:paraId="68AD7623" w14:textId="6F534272">
            <w:pPr>
              <w:tabs>
                <w:tab w:val="center" w:pos="4680"/>
              </w:tabs>
              <w:suppressAutoHyphens/>
              <w:rPr>
                <w:spacing w:val="-2"/>
              </w:rPr>
            </w:pPr>
          </w:p>
        </w:tc>
        <w:tc>
          <w:tcPr>
            <w:tcW w:w="630" w:type="dxa"/>
          </w:tcPr>
          <w:p w:rsidR="004C2EE3" w14:paraId="619A0790" w14:textId="77777777">
            <w:pPr>
              <w:tabs>
                <w:tab w:val="center" w:pos="4680"/>
              </w:tabs>
              <w:suppressAutoHyphens/>
              <w:rPr>
                <w:b/>
                <w:spacing w:val="-2"/>
              </w:rPr>
            </w:pPr>
            <w:r>
              <w:rPr>
                <w:b/>
                <w:spacing w:val="-2"/>
              </w:rPr>
              <w:t>)</w:t>
            </w:r>
          </w:p>
          <w:p w:rsidR="004C2EE3" w14:paraId="6D20F9E6" w14:textId="77777777">
            <w:pPr>
              <w:tabs>
                <w:tab w:val="center" w:pos="4680"/>
              </w:tabs>
              <w:suppressAutoHyphens/>
              <w:rPr>
                <w:b/>
                <w:spacing w:val="-2"/>
              </w:rPr>
            </w:pPr>
            <w:r>
              <w:rPr>
                <w:b/>
                <w:spacing w:val="-2"/>
              </w:rPr>
              <w:t>)</w:t>
            </w:r>
          </w:p>
          <w:p w:rsidR="004C2EE3" w14:paraId="251FDD8C" w14:textId="77777777">
            <w:pPr>
              <w:tabs>
                <w:tab w:val="center" w:pos="4680"/>
              </w:tabs>
              <w:suppressAutoHyphens/>
              <w:rPr>
                <w:b/>
                <w:spacing w:val="-2"/>
              </w:rPr>
            </w:pPr>
            <w:r>
              <w:rPr>
                <w:b/>
                <w:spacing w:val="-2"/>
              </w:rPr>
              <w:t>)</w:t>
            </w:r>
          </w:p>
          <w:p w:rsidR="004C2EE3" w14:paraId="52831A67" w14:textId="77777777">
            <w:pPr>
              <w:tabs>
                <w:tab w:val="center" w:pos="4680"/>
              </w:tabs>
              <w:suppressAutoHyphens/>
              <w:rPr>
                <w:b/>
                <w:spacing w:val="-2"/>
              </w:rPr>
            </w:pPr>
            <w:r>
              <w:rPr>
                <w:b/>
                <w:spacing w:val="-2"/>
              </w:rPr>
              <w:t>)</w:t>
            </w:r>
          </w:p>
          <w:p w:rsidR="004C2EE3" w14:paraId="0A98B365" w14:textId="77777777">
            <w:pPr>
              <w:tabs>
                <w:tab w:val="center" w:pos="4680"/>
              </w:tabs>
              <w:suppressAutoHyphens/>
              <w:rPr>
                <w:b/>
                <w:spacing w:val="-2"/>
              </w:rPr>
            </w:pPr>
            <w:r>
              <w:rPr>
                <w:b/>
                <w:spacing w:val="-2"/>
              </w:rPr>
              <w:t>)</w:t>
            </w:r>
          </w:p>
          <w:p w:rsidR="004C2EE3" w14:paraId="1F26D23B" w14:textId="77777777">
            <w:pPr>
              <w:tabs>
                <w:tab w:val="center" w:pos="4680"/>
              </w:tabs>
              <w:suppressAutoHyphens/>
              <w:rPr>
                <w:b/>
                <w:spacing w:val="-2"/>
              </w:rPr>
            </w:pPr>
            <w:r>
              <w:rPr>
                <w:b/>
                <w:spacing w:val="-2"/>
              </w:rPr>
              <w:t>)</w:t>
            </w:r>
          </w:p>
          <w:p w:rsidR="004C2EE3" w14:paraId="2F5BDF2D" w14:textId="77777777">
            <w:pPr>
              <w:tabs>
                <w:tab w:val="center" w:pos="4680"/>
              </w:tabs>
              <w:suppressAutoHyphens/>
              <w:rPr>
                <w:b/>
                <w:spacing w:val="-2"/>
              </w:rPr>
            </w:pPr>
            <w:r>
              <w:rPr>
                <w:b/>
                <w:spacing w:val="-2"/>
              </w:rPr>
              <w:t>)</w:t>
            </w:r>
          </w:p>
          <w:p w:rsidR="004C2EE3" w14:paraId="728D8E99" w14:textId="77777777">
            <w:pPr>
              <w:tabs>
                <w:tab w:val="center" w:pos="4680"/>
              </w:tabs>
              <w:suppressAutoHyphens/>
              <w:rPr>
                <w:b/>
                <w:spacing w:val="-2"/>
              </w:rPr>
            </w:pPr>
            <w:r>
              <w:rPr>
                <w:b/>
                <w:spacing w:val="-2"/>
              </w:rPr>
              <w:t>)</w:t>
            </w:r>
          </w:p>
          <w:p w:rsidR="004C2EE3" w14:paraId="4CCA2353" w14:textId="77777777">
            <w:pPr>
              <w:tabs>
                <w:tab w:val="center" w:pos="4680"/>
              </w:tabs>
              <w:suppressAutoHyphens/>
              <w:rPr>
                <w:b/>
                <w:spacing w:val="-2"/>
              </w:rPr>
            </w:pPr>
            <w:r>
              <w:rPr>
                <w:b/>
                <w:spacing w:val="-2"/>
              </w:rPr>
              <w:t>)</w:t>
            </w:r>
          </w:p>
          <w:p w:rsidR="00F32DD7" w14:paraId="6A247E5B" w14:textId="77777777">
            <w:pPr>
              <w:tabs>
                <w:tab w:val="center" w:pos="4680"/>
              </w:tabs>
              <w:suppressAutoHyphens/>
              <w:rPr>
                <w:b/>
                <w:spacing w:val="-2"/>
              </w:rPr>
            </w:pPr>
            <w:r>
              <w:rPr>
                <w:b/>
                <w:spacing w:val="-2"/>
              </w:rPr>
              <w:t>)</w:t>
            </w:r>
          </w:p>
          <w:p w:rsidR="00F32DD7" w14:paraId="34B82D13" w14:textId="77777777">
            <w:pPr>
              <w:tabs>
                <w:tab w:val="center" w:pos="4680"/>
              </w:tabs>
              <w:suppressAutoHyphens/>
              <w:rPr>
                <w:b/>
                <w:spacing w:val="-2"/>
              </w:rPr>
            </w:pPr>
            <w:r>
              <w:rPr>
                <w:b/>
                <w:spacing w:val="-2"/>
              </w:rPr>
              <w:t>)</w:t>
            </w:r>
          </w:p>
          <w:p w:rsidR="00F32DD7" w14:paraId="3BA467D6" w14:textId="2CF456F1">
            <w:pPr>
              <w:tabs>
                <w:tab w:val="center" w:pos="4680"/>
              </w:tabs>
              <w:suppressAutoHyphens/>
              <w:rPr>
                <w:spacing w:val="-2"/>
              </w:rPr>
            </w:pPr>
          </w:p>
        </w:tc>
        <w:tc>
          <w:tcPr>
            <w:tcW w:w="4248" w:type="dxa"/>
          </w:tcPr>
          <w:p w:rsidR="004C2EE3" w14:paraId="2D305815" w14:textId="77777777">
            <w:pPr>
              <w:tabs>
                <w:tab w:val="center" w:pos="4680"/>
              </w:tabs>
              <w:suppressAutoHyphens/>
              <w:rPr>
                <w:spacing w:val="-2"/>
              </w:rPr>
            </w:pPr>
          </w:p>
          <w:p w:rsidR="004C2EE3" w14:paraId="32AFE137" w14:textId="77777777">
            <w:pPr>
              <w:pStyle w:val="TOAHeading"/>
              <w:tabs>
                <w:tab w:val="center" w:pos="4680"/>
                <w:tab w:val="clear" w:pos="9360"/>
              </w:tabs>
              <w:rPr>
                <w:spacing w:val="-2"/>
              </w:rPr>
            </w:pPr>
          </w:p>
          <w:p w:rsidR="00F32DD7" w14:paraId="2FBA7025" w14:textId="77777777">
            <w:pPr>
              <w:tabs>
                <w:tab w:val="center" w:pos="4680"/>
              </w:tabs>
              <w:suppressAutoHyphens/>
              <w:rPr>
                <w:spacing w:val="-2"/>
              </w:rPr>
            </w:pPr>
          </w:p>
          <w:p w:rsidR="00F32DD7" w14:paraId="59C21DBB" w14:textId="77777777">
            <w:pPr>
              <w:tabs>
                <w:tab w:val="center" w:pos="4680"/>
              </w:tabs>
              <w:suppressAutoHyphens/>
              <w:rPr>
                <w:spacing w:val="-2"/>
              </w:rPr>
            </w:pPr>
          </w:p>
          <w:p w:rsidR="00F32DD7" w14:paraId="7A30B495" w14:textId="77777777">
            <w:pPr>
              <w:tabs>
                <w:tab w:val="center" w:pos="4680"/>
              </w:tabs>
              <w:suppressAutoHyphens/>
              <w:rPr>
                <w:spacing w:val="-2"/>
              </w:rPr>
            </w:pPr>
          </w:p>
          <w:p w:rsidR="00F32DD7" w14:paraId="681DB450" w14:textId="77777777">
            <w:pPr>
              <w:tabs>
                <w:tab w:val="center" w:pos="4680"/>
              </w:tabs>
              <w:suppressAutoHyphens/>
              <w:rPr>
                <w:spacing w:val="-2"/>
              </w:rPr>
            </w:pPr>
          </w:p>
          <w:p w:rsidR="00F32DD7" w:rsidP="00F32DD7" w14:paraId="692AB13E" w14:textId="4F5DD843">
            <w:pPr>
              <w:tabs>
                <w:tab w:val="center" w:pos="4680"/>
              </w:tabs>
              <w:suppressAutoHyphens/>
            </w:pPr>
            <w:r w:rsidRPr="00E47AC3">
              <w:t>ECF202209790</w:t>
            </w:r>
            <w:r w:rsidRPr="002847D6">
              <w:t xml:space="preserve"> </w:t>
            </w:r>
            <w:r w:rsidRPr="000241FA">
              <w:t>et al.</w:t>
            </w:r>
          </w:p>
          <w:p w:rsidR="004C2EE3" w14:paraId="5AAE2AB7" w14:textId="77777777">
            <w:pPr>
              <w:tabs>
                <w:tab w:val="center" w:pos="4680"/>
              </w:tabs>
              <w:suppressAutoHyphens/>
              <w:rPr>
                <w:spacing w:val="-2"/>
              </w:rPr>
            </w:pPr>
          </w:p>
          <w:p w:rsidR="00F32DD7" w14:paraId="10A6060D" w14:textId="77777777">
            <w:pPr>
              <w:tabs>
                <w:tab w:val="center" w:pos="4680"/>
              </w:tabs>
              <w:suppressAutoHyphens/>
              <w:rPr>
                <w:spacing w:val="-2"/>
              </w:rPr>
            </w:pPr>
          </w:p>
          <w:p w:rsidR="00F32DD7" w14:paraId="205FCEAD" w14:textId="2E334E42">
            <w:pPr>
              <w:tabs>
                <w:tab w:val="center" w:pos="4680"/>
              </w:tabs>
              <w:suppressAutoHyphens/>
              <w:rPr>
                <w:spacing w:val="-2"/>
              </w:rPr>
            </w:pPr>
            <w:r>
              <w:rPr>
                <w:spacing w:val="-2"/>
              </w:rPr>
              <w:t>WC Docket No. 21-93</w:t>
            </w:r>
          </w:p>
        </w:tc>
      </w:tr>
    </w:tbl>
    <w:p w:rsidR="004C2EE3" w:rsidP="0070224F" w14:paraId="1151C4BA" w14:textId="77777777"/>
    <w:p w:rsidR="00841AB1" w:rsidP="00F021FA" w14:paraId="08F4C314" w14:textId="755742C6">
      <w:pPr>
        <w:pStyle w:val="StyleBoldCentered"/>
      </w:pPr>
      <w:r>
        <w:t>Order</w:t>
      </w:r>
    </w:p>
    <w:p w:rsidR="004C2EE3" w14:paraId="30EC8FE3" w14:textId="77777777">
      <w:pPr>
        <w:tabs>
          <w:tab w:val="left" w:pos="-720"/>
        </w:tabs>
        <w:suppressAutoHyphens/>
        <w:spacing w:line="227" w:lineRule="auto"/>
        <w:rPr>
          <w:spacing w:val="-2"/>
        </w:rPr>
      </w:pPr>
    </w:p>
    <w:p w:rsidR="004C2EE3" w:rsidP="00133F79" w14:paraId="7E58C516" w14:textId="42AD715C">
      <w:pPr>
        <w:tabs>
          <w:tab w:val="left" w:pos="720"/>
          <w:tab w:val="right" w:pos="9360"/>
        </w:tabs>
        <w:suppressAutoHyphens/>
        <w:spacing w:line="227" w:lineRule="auto"/>
        <w:rPr>
          <w:spacing w:val="-2"/>
        </w:rPr>
      </w:pPr>
      <w:r>
        <w:rPr>
          <w:b/>
          <w:spacing w:val="-2"/>
        </w:rPr>
        <w:t xml:space="preserve">Adopted:  </w:t>
      </w:r>
      <w:r w:rsidR="00F32DD7">
        <w:rPr>
          <w:b/>
          <w:spacing w:val="-2"/>
        </w:rPr>
        <w:t>September 21,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32DD7">
        <w:rPr>
          <w:b/>
          <w:spacing w:val="-2"/>
        </w:rPr>
        <w:t>September 21, 2022</w:t>
      </w:r>
    </w:p>
    <w:p w:rsidR="00822CE0" w14:paraId="2E8DE417" w14:textId="77777777"/>
    <w:p w:rsidR="004C2EE3" w14:paraId="14740D04" w14:textId="0C7BB870">
      <w:pPr>
        <w:rPr>
          <w:spacing w:val="-2"/>
        </w:rPr>
      </w:pPr>
      <w:r>
        <w:t xml:space="preserve">By </w:t>
      </w:r>
      <w:r w:rsidR="004E4A22">
        <w:t>the</w:t>
      </w:r>
      <w:r w:rsidR="002A2D2E">
        <w:t xml:space="preserve"> </w:t>
      </w:r>
      <w:r w:rsidR="00F32DD7">
        <w:rPr>
          <w:spacing w:val="-2"/>
        </w:rPr>
        <w:t>Chief, Wireline Competition Bureau</w:t>
      </w:r>
      <w:r>
        <w:rPr>
          <w:spacing w:val="-2"/>
        </w:rPr>
        <w:t>:</w:t>
      </w:r>
    </w:p>
    <w:p w:rsidR="00822CE0" w14:paraId="432410F2" w14:textId="77777777">
      <w:pPr>
        <w:rPr>
          <w:spacing w:val="-2"/>
        </w:rPr>
      </w:pPr>
    </w:p>
    <w:p w:rsidR="00412FC5" w:rsidP="00C36B4C" w14:paraId="59AADA1F" w14:textId="5BD702B0">
      <w:pPr>
        <w:pStyle w:val="Heading1"/>
      </w:pPr>
      <w:r>
        <w:t>Introduction</w:t>
      </w:r>
    </w:p>
    <w:p w:rsidR="00F32DD7" w:rsidRPr="00EB6B04" w:rsidP="00F32DD7" w14:paraId="2E812962" w14:textId="77777777">
      <w:pPr>
        <w:pStyle w:val="ParaNum"/>
        <w:numPr>
          <w:ilvl w:val="0"/>
          <w:numId w:val="7"/>
        </w:numPr>
        <w:tabs>
          <w:tab w:val="clear" w:pos="1080"/>
          <w:tab w:val="num" w:pos="1440"/>
        </w:tabs>
        <w:rPr>
          <w:szCs w:val="22"/>
        </w:rPr>
      </w:pPr>
      <w:r>
        <w:t>In this Order, we address requests from three petitioners seeking waivers of the Emergency Connectivity Fund (ECF) Program’s third and final application filing window deadline.</w:t>
      </w:r>
      <w:r>
        <w:rPr>
          <w:rStyle w:val="FootnoteReference"/>
        </w:rPr>
        <w:footnoteReference w:id="3"/>
      </w:r>
      <w:r>
        <w:t xml:space="preserve">  We find that the three petitioners listed in the Appendix have demonstrated that special circumstances exist to justify a waiver of the Commission’s rules.  Specifically, we grant their requests because we find that the three petitioners were unable to timely file their ECF FCC Form 471 applications due to the Universal Service Administrative Company’s (USAC) delays in resolving technical issues that prevented these three petitioners from being able to access the ECF Portal before the May 13, 2022 filing deadline.  Accordingly, we remand these underlying applications to USAC for further action consistent with this Order.  </w:t>
      </w:r>
    </w:p>
    <w:p w:rsidR="00F32DD7" w:rsidP="00F32DD7" w14:paraId="2C1D73B0" w14:textId="77777777">
      <w:pPr>
        <w:pStyle w:val="Heading1"/>
      </w:pPr>
      <w:r>
        <w:t>background</w:t>
      </w:r>
    </w:p>
    <w:p w:rsidR="00F32DD7" w:rsidP="00F32DD7" w14:paraId="00EBEDAD" w14:textId="77777777">
      <w:pPr>
        <w:pStyle w:val="ParaNum"/>
        <w:numPr>
          <w:ilvl w:val="0"/>
          <w:numId w:val="7"/>
        </w:numPr>
        <w:tabs>
          <w:tab w:val="clear" w:pos="1080"/>
          <w:tab w:val="num" w:pos="1440"/>
        </w:tabs>
      </w:pPr>
      <w:r w:rsidRPr="001551C9">
        <w:t xml:space="preserve">As </w:t>
      </w:r>
      <w:r w:rsidRPr="531D31C3">
        <w:rPr>
          <w:rFonts w:eastAsia="Calibri"/>
        </w:rPr>
        <w:t xml:space="preserve">part of the American Rescue Plan Act of 2021, Congress appropriated $7.171 billion to the </w:t>
      </w:r>
      <w:r>
        <w:rPr>
          <w:rFonts w:eastAsia="Calibri"/>
        </w:rPr>
        <w:t xml:space="preserve">Emergency Connectivity Fund and directed the </w:t>
      </w:r>
      <w:r w:rsidRPr="531D31C3">
        <w:rPr>
          <w:rFonts w:eastAsia="Calibri"/>
        </w:rPr>
        <w:t>Federal Communications Commission (Commission) to promulgate rules providing for the distribution of funding to eligible schools and libraries for the purchase of eligible equipment and/or advanced telecommunications and information services for use by students, school staff, and library patrons at locations that include locations other than a school or library.</w:t>
      </w:r>
      <w:r>
        <w:rPr>
          <w:rStyle w:val="FootnoteReference"/>
        </w:rPr>
        <w:footnoteReference w:id="4"/>
      </w:r>
      <w:r w:rsidRPr="52667934">
        <w:rPr>
          <w:szCs w:val="22"/>
        </w:rPr>
        <w:t xml:space="preserve"> </w:t>
      </w:r>
      <w:r w:rsidRPr="1C86A57C">
        <w:rPr>
          <w:szCs w:val="22"/>
        </w:rPr>
        <w:t xml:space="preserve"> </w:t>
      </w:r>
      <w:r w:rsidRPr="531D31C3">
        <w:rPr>
          <w:rFonts w:eastAsia="Calibri"/>
        </w:rPr>
        <w:t xml:space="preserve">On May 10, 2021, the Commission adopted a Report and Order establishing the rules for the </w:t>
      </w:r>
      <w:r>
        <w:rPr>
          <w:rFonts w:eastAsia="Calibri"/>
        </w:rPr>
        <w:t>ECF</w:t>
      </w:r>
      <w:r w:rsidRPr="531D31C3">
        <w:rPr>
          <w:rFonts w:eastAsia="Calibri"/>
        </w:rPr>
        <w:t xml:space="preserve"> </w:t>
      </w:r>
      <w:r>
        <w:rPr>
          <w:rFonts w:eastAsia="Calibri"/>
        </w:rPr>
        <w:t>P</w:t>
      </w:r>
      <w:r w:rsidRPr="531D31C3">
        <w:rPr>
          <w:rFonts w:eastAsia="Calibri"/>
        </w:rPr>
        <w:t>rogram to distribute the funding to eligible schools and libraries</w:t>
      </w:r>
      <w:r w:rsidRPr="5CD1903A">
        <w:rPr>
          <w:szCs w:val="22"/>
        </w:rPr>
        <w:t>.</w:t>
      </w:r>
      <w:r>
        <w:rPr>
          <w:rStyle w:val="FootnoteReference"/>
        </w:rPr>
        <w:footnoteReference w:id="5"/>
      </w:r>
      <w:r>
        <w:t xml:space="preserve">  Under the Commission’s </w:t>
      </w:r>
      <w:r>
        <w:t>rules, if total demand during a filing window exceeds the total amount of support available, requests will be prioritized based on an applicant’s E-Rate discount rate for Category One services, subject to a five percent increase for rural schools and libraries.</w:t>
      </w:r>
      <w:r>
        <w:rPr>
          <w:rStyle w:val="FootnoteReference"/>
        </w:rPr>
        <w:footnoteReference w:id="6"/>
      </w:r>
    </w:p>
    <w:p w:rsidR="00F32DD7" w:rsidP="00F32DD7" w14:paraId="7609A4F1" w14:textId="77777777">
      <w:pPr>
        <w:pStyle w:val="ParaNum"/>
        <w:numPr>
          <w:ilvl w:val="0"/>
          <w:numId w:val="7"/>
        </w:numPr>
        <w:tabs>
          <w:tab w:val="clear" w:pos="1080"/>
          <w:tab w:val="num" w:pos="1440"/>
        </w:tabs>
      </w:pPr>
      <w:r>
        <w:t>The Commission and USAC opened an initial 45-day application filing window from June 29, 2021 to August 13, 2021,</w:t>
      </w:r>
      <w:r>
        <w:rPr>
          <w:rStyle w:val="FootnoteReference"/>
        </w:rPr>
        <w:footnoteReference w:id="7"/>
      </w:r>
      <w:r>
        <w:t xml:space="preserve"> and a second 15-day application filing window from September 28, 2021 to October 13, 2021.</w:t>
      </w:r>
      <w:r>
        <w:rPr>
          <w:rStyle w:val="FootnoteReference"/>
        </w:rPr>
        <w:footnoteReference w:id="8"/>
      </w:r>
      <w:r>
        <w:t xml:space="preserve">  During the first two windows, applicants requested over $6.4 billion in ECF support.</w:t>
      </w:r>
      <w:r>
        <w:rPr>
          <w:rStyle w:val="FootnoteReference"/>
        </w:rPr>
        <w:footnoteReference w:id="9"/>
      </w:r>
      <w:r>
        <w:t xml:space="preserve">  In view of outstanding demand, the Bureau opened a third 15-day application filing window from April 28, 2022 to May 13, 2022 and received requests for over $2.8 billion.</w:t>
      </w:r>
      <w:r>
        <w:rPr>
          <w:rStyle w:val="FootnoteReference"/>
        </w:rPr>
        <w:footnoteReference w:id="10"/>
      </w:r>
      <w:r>
        <w:t xml:space="preserve">  Given that the total demand received during the third application filing window exceeded the amount of support available, the Commission and USAC will prioritize funding for the third window requests submitted by schools and libraries entitled to higher discount rates until the funds are exhausted.</w:t>
      </w:r>
      <w:r>
        <w:rPr>
          <w:rStyle w:val="FootnoteReference"/>
        </w:rPr>
        <w:footnoteReference w:id="11"/>
      </w:r>
    </w:p>
    <w:p w:rsidR="00F32DD7" w:rsidRPr="003978D9" w:rsidP="00F32DD7" w14:paraId="6B099A00" w14:textId="77777777">
      <w:pPr>
        <w:pStyle w:val="ParaNum"/>
        <w:numPr>
          <w:ilvl w:val="0"/>
          <w:numId w:val="7"/>
        </w:numPr>
        <w:tabs>
          <w:tab w:val="clear" w:pos="1080"/>
          <w:tab w:val="num" w:pos="1440"/>
        </w:tabs>
      </w:pPr>
      <w:r>
        <w:t>Pursuant to the Commission’s rules, applicants must file the ECF FCC Form 471 application within the relevant filing window because USAC treats all filings made within the window as if the applications were simultaneously received.</w:t>
      </w:r>
      <w:r>
        <w:rPr>
          <w:rStyle w:val="FootnoteReference"/>
        </w:rPr>
        <w:footnoteReference w:id="12"/>
      </w:r>
      <w:r>
        <w:t xml:space="preserve">  In general, ECF FCC Form 471 applications that are filed after a filing window has closed are put into an “out of window” status and are not processed.  In the r</w:t>
      </w:r>
      <w:r w:rsidRPr="00886BB7">
        <w:t>equests</w:t>
      </w:r>
      <w:r>
        <w:t xml:space="preserve"> before us, the petitioners failed to timely file their ECF FCC Form 471 applications during the third ECF application filing window due to USAC’s delays in resolving technical issues with their accounts and now seek a waiver of the third application filing window deadline.  </w:t>
      </w:r>
    </w:p>
    <w:p w:rsidR="00F32DD7" w:rsidP="00F32DD7" w14:paraId="6A65DF51" w14:textId="77777777">
      <w:pPr>
        <w:pStyle w:val="Heading1"/>
      </w:pPr>
      <w:r>
        <w:t>Discussion</w:t>
      </w:r>
    </w:p>
    <w:p w:rsidR="00F32DD7" w:rsidP="00F32DD7" w14:paraId="6135273A" w14:textId="77777777">
      <w:pPr>
        <w:pStyle w:val="ParaNum"/>
        <w:numPr>
          <w:ilvl w:val="0"/>
          <w:numId w:val="7"/>
        </w:numPr>
        <w:tabs>
          <w:tab w:val="clear" w:pos="1080"/>
          <w:tab w:val="num" w:pos="1440"/>
        </w:tabs>
      </w:pPr>
      <w:r>
        <w:t>Generally, the Commission’s rules may be waived for good cause shown.</w:t>
      </w:r>
      <w:r>
        <w:rPr>
          <w:rStyle w:val="FootnoteReference"/>
        </w:rPr>
        <w:footnoteReference w:id="13"/>
      </w:r>
      <w:r>
        <w:t xml:space="preserve">  </w:t>
      </w:r>
      <w:r w:rsidRPr="00E91516">
        <w:t>The Commission may exercise its discretion to waive a rule where the particular facts make strict compliance inconsistent with the public interest.</w:t>
      </w:r>
      <w:r>
        <w:rPr>
          <w:rStyle w:val="FootnoteReference"/>
        </w:rPr>
        <w:footnoteReference w:id="14"/>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15"/>
      </w:r>
      <w:r>
        <w:t xml:space="preserve">  </w:t>
      </w:r>
    </w:p>
    <w:p w:rsidR="00F32DD7" w:rsidRPr="008D42D7" w:rsidP="00F32DD7" w14:paraId="4F2EBF20" w14:textId="726FE0B2">
      <w:pPr>
        <w:pStyle w:val="ParaNum"/>
        <w:numPr>
          <w:ilvl w:val="0"/>
          <w:numId w:val="7"/>
        </w:numPr>
        <w:tabs>
          <w:tab w:val="clear" w:pos="1080"/>
          <w:tab w:val="num" w:pos="1440"/>
        </w:tabs>
      </w:pPr>
      <w:r>
        <w:t xml:space="preserve">For the three petitioners listed in </w:t>
      </w:r>
      <w:r w:rsidR="00957DE6">
        <w:t xml:space="preserve">the </w:t>
      </w:r>
      <w:r>
        <w:t xml:space="preserve">Appendix, we find that good cause exists to waive the ECF Program’s third application filing window deadline based on the facts and circumstances of their specific cases.  These petitioners </w:t>
      </w:r>
      <w:r w:rsidRPr="00D364C7">
        <w:t>were unable to</w:t>
      </w:r>
      <w:r>
        <w:t xml:space="preserve"> access the ECF Portal to</w:t>
      </w:r>
      <w:r w:rsidRPr="00D364C7">
        <w:t xml:space="preserve"> file their ECF FCC Form 471</w:t>
      </w:r>
      <w:r>
        <w:t xml:space="preserve"> applications</w:t>
      </w:r>
      <w:r w:rsidRPr="00D364C7">
        <w:t xml:space="preserve"> by</w:t>
      </w:r>
      <w:r>
        <w:t xml:space="preserve"> the</w:t>
      </w:r>
      <w:r w:rsidRPr="00D364C7">
        <w:t xml:space="preserve"> May 13, 2022</w:t>
      </w:r>
      <w:r>
        <w:t xml:space="preserve"> deadline </w:t>
      </w:r>
      <w:r w:rsidRPr="00D364C7">
        <w:t>because they were waiting for USAC</w:t>
      </w:r>
      <w:r>
        <w:t>’s</w:t>
      </w:r>
      <w:r w:rsidRPr="00D364C7">
        <w:t xml:space="preserve"> approval of a timely-</w:t>
      </w:r>
      <w:r w:rsidRPr="00D364C7">
        <w:t>filed request</w:t>
      </w:r>
      <w:r>
        <w:t xml:space="preserve"> to resolve issues with their accounts in USAC’s online filing systems</w:t>
      </w:r>
      <w:r w:rsidRPr="00D364C7">
        <w:t>.</w:t>
      </w:r>
      <w:r>
        <w:t xml:space="preserve">  The record shows that the three petitioners contacted USAC before the third application filing window deadline but were impacted by an error and/or a delay by USAC resulting</w:t>
      </w:r>
      <w:r w:rsidRPr="00D364C7">
        <w:t xml:space="preserve"> </w:t>
      </w:r>
      <w:r>
        <w:t xml:space="preserve">from the additional time and coordination required to first get set up or correct information in the E-Rate Productivity Center (EPC) system before being able to access the ECF Portal to file their ECF FCC Form 471 application.  We find that USAC’s delays in resolving these technical issues ultimately contributed to the late-filing of their third window ECF FCC Form 471 applications and present special circumstances that warrant a deviation from the Commission’s rules.  We therefore waive the ECF Program’s third application filing window deadline for the three petitioners listed in </w:t>
      </w:r>
      <w:r w:rsidR="00957DE6">
        <w:t xml:space="preserve">the </w:t>
      </w:r>
      <w:r>
        <w:t>Appendix because we find they have demonstrated that special circumstances exist to justify a waiver.  We note, however, that this relief is very limited, and we do not expect to grant additional waivers of the ECF third window application filing deadline on this basis absent a showing of special circumstances.</w:t>
      </w:r>
      <w:r>
        <w:rPr>
          <w:rStyle w:val="FootnoteReference"/>
        </w:rPr>
        <w:footnoteReference w:id="16"/>
      </w:r>
      <w:r>
        <w:t xml:space="preserve">  </w:t>
      </w:r>
    </w:p>
    <w:p w:rsidR="00F32DD7" w:rsidP="00F32DD7" w14:paraId="4F670D69" w14:textId="1C19234F">
      <w:pPr>
        <w:pStyle w:val="ParaNum"/>
        <w:numPr>
          <w:ilvl w:val="0"/>
          <w:numId w:val="7"/>
        </w:numPr>
        <w:tabs>
          <w:tab w:val="clear" w:pos="1080"/>
          <w:tab w:val="num" w:pos="1440"/>
        </w:tabs>
      </w:pPr>
      <w:r w:rsidRPr="00472FDB">
        <w:rPr>
          <w:szCs w:val="22"/>
        </w:rPr>
        <w:t>We remand the applications in</w:t>
      </w:r>
      <w:r>
        <w:rPr>
          <w:szCs w:val="22"/>
        </w:rPr>
        <w:t>cluded in</w:t>
      </w:r>
      <w:r w:rsidRPr="00472FDB">
        <w:rPr>
          <w:szCs w:val="22"/>
        </w:rPr>
        <w:t xml:space="preserve"> </w:t>
      </w:r>
      <w:r w:rsidR="00957DE6">
        <w:rPr>
          <w:szCs w:val="22"/>
        </w:rPr>
        <w:t xml:space="preserve">the </w:t>
      </w:r>
      <w:r w:rsidRPr="00472FDB">
        <w:rPr>
          <w:szCs w:val="22"/>
        </w:rPr>
        <w:t xml:space="preserve">Appendix to USAC </w:t>
      </w:r>
      <w:r>
        <w:rPr>
          <w:szCs w:val="22"/>
        </w:rPr>
        <w:t>and direct USAC to treat these applications as if they were timely filed during the third application filing window and to determine compliance with the ECF Program rules and requirements</w:t>
      </w:r>
      <w:r w:rsidRPr="00472FDB">
        <w:rPr>
          <w:szCs w:val="22"/>
        </w:rPr>
        <w:t xml:space="preserve">.  </w:t>
      </w:r>
      <w:r>
        <w:rPr>
          <w:szCs w:val="22"/>
        </w:rPr>
        <w:t xml:space="preserve">We also remind these three petitioners that although we are granting a waiver of the third application filing window deadline, the review and processing of their applications are subject to section 54.1708(c) of the Commission’s rules, and USAC and the Commission are required </w:t>
      </w:r>
      <w:r>
        <w:t>to ensure those with the greatest need are funded first because not all timely-filed third window ECF FCC Form 471 applications will be able to be funded.</w:t>
      </w:r>
      <w:r>
        <w:rPr>
          <w:rStyle w:val="FootnoteReference"/>
        </w:rPr>
        <w:footnoteReference w:id="17"/>
      </w:r>
    </w:p>
    <w:p w:rsidR="00F32DD7" w:rsidP="00F32DD7" w14:paraId="3F7A465E" w14:textId="77777777">
      <w:pPr>
        <w:pStyle w:val="Heading1"/>
      </w:pPr>
      <w:r>
        <w:t>Ordering Clauses</w:t>
      </w:r>
    </w:p>
    <w:p w:rsidR="00F32DD7" w:rsidP="00F32DD7" w14:paraId="50EA5A17" w14:textId="4DD40B0C">
      <w:pPr>
        <w:pStyle w:val="ParaNum"/>
        <w:numPr>
          <w:ilvl w:val="0"/>
          <w:numId w:val="7"/>
        </w:numPr>
        <w:tabs>
          <w:tab w:val="clear" w:pos="1080"/>
          <w:tab w:val="num" w:pos="1440"/>
        </w:tabs>
      </w:pPr>
      <w:r>
        <w:t xml:space="preserve">ACCORDINGLY, IT IS ORDERED, pursuant to the authority contained in sections 1-4 and 254 of the Communications Act of 1934, as amended, 47 USC §§ 151-154 and 254, and sections 0.91, 0.291, and 1.3 of the Commission’s rules, 47 CFR §§ 0.91, 0.291, and 1.3, that the Requests for Waiver listed in </w:t>
      </w:r>
      <w:r w:rsidR="00957DE6">
        <w:t xml:space="preserve">the </w:t>
      </w:r>
      <w:r>
        <w:t>Appendix are GRANTED and the underlying ECF FCC Form 471 applications are REMANDED to USAC for further action in accordance with the terms of this order.</w:t>
      </w:r>
    </w:p>
    <w:p w:rsidR="00F32DD7" w:rsidP="00F32DD7" w14:paraId="498F0B4F" w14:textId="77777777">
      <w:pPr>
        <w:pStyle w:val="ParaNum"/>
        <w:numPr>
          <w:ilvl w:val="0"/>
          <w:numId w:val="7"/>
        </w:numPr>
        <w:tabs>
          <w:tab w:val="clear" w:pos="1080"/>
          <w:tab w:val="num" w:pos="1440"/>
        </w:tabs>
      </w:pPr>
      <w:r>
        <w:t xml:space="preserve">IT IS FURTHER ORDERED, pursuant to the authority contained in sections 1-4 and 254 of the Communications Act of 1934, as amended, 47 USC §§ 151-154 and 254, and sections 0.91, 0.291, and 1.3 of the Commission’s rules, 47 CFR §§ 0.91, 0.291, and 1.3, that section 47 CFR § 54.1708(b) of the Commission’s rules IS WAIVED to the limited extent provided herein. </w:t>
      </w:r>
    </w:p>
    <w:p w:rsidR="00F32DD7" w:rsidP="00F32DD7" w14:paraId="0FB19F35" w14:textId="77777777">
      <w:pPr>
        <w:pStyle w:val="ParaNum"/>
        <w:numPr>
          <w:ilvl w:val="0"/>
          <w:numId w:val="7"/>
        </w:numPr>
        <w:tabs>
          <w:tab w:val="clear" w:pos="1080"/>
          <w:tab w:val="num" w:pos="1440"/>
        </w:tabs>
      </w:pPr>
      <w:r>
        <w:t xml:space="preserve">IT IS FURTHER ORDERED, that pursuant to section 1.102(b)(1) of the Commission’s rules, 47 CFR § 1.102(b)(1), this Order SHALL BE EFFECTIVE upon release. </w:t>
      </w:r>
    </w:p>
    <w:p w:rsidR="00F32DD7" w:rsidP="00F32DD7" w14:paraId="2C356F00" w14:textId="77777777">
      <w:pPr>
        <w:pStyle w:val="ParaNum"/>
        <w:numPr>
          <w:ilvl w:val="0"/>
          <w:numId w:val="0"/>
        </w:numPr>
        <w:ind w:left="3600" w:firstLine="720"/>
        <w:contextualSpacing/>
        <w:rPr>
          <w:szCs w:val="22"/>
        </w:rPr>
      </w:pPr>
    </w:p>
    <w:p w:rsidR="00F32DD7" w:rsidP="00F32DD7" w14:paraId="18F01610" w14:textId="77777777">
      <w:pPr>
        <w:pStyle w:val="ParaNum"/>
        <w:numPr>
          <w:ilvl w:val="0"/>
          <w:numId w:val="0"/>
        </w:numPr>
        <w:ind w:left="3600" w:firstLine="720"/>
        <w:contextualSpacing/>
        <w:rPr>
          <w:szCs w:val="22"/>
        </w:rPr>
      </w:pPr>
    </w:p>
    <w:p w:rsidR="00F32DD7" w:rsidRPr="006823C2" w:rsidP="00F32DD7" w14:paraId="6F4DBDEB" w14:textId="77777777">
      <w:pPr>
        <w:pStyle w:val="ParaNum"/>
        <w:numPr>
          <w:ilvl w:val="0"/>
          <w:numId w:val="0"/>
        </w:numPr>
        <w:ind w:left="3600" w:firstLine="720"/>
        <w:contextualSpacing/>
        <w:rPr>
          <w:szCs w:val="22"/>
        </w:rPr>
      </w:pPr>
      <w:r w:rsidRPr="006823C2">
        <w:rPr>
          <w:szCs w:val="22"/>
        </w:rPr>
        <w:t>FEDERAL COMMUNICATIONS COMMISSION</w:t>
      </w:r>
    </w:p>
    <w:p w:rsidR="00F32DD7" w:rsidP="00F32DD7" w14:paraId="147BD629" w14:textId="77777777">
      <w:pPr>
        <w:pStyle w:val="ParaNum"/>
        <w:numPr>
          <w:ilvl w:val="0"/>
          <w:numId w:val="0"/>
        </w:numPr>
        <w:ind w:firstLine="720"/>
        <w:contextualSpacing/>
        <w:rPr>
          <w:szCs w:val="22"/>
        </w:rPr>
      </w:pPr>
    </w:p>
    <w:p w:rsidR="00F32DD7" w:rsidP="00F32DD7" w14:paraId="6DD3AB0C" w14:textId="77777777">
      <w:pPr>
        <w:pStyle w:val="ParaNum"/>
        <w:numPr>
          <w:ilvl w:val="0"/>
          <w:numId w:val="0"/>
        </w:numPr>
        <w:ind w:firstLine="720"/>
        <w:contextualSpacing/>
        <w:rPr>
          <w:szCs w:val="22"/>
        </w:rPr>
      </w:pPr>
    </w:p>
    <w:p w:rsidR="00F32DD7" w:rsidRPr="006823C2" w:rsidP="00F32DD7" w14:paraId="6C55E87D" w14:textId="77777777">
      <w:pPr>
        <w:pStyle w:val="ParaNum"/>
        <w:numPr>
          <w:ilvl w:val="0"/>
          <w:numId w:val="0"/>
        </w:numPr>
        <w:ind w:firstLine="720"/>
        <w:contextualSpacing/>
        <w:rPr>
          <w:szCs w:val="22"/>
        </w:rPr>
      </w:pPr>
    </w:p>
    <w:p w:rsidR="00F32DD7" w:rsidRPr="006823C2" w:rsidP="00F32DD7" w14:paraId="36C4EA70" w14:textId="77777777">
      <w:pPr>
        <w:pStyle w:val="ParaNum"/>
        <w:numPr>
          <w:ilvl w:val="0"/>
          <w:numId w:val="0"/>
        </w:numPr>
        <w:ind w:firstLine="720"/>
        <w:contextualSpacing/>
        <w:rPr>
          <w:szCs w:val="22"/>
        </w:rPr>
      </w:pPr>
    </w:p>
    <w:p w:rsidR="00F32DD7" w:rsidRPr="006823C2" w:rsidP="00F32DD7" w14:paraId="3B629B3C"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Trent B. Harkrader</w:t>
      </w:r>
    </w:p>
    <w:p w:rsidR="00F32DD7" w:rsidRPr="006823C2" w:rsidP="00F32DD7" w14:paraId="50EA30C0"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F32DD7" w:rsidP="00F32DD7" w14:paraId="435D1B6E" w14:textId="27D226D4">
      <w:pPr>
        <w:widowControl/>
        <w:ind w:left="3600" w:firstLine="720"/>
        <w:rPr>
          <w:szCs w:val="22"/>
        </w:rPr>
      </w:pPr>
      <w:r w:rsidRPr="006823C2">
        <w:rPr>
          <w:szCs w:val="22"/>
        </w:rPr>
        <w:t>Wireline Competition Bureau</w:t>
      </w:r>
    </w:p>
    <w:p w:rsidR="00327CB4" w:rsidP="00327CB4" w14:paraId="442859AC" w14:textId="77777777">
      <w:pPr>
        <w:widowControl/>
      </w:pPr>
    </w:p>
    <w:p w:rsidR="00F32DD7" w:rsidP="00F32DD7" w14:paraId="49950160"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F32DD7" w:rsidP="00F32DD7" w14:paraId="3E602BFC" w14:textId="7A1656A4">
      <w:pPr>
        <w:pStyle w:val="ParaNum"/>
        <w:numPr>
          <w:ilvl w:val="0"/>
          <w:numId w:val="0"/>
        </w:numPr>
        <w:jc w:val="center"/>
        <w:rPr>
          <w:b/>
          <w:bCs/>
        </w:rPr>
      </w:pPr>
      <w:r>
        <w:rPr>
          <w:b/>
          <w:bCs/>
        </w:rPr>
        <w:t>APPENDIX</w:t>
      </w:r>
    </w:p>
    <w:p w:rsidR="00F32DD7" w:rsidP="00F32DD7" w14:paraId="0A843CD7" w14:textId="77777777">
      <w:pPr>
        <w:pStyle w:val="ParaNum"/>
        <w:numPr>
          <w:ilvl w:val="0"/>
          <w:numId w:val="0"/>
        </w:numPr>
        <w:spacing w:after="240"/>
        <w:jc w:val="center"/>
        <w:rPr>
          <w:b/>
          <w:bCs/>
        </w:rPr>
      </w:pPr>
      <w:r>
        <w:rPr>
          <w:b/>
          <w:bCs/>
        </w:rPr>
        <w:t>ECF FCC Form 471 Applications Remanded to USAC</w:t>
      </w:r>
    </w:p>
    <w:tbl>
      <w:tblPr>
        <w:tblStyle w:val="TableGrid"/>
        <w:tblW w:w="0" w:type="auto"/>
        <w:tblLook w:val="04A0"/>
      </w:tblPr>
      <w:tblGrid>
        <w:gridCol w:w="4855"/>
        <w:gridCol w:w="2430"/>
        <w:gridCol w:w="2065"/>
      </w:tblGrid>
      <w:tr w14:paraId="183A7CBD" w14:textId="77777777" w:rsidTr="00C37E69">
        <w:tblPrEx>
          <w:tblW w:w="0" w:type="auto"/>
          <w:tblLook w:val="04A0"/>
        </w:tblPrEx>
        <w:tc>
          <w:tcPr>
            <w:tcW w:w="4855" w:type="dxa"/>
          </w:tcPr>
          <w:p w:rsidR="00F32DD7" w:rsidP="00C37E69" w14:paraId="0E1EB2DD" w14:textId="77777777">
            <w:pPr>
              <w:pStyle w:val="ParaNum"/>
              <w:numPr>
                <w:ilvl w:val="0"/>
                <w:numId w:val="0"/>
              </w:numPr>
              <w:jc w:val="center"/>
              <w:rPr>
                <w:b/>
                <w:bCs/>
              </w:rPr>
            </w:pPr>
            <w:r>
              <w:rPr>
                <w:b/>
                <w:bCs/>
              </w:rPr>
              <w:t>Petitioner</w:t>
            </w:r>
          </w:p>
        </w:tc>
        <w:tc>
          <w:tcPr>
            <w:tcW w:w="2430" w:type="dxa"/>
          </w:tcPr>
          <w:p w:rsidR="00F32DD7" w:rsidP="00C37E69" w14:paraId="4AC088F3" w14:textId="77777777">
            <w:pPr>
              <w:pStyle w:val="ParaNum"/>
              <w:numPr>
                <w:ilvl w:val="0"/>
                <w:numId w:val="0"/>
              </w:numPr>
              <w:jc w:val="center"/>
              <w:rPr>
                <w:b/>
                <w:bCs/>
              </w:rPr>
            </w:pPr>
            <w:r>
              <w:rPr>
                <w:b/>
                <w:bCs/>
              </w:rPr>
              <w:t>Application Number(s)</w:t>
            </w:r>
          </w:p>
        </w:tc>
        <w:tc>
          <w:tcPr>
            <w:tcW w:w="2065" w:type="dxa"/>
          </w:tcPr>
          <w:p w:rsidR="00F32DD7" w:rsidP="00C37E69" w14:paraId="5752A2C0" w14:textId="77777777">
            <w:pPr>
              <w:pStyle w:val="ParaNum"/>
              <w:numPr>
                <w:ilvl w:val="0"/>
                <w:numId w:val="0"/>
              </w:numPr>
              <w:jc w:val="center"/>
              <w:rPr>
                <w:b/>
                <w:bCs/>
              </w:rPr>
            </w:pPr>
            <w:r>
              <w:rPr>
                <w:b/>
                <w:bCs/>
              </w:rPr>
              <w:t>Date Request(s) for Waiver Filed</w:t>
            </w:r>
          </w:p>
        </w:tc>
      </w:tr>
      <w:tr w14:paraId="2BC0A979" w14:textId="77777777" w:rsidTr="00C37E69">
        <w:tblPrEx>
          <w:tblW w:w="0" w:type="auto"/>
          <w:tblLook w:val="04A0"/>
        </w:tblPrEx>
        <w:tc>
          <w:tcPr>
            <w:tcW w:w="4855" w:type="dxa"/>
          </w:tcPr>
          <w:p w:rsidR="00F32DD7" w:rsidP="00C37E69" w14:paraId="16D02219" w14:textId="77777777">
            <w:pPr>
              <w:pStyle w:val="ParaNum"/>
              <w:numPr>
                <w:ilvl w:val="0"/>
                <w:numId w:val="0"/>
              </w:numPr>
            </w:pPr>
            <w:r>
              <w:t>Evans-Brant Central School District</w:t>
            </w:r>
            <w:r>
              <w:br/>
              <w:t>Angola, NY</w:t>
            </w:r>
          </w:p>
        </w:tc>
        <w:tc>
          <w:tcPr>
            <w:tcW w:w="2430" w:type="dxa"/>
          </w:tcPr>
          <w:p w:rsidR="00F32DD7" w:rsidRPr="00472A76" w:rsidP="00C37E69" w14:paraId="49B8DED7" w14:textId="77777777">
            <w:pPr>
              <w:pStyle w:val="ParaNum"/>
              <w:numPr>
                <w:ilvl w:val="0"/>
                <w:numId w:val="0"/>
              </w:numPr>
              <w:tabs>
                <w:tab w:val="left" w:pos="486"/>
              </w:tabs>
              <w:jc w:val="center"/>
            </w:pPr>
            <w:r w:rsidRPr="00E47AC3">
              <w:t>ECF202209790</w:t>
            </w:r>
          </w:p>
        </w:tc>
        <w:tc>
          <w:tcPr>
            <w:tcW w:w="2065" w:type="dxa"/>
          </w:tcPr>
          <w:p w:rsidR="00F32DD7" w:rsidP="00C37E69" w14:paraId="5449BC11" w14:textId="77777777">
            <w:pPr>
              <w:pStyle w:val="ParaNum"/>
              <w:numPr>
                <w:ilvl w:val="0"/>
                <w:numId w:val="0"/>
              </w:numPr>
              <w:jc w:val="center"/>
            </w:pPr>
            <w:r>
              <w:t>June 7, 2022</w:t>
            </w:r>
          </w:p>
        </w:tc>
      </w:tr>
      <w:tr w14:paraId="0F2557E7" w14:textId="77777777" w:rsidTr="00C37E69">
        <w:tblPrEx>
          <w:tblW w:w="0" w:type="auto"/>
          <w:tblLook w:val="04A0"/>
        </w:tblPrEx>
        <w:tc>
          <w:tcPr>
            <w:tcW w:w="4855" w:type="dxa"/>
          </w:tcPr>
          <w:p w:rsidR="00F32DD7" w:rsidRPr="00A43C01" w:rsidP="00C37E69" w14:paraId="193263DF" w14:textId="77777777">
            <w:pPr>
              <w:pStyle w:val="ParaNum"/>
              <w:numPr>
                <w:ilvl w:val="0"/>
                <w:numId w:val="0"/>
              </w:numPr>
            </w:pPr>
            <w:r>
              <w:t>Lummi Nation School</w:t>
            </w:r>
            <w:r>
              <w:br/>
              <w:t>Bellingham, WA</w:t>
            </w:r>
          </w:p>
        </w:tc>
        <w:tc>
          <w:tcPr>
            <w:tcW w:w="2430" w:type="dxa"/>
          </w:tcPr>
          <w:p w:rsidR="00F32DD7" w:rsidRPr="00A43C01" w:rsidP="00C37E69" w14:paraId="3D2E1E7B" w14:textId="77777777">
            <w:pPr>
              <w:pStyle w:val="ParaNum"/>
              <w:numPr>
                <w:ilvl w:val="0"/>
                <w:numId w:val="0"/>
              </w:numPr>
              <w:tabs>
                <w:tab w:val="left" w:pos="486"/>
              </w:tabs>
              <w:jc w:val="center"/>
            </w:pPr>
            <w:r w:rsidRPr="00D342B1">
              <w:t>ECF202201283, ECF202206155</w:t>
            </w:r>
          </w:p>
        </w:tc>
        <w:tc>
          <w:tcPr>
            <w:tcW w:w="2065" w:type="dxa"/>
          </w:tcPr>
          <w:p w:rsidR="00F32DD7" w:rsidRPr="005C2527" w:rsidP="00C37E69" w14:paraId="2D541E90" w14:textId="77777777">
            <w:pPr>
              <w:pStyle w:val="ParaNum"/>
              <w:numPr>
                <w:ilvl w:val="0"/>
                <w:numId w:val="0"/>
              </w:numPr>
              <w:jc w:val="center"/>
            </w:pPr>
            <w:r>
              <w:t>May 23, 2022</w:t>
            </w:r>
          </w:p>
        </w:tc>
      </w:tr>
      <w:tr w14:paraId="0E73C3FE" w14:textId="77777777" w:rsidTr="00C37E69">
        <w:tblPrEx>
          <w:tblW w:w="0" w:type="auto"/>
          <w:tblLook w:val="04A0"/>
        </w:tblPrEx>
        <w:tc>
          <w:tcPr>
            <w:tcW w:w="4855" w:type="dxa"/>
          </w:tcPr>
          <w:p w:rsidR="00F32DD7" w:rsidP="00C37E69" w14:paraId="26A9E760" w14:textId="77777777">
            <w:pPr>
              <w:pStyle w:val="ParaNum"/>
              <w:numPr>
                <w:ilvl w:val="0"/>
                <w:numId w:val="0"/>
              </w:numPr>
            </w:pPr>
            <w:r>
              <w:t>Naaleh</w:t>
            </w:r>
            <w:r>
              <w:t xml:space="preserve"> High School for Girls</w:t>
            </w:r>
            <w:r>
              <w:br/>
              <w:t>Fair Lawn, NJ</w:t>
            </w:r>
          </w:p>
        </w:tc>
        <w:tc>
          <w:tcPr>
            <w:tcW w:w="2430" w:type="dxa"/>
          </w:tcPr>
          <w:p w:rsidR="00F32DD7" w:rsidRPr="009F5587" w:rsidP="00C37E69" w14:paraId="5F1E1907" w14:textId="77777777">
            <w:pPr>
              <w:pStyle w:val="ParaNum"/>
              <w:numPr>
                <w:ilvl w:val="0"/>
                <w:numId w:val="0"/>
              </w:numPr>
              <w:tabs>
                <w:tab w:val="left" w:pos="486"/>
              </w:tabs>
              <w:jc w:val="center"/>
            </w:pPr>
            <w:r w:rsidRPr="002D2154">
              <w:t>ECF202209836</w:t>
            </w:r>
          </w:p>
        </w:tc>
        <w:tc>
          <w:tcPr>
            <w:tcW w:w="2065" w:type="dxa"/>
          </w:tcPr>
          <w:p w:rsidR="00F32DD7" w:rsidP="00C37E69" w14:paraId="20B30281" w14:textId="77777777">
            <w:pPr>
              <w:pStyle w:val="ParaNum"/>
              <w:numPr>
                <w:ilvl w:val="0"/>
                <w:numId w:val="0"/>
              </w:numPr>
              <w:jc w:val="center"/>
            </w:pPr>
            <w:r>
              <w:t>May 17, 2022</w:t>
            </w:r>
            <w:r>
              <w:br/>
              <w:t>June 14, 2022</w:t>
            </w:r>
          </w:p>
        </w:tc>
      </w:tr>
    </w:tbl>
    <w:p w:rsidR="00F32DD7" w:rsidRPr="00F32DD7" w:rsidP="00F32DD7" w14:paraId="628EFC18" w14:textId="77777777">
      <w:pPr>
        <w:pStyle w:val="ParaNum"/>
        <w:numPr>
          <w:ilvl w:val="0"/>
          <w:numId w:val="0"/>
        </w:numPr>
      </w:pPr>
    </w:p>
    <w:sectPr w:rsidSect="00F24B7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0251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0289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FFA8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B2E4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DD7" w14:paraId="0A7EB8AC" w14:textId="77777777">
      <w:r>
        <w:separator/>
      </w:r>
    </w:p>
  </w:footnote>
  <w:footnote w:type="continuationSeparator" w:id="1">
    <w:p w:rsidR="00F32DD7" w:rsidP="00C721AC" w14:paraId="423B933F" w14:textId="77777777">
      <w:pPr>
        <w:spacing w:before="120"/>
        <w:rPr>
          <w:sz w:val="20"/>
        </w:rPr>
      </w:pPr>
      <w:r>
        <w:rPr>
          <w:sz w:val="20"/>
        </w:rPr>
        <w:t xml:space="preserve">(Continued from previous page)  </w:t>
      </w:r>
      <w:r>
        <w:rPr>
          <w:sz w:val="20"/>
        </w:rPr>
        <w:separator/>
      </w:r>
    </w:p>
  </w:footnote>
  <w:footnote w:type="continuationNotice" w:id="2">
    <w:p w:rsidR="00F32DD7" w:rsidP="00C721AC" w14:paraId="68B95331" w14:textId="77777777">
      <w:pPr>
        <w:jc w:val="right"/>
        <w:rPr>
          <w:sz w:val="20"/>
        </w:rPr>
      </w:pPr>
      <w:r>
        <w:rPr>
          <w:sz w:val="20"/>
        </w:rPr>
        <w:t>(continued….)</w:t>
      </w:r>
    </w:p>
  </w:footnote>
  <w:footnote w:id="3">
    <w:p w:rsidR="00F32DD7" w:rsidP="00F32DD7" w14:paraId="65F21118" w14:textId="1907C51E">
      <w:pPr>
        <w:pStyle w:val="FootnoteText"/>
      </w:pPr>
      <w:r>
        <w:rPr>
          <w:rStyle w:val="FootnoteReference"/>
        </w:rPr>
        <w:footnoteRef/>
      </w:r>
      <w:r>
        <w:t xml:space="preserve"> </w:t>
      </w:r>
      <w:r w:rsidRPr="00F32DD7">
        <w:rPr>
          <w:color w:val="000000"/>
        </w:rPr>
        <w:t xml:space="preserve">The petitioners and requests for waiver are listed in </w:t>
      </w:r>
      <w:r w:rsidR="00957DE6">
        <w:rPr>
          <w:color w:val="000000"/>
        </w:rPr>
        <w:t xml:space="preserve">the </w:t>
      </w:r>
      <w:r w:rsidRPr="00F32DD7">
        <w:rPr>
          <w:color w:val="000000"/>
        </w:rPr>
        <w:t>Appendix.  We note that one of the petitioners filed more than one request for waiver with the Commission related to the same ECF FCC Form 471 application.</w:t>
      </w:r>
    </w:p>
  </w:footnote>
  <w:footnote w:id="4">
    <w:p w:rsidR="00F32DD7" w:rsidP="00F32DD7" w14:paraId="1286A029" w14:textId="77777777">
      <w:pPr>
        <w:pStyle w:val="FootnoteText"/>
      </w:pPr>
      <w:r w:rsidRPr="4889AFC7">
        <w:rPr>
          <w:rStyle w:val="FootnoteReference"/>
        </w:rPr>
        <w:footnoteRef/>
      </w:r>
      <w:r>
        <w:t xml:space="preserve"> American Rescue Plan Act, 2021, H.R. 1319, Pub. L. No. 117-2, 117th Cong., tit. VII, § 7402(a)(1)-(2) (2021) (enacted), available at https://www.congress.gov/bill/117th-congress/house-bill/1319/text (American Rescue Plan Act) (enrolled bill).</w:t>
      </w:r>
    </w:p>
  </w:footnote>
  <w:footnote w:id="5">
    <w:p w:rsidR="00F32DD7" w:rsidP="00F32DD7" w14:paraId="51BB0196" w14:textId="77777777">
      <w:pPr>
        <w:pStyle w:val="FootnoteText"/>
      </w:pPr>
      <w:r w:rsidRPr="184C31FF">
        <w:rPr>
          <w:rStyle w:val="FootnoteReference"/>
        </w:rPr>
        <w:footnoteRef/>
      </w:r>
      <w:r>
        <w:t xml:space="preserve"> </w:t>
      </w:r>
      <w:r w:rsidRPr="68CD277A">
        <w:rPr>
          <w:i/>
        </w:rPr>
        <w:t>See generally Establishing the Emergency Connectivity Fund to Close the Homework Gap</w:t>
      </w:r>
      <w:r>
        <w:t xml:space="preserve">, WC Docket No. 21-93, Report and Order, 36 FCC </w:t>
      </w:r>
      <w:r>
        <w:t>Rcd</w:t>
      </w:r>
      <w:r>
        <w:t xml:space="preserve"> 8696 (2021) (</w:t>
      </w:r>
      <w:r w:rsidRPr="68CD277A">
        <w:rPr>
          <w:i/>
        </w:rPr>
        <w:t>Emergency Connectivity Fund Report and Orde</w:t>
      </w:r>
      <w:r>
        <w:t>r).</w:t>
      </w:r>
    </w:p>
  </w:footnote>
  <w:footnote w:id="6">
    <w:p w:rsidR="00F32DD7" w:rsidRPr="00035DAB" w:rsidP="00F32DD7" w14:paraId="0E38B648" w14:textId="77777777">
      <w:pPr>
        <w:pStyle w:val="FootnoteText"/>
      </w:pPr>
      <w:r>
        <w:rPr>
          <w:rStyle w:val="FootnoteReference"/>
        </w:rPr>
        <w:footnoteRef/>
      </w:r>
      <w:r>
        <w:t xml:space="preserve"> </w:t>
      </w:r>
      <w:r>
        <w:rPr>
          <w:i/>
          <w:iCs/>
        </w:rPr>
        <w:t xml:space="preserve">See </w:t>
      </w:r>
      <w:r>
        <w:t xml:space="preserve">47 CFR </w:t>
      </w:r>
      <w:r>
        <w:rPr>
          <w:rFonts w:ascii="TimesNewRoman" w:hAnsi="TimesNewRoman" w:cs="TimesNewRoman"/>
          <w:lang w:eastAsia="ko-KR"/>
        </w:rPr>
        <w:t xml:space="preserve">§ </w:t>
      </w:r>
      <w:r>
        <w:t xml:space="preserve">54.1708(c); </w:t>
      </w:r>
      <w:r w:rsidRPr="00F32DD7">
        <w:rPr>
          <w:i/>
          <w:iCs/>
          <w:color w:val="000000"/>
        </w:rPr>
        <w:t>Emergency Connectivity Fund Report and Order</w:t>
      </w:r>
      <w:r w:rsidRPr="00F32DD7">
        <w:rPr>
          <w:color w:val="000000"/>
        </w:rPr>
        <w:t xml:space="preserve">, 36 FCC </w:t>
      </w:r>
      <w:r w:rsidRPr="00F32DD7">
        <w:rPr>
          <w:color w:val="000000"/>
        </w:rPr>
        <w:t>Rcd</w:t>
      </w:r>
      <w:r w:rsidRPr="00F32DD7">
        <w:rPr>
          <w:color w:val="000000"/>
        </w:rPr>
        <w:t xml:space="preserve"> at 8740-41, para. 91.</w:t>
      </w:r>
    </w:p>
  </w:footnote>
  <w:footnote w:id="7">
    <w:p w:rsidR="00F32DD7" w:rsidP="00F32DD7" w14:paraId="30B59304" w14:textId="77777777">
      <w:pPr>
        <w:pStyle w:val="FootnoteText"/>
      </w:pPr>
      <w:r w:rsidRPr="2673ADA1">
        <w:rPr>
          <w:rStyle w:val="FootnoteReference"/>
        </w:rPr>
        <w:footnoteRef/>
      </w:r>
      <w:r>
        <w:t xml:space="preserve"> News Release, </w:t>
      </w:r>
      <w:r w:rsidRPr="5CBDBB15">
        <w:t xml:space="preserve">FCC, </w:t>
      </w:r>
      <w:r w:rsidRPr="00CC74EA">
        <w:rPr>
          <w:iCs/>
        </w:rPr>
        <w:t>FCC Announces Emergency Connectivity Fund Application Window Will Open on June 29</w:t>
      </w:r>
      <w:r w:rsidRPr="00B03C84">
        <w:rPr>
          <w:iCs/>
        </w:rPr>
        <w:t xml:space="preserve"> </w:t>
      </w:r>
      <w:r>
        <w:t>(June 15, 2021), https://www.fcc.gov/document/emergency-connectivity-fund-application-window-opens-june-29 (</w:t>
      </w:r>
      <w:r w:rsidRPr="6DB698D1">
        <w:rPr>
          <w:i/>
        </w:rPr>
        <w:t>First ECF Application Window News Release</w:t>
      </w:r>
      <w:r>
        <w:t>).</w:t>
      </w:r>
    </w:p>
  </w:footnote>
  <w:footnote w:id="8">
    <w:p w:rsidR="00F32DD7" w:rsidP="00F32DD7" w14:paraId="40D5D665" w14:textId="77777777">
      <w:pPr>
        <w:pStyle w:val="FootnoteText"/>
      </w:pPr>
      <w:r w:rsidRPr="3D34241A">
        <w:rPr>
          <w:rStyle w:val="FootnoteReference"/>
        </w:rPr>
        <w:footnoteRef/>
      </w:r>
      <w:r>
        <w:t xml:space="preserve"> News Release, FCC, </w:t>
      </w:r>
      <w:r w:rsidRPr="00CC74EA">
        <w:rPr>
          <w:iCs/>
        </w:rPr>
        <w:t>FCC Announces Over $5 Billion in Funding Requests Received in Emergency Connectivity Fund Program</w:t>
      </w:r>
      <w:r>
        <w:t xml:space="preserve"> (Aug. 25, 2021), https://www.fcc.gov/document/fcc-announces-over-5-billion-emergencyconnectivity-fund-requests (</w:t>
      </w:r>
      <w:r w:rsidRPr="18DEA3E0">
        <w:rPr>
          <w:i/>
        </w:rPr>
        <w:t xml:space="preserve">Second </w:t>
      </w:r>
      <w:r>
        <w:rPr>
          <w:i/>
        </w:rPr>
        <w:t xml:space="preserve">ECF </w:t>
      </w:r>
      <w:r w:rsidRPr="18DEA3E0">
        <w:rPr>
          <w:i/>
        </w:rPr>
        <w:t>Application Window News Release</w:t>
      </w:r>
      <w:r>
        <w:t>).</w:t>
      </w:r>
    </w:p>
  </w:footnote>
  <w:footnote w:id="9">
    <w:p w:rsidR="00F32DD7" w:rsidP="00F32DD7" w14:paraId="668EC7A4" w14:textId="77777777">
      <w:pPr>
        <w:pStyle w:val="FootnoteText"/>
      </w:pPr>
      <w:r w:rsidRPr="71775D28">
        <w:rPr>
          <w:rStyle w:val="FootnoteReference"/>
        </w:rPr>
        <w:footnoteRef/>
      </w:r>
      <w:r>
        <w:t xml:space="preserve"> </w:t>
      </w:r>
      <w:r w:rsidRPr="489AEA9E">
        <w:rPr>
          <w:i/>
        </w:rPr>
        <w:t xml:space="preserve">See </w:t>
      </w:r>
      <w:r>
        <w:t xml:space="preserve">47 CFR § 54.1710; </w:t>
      </w:r>
      <w:r w:rsidRPr="19955C6F">
        <w:rPr>
          <w:i/>
        </w:rPr>
        <w:t>Emergency Connectivity Fund Report and Order</w:t>
      </w:r>
      <w:r>
        <w:t xml:space="preserve">, 36 FCC </w:t>
      </w:r>
      <w:r>
        <w:t>Rcd</w:t>
      </w:r>
      <w:r>
        <w:t xml:space="preserve"> at 8734, 8737, paras. 78, 83.</w:t>
      </w:r>
    </w:p>
  </w:footnote>
  <w:footnote w:id="10">
    <w:p w:rsidR="00F32DD7" w:rsidRPr="00B91F61" w:rsidP="00F32DD7" w14:paraId="0E8DCE73" w14:textId="77777777">
      <w:pPr>
        <w:pStyle w:val="FootnoteText"/>
      </w:pPr>
      <w:r>
        <w:rPr>
          <w:rStyle w:val="FootnoteReference"/>
        </w:rPr>
        <w:footnoteRef/>
      </w:r>
      <w:r>
        <w:t xml:space="preserve"> </w:t>
      </w:r>
      <w:r>
        <w:rPr>
          <w:i/>
          <w:iCs/>
        </w:rPr>
        <w:t>Wireline Competition Bureau Announces Third Application Filing Window for the Emergency Connectivity Fund Program</w:t>
      </w:r>
      <w:r>
        <w:t xml:space="preserve">, WC Docket No. 21-93, Public Notice, DA 22-309, 2022 WL </w:t>
      </w:r>
      <w:r w:rsidRPr="00AD100B">
        <w:t>867322</w:t>
      </w:r>
      <w:r>
        <w:t>, at *1 (WCB Mar. 23, 2022) (</w:t>
      </w:r>
      <w:r>
        <w:rPr>
          <w:i/>
          <w:iCs/>
        </w:rPr>
        <w:t xml:space="preserve">Third ECF Application Window </w:t>
      </w:r>
      <w:r>
        <w:rPr>
          <w:i/>
          <w:iCs/>
        </w:rPr>
        <w:t>PN</w:t>
      </w:r>
      <w:r>
        <w:t>).</w:t>
      </w:r>
    </w:p>
  </w:footnote>
  <w:footnote w:id="11">
    <w:p w:rsidR="00F32DD7" w:rsidRPr="006952E8" w:rsidP="00F32DD7" w14:paraId="7135CC85" w14:textId="77777777">
      <w:pPr>
        <w:pStyle w:val="FootnoteText"/>
      </w:pPr>
      <w:r>
        <w:rPr>
          <w:rStyle w:val="FootnoteReference"/>
        </w:rPr>
        <w:footnoteRef/>
      </w:r>
      <w:r>
        <w:t xml:space="preserve"> News Release, FCC, FCC Announces Over $2.8 Billion in Funding Requests for Final Window in Ongoing Work to Close the Homework Gap (May 25, 2022), </w:t>
      </w:r>
      <w:r w:rsidRPr="00BB45E1">
        <w:t>https://docs.fcc.gov/public/attachments/DOC-383685A1.pdf</w:t>
      </w:r>
      <w:r>
        <w:t xml:space="preserve"> (</w:t>
      </w:r>
      <w:r>
        <w:rPr>
          <w:i/>
          <w:iCs/>
        </w:rPr>
        <w:t>Third ECF Application Window News Release</w:t>
      </w:r>
      <w:r>
        <w:t>).</w:t>
      </w:r>
    </w:p>
  </w:footnote>
  <w:footnote w:id="12">
    <w:p w:rsidR="00F32DD7" w:rsidP="00F32DD7" w14:paraId="37F3F3BE" w14:textId="77777777">
      <w:pPr>
        <w:pStyle w:val="FootnoteText"/>
      </w:pPr>
      <w:r>
        <w:rPr>
          <w:rStyle w:val="FootnoteReference"/>
        </w:rPr>
        <w:footnoteRef/>
      </w:r>
      <w:r>
        <w:t xml:space="preserve"> 47 CFR </w:t>
      </w:r>
      <w:r>
        <w:rPr>
          <w:rFonts w:ascii="TimesNewRoman" w:hAnsi="TimesNewRoman" w:cs="TimesNewRoman"/>
          <w:lang w:eastAsia="ko-KR"/>
        </w:rPr>
        <w:t xml:space="preserve">§ </w:t>
      </w:r>
      <w:r>
        <w:t>54.1708(b).</w:t>
      </w:r>
    </w:p>
  </w:footnote>
  <w:footnote w:id="13">
    <w:p w:rsidR="00F32DD7" w:rsidRPr="00E57930" w:rsidP="00F32DD7" w14:paraId="24DA8961" w14:textId="77777777">
      <w:pPr>
        <w:pStyle w:val="FootnoteText"/>
      </w:pPr>
      <w:r w:rsidRPr="00427B4A">
        <w:rPr>
          <w:rStyle w:val="FootnoteReference"/>
        </w:rPr>
        <w:footnoteRef/>
      </w:r>
      <w:r w:rsidRPr="00427B4A">
        <w:t xml:space="preserve"> </w:t>
      </w:r>
      <w:r w:rsidRPr="00E57930">
        <w:t xml:space="preserve">47 CFR § 1.3.  </w:t>
      </w:r>
    </w:p>
  </w:footnote>
  <w:footnote w:id="14">
    <w:p w:rsidR="00F32DD7" w:rsidRPr="00E57930" w:rsidP="00F32DD7" w14:paraId="6ED52168"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5">
    <w:p w:rsidR="00F32DD7" w:rsidRPr="00831E77" w:rsidP="00F32DD7" w14:paraId="016F8474"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16">
    <w:p w:rsidR="00F32DD7" w:rsidP="00F32DD7" w14:paraId="2E38F862" w14:textId="77777777">
      <w:pPr>
        <w:pStyle w:val="FootnoteText"/>
      </w:pPr>
      <w:r>
        <w:rPr>
          <w:rStyle w:val="FootnoteReference"/>
        </w:rPr>
        <w:footnoteRef/>
      </w:r>
      <w:r>
        <w:t xml:space="preserve"> We further note that the 30 day deadline to request a waiver of the third ECF application filing window deadline has passed.  </w:t>
      </w:r>
      <w:r w:rsidRPr="0011291B">
        <w:rPr>
          <w:i/>
          <w:iCs/>
        </w:rPr>
        <w:t>See</w:t>
      </w:r>
      <w:r>
        <w:t xml:space="preserve"> 47 CFR </w:t>
      </w:r>
      <w:r>
        <w:rPr>
          <w:rFonts w:ascii="TimesNewRoman" w:hAnsi="TimesNewRoman" w:cs="TimesNewRoman"/>
          <w:lang w:eastAsia="ko-KR"/>
        </w:rPr>
        <w:t xml:space="preserve">§ </w:t>
      </w:r>
      <w:r>
        <w:t xml:space="preserve">54.1718(b).  </w:t>
      </w:r>
    </w:p>
  </w:footnote>
  <w:footnote w:id="17">
    <w:p w:rsidR="00F32DD7" w:rsidP="00F32DD7" w14:paraId="5A9DA1D1" w14:textId="77777777">
      <w:pPr>
        <w:pStyle w:val="FootnoteText"/>
      </w:pPr>
      <w:r>
        <w:rPr>
          <w:rStyle w:val="FootnoteReference"/>
        </w:rPr>
        <w:footnoteRef/>
      </w:r>
      <w:r>
        <w:t xml:space="preserve"> 47 CFR </w:t>
      </w:r>
      <w:r>
        <w:rPr>
          <w:rFonts w:ascii="TimesNewRoman" w:hAnsi="TimesNewRoman" w:cs="TimesNewRoman"/>
          <w:lang w:eastAsia="ko-KR"/>
        </w:rPr>
        <w:t xml:space="preserve">§ </w:t>
      </w:r>
      <w:r>
        <w:t>54.1708(c) (establishing how funds should be allocated in the event demand exceeds the amount of support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C87E11" w14:textId="4551859A">
    <w:pPr>
      <w:pStyle w:val="Header"/>
      <w:rPr>
        <w:b w:val="0"/>
      </w:rPr>
    </w:pPr>
    <w:r>
      <w:tab/>
      <w:t>Federal Communications Commission</w:t>
    </w:r>
    <w:r>
      <w:tab/>
    </w:r>
    <w:r w:rsidR="00FE2B34">
      <w:t>DA  22-99</w:t>
    </w:r>
    <w:r w:rsidR="005533F5">
      <w:t>3</w:t>
    </w:r>
  </w:p>
  <w:p w:rsidR="00D25FB5" w14:paraId="5B99359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FAA56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1D6F7C" w14:textId="26B9FE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2B34">
      <w:rPr>
        <w:spacing w:val="-2"/>
      </w:rPr>
      <w:t>DA  22-993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7"/>
    <w:rsid w:val="000241FA"/>
    <w:rsid w:val="00035DAB"/>
    <w:rsid w:val="00036039"/>
    <w:rsid w:val="00037F90"/>
    <w:rsid w:val="000875BF"/>
    <w:rsid w:val="00096D8C"/>
    <w:rsid w:val="000C0B65"/>
    <w:rsid w:val="000E05FE"/>
    <w:rsid w:val="000E3D42"/>
    <w:rsid w:val="0011291B"/>
    <w:rsid w:val="00122BD5"/>
    <w:rsid w:val="00133F79"/>
    <w:rsid w:val="001551C9"/>
    <w:rsid w:val="00194A66"/>
    <w:rsid w:val="001D6BCF"/>
    <w:rsid w:val="001E01CA"/>
    <w:rsid w:val="00275CF5"/>
    <w:rsid w:val="0028301F"/>
    <w:rsid w:val="002847D6"/>
    <w:rsid w:val="00285017"/>
    <w:rsid w:val="002A2D2E"/>
    <w:rsid w:val="002C00E8"/>
    <w:rsid w:val="002D2154"/>
    <w:rsid w:val="00327CB4"/>
    <w:rsid w:val="00343749"/>
    <w:rsid w:val="00355ED1"/>
    <w:rsid w:val="003660ED"/>
    <w:rsid w:val="003978D9"/>
    <w:rsid w:val="003B0550"/>
    <w:rsid w:val="003B694F"/>
    <w:rsid w:val="003F171C"/>
    <w:rsid w:val="00412FC5"/>
    <w:rsid w:val="00422276"/>
    <w:rsid w:val="004242F1"/>
    <w:rsid w:val="00427B4A"/>
    <w:rsid w:val="00445A00"/>
    <w:rsid w:val="00451B0F"/>
    <w:rsid w:val="00472A76"/>
    <w:rsid w:val="00472FDB"/>
    <w:rsid w:val="004A2770"/>
    <w:rsid w:val="004C2EE3"/>
    <w:rsid w:val="004E4A22"/>
    <w:rsid w:val="00511968"/>
    <w:rsid w:val="005533F5"/>
    <w:rsid w:val="0055614C"/>
    <w:rsid w:val="00566D06"/>
    <w:rsid w:val="005C2527"/>
    <w:rsid w:val="005E14C2"/>
    <w:rsid w:val="00607BA5"/>
    <w:rsid w:val="0061180A"/>
    <w:rsid w:val="00626EB6"/>
    <w:rsid w:val="00655D03"/>
    <w:rsid w:val="006823C2"/>
    <w:rsid w:val="00683388"/>
    <w:rsid w:val="00683F84"/>
    <w:rsid w:val="006952E8"/>
    <w:rsid w:val="006A6A81"/>
    <w:rsid w:val="006F7393"/>
    <w:rsid w:val="0070224F"/>
    <w:rsid w:val="007115F7"/>
    <w:rsid w:val="00785689"/>
    <w:rsid w:val="0079754B"/>
    <w:rsid w:val="007A1E6D"/>
    <w:rsid w:val="007B0EB2"/>
    <w:rsid w:val="00810B6F"/>
    <w:rsid w:val="00822CE0"/>
    <w:rsid w:val="00831E77"/>
    <w:rsid w:val="00841AB1"/>
    <w:rsid w:val="00886BB7"/>
    <w:rsid w:val="008C68F1"/>
    <w:rsid w:val="008D42D7"/>
    <w:rsid w:val="00921803"/>
    <w:rsid w:val="00926503"/>
    <w:rsid w:val="00957DE6"/>
    <w:rsid w:val="009726D8"/>
    <w:rsid w:val="009D7308"/>
    <w:rsid w:val="009F5587"/>
    <w:rsid w:val="009F76DB"/>
    <w:rsid w:val="00A32C3B"/>
    <w:rsid w:val="00A43C01"/>
    <w:rsid w:val="00A45F4F"/>
    <w:rsid w:val="00A600A9"/>
    <w:rsid w:val="00A753D7"/>
    <w:rsid w:val="00AA55B7"/>
    <w:rsid w:val="00AA5B9E"/>
    <w:rsid w:val="00AB2407"/>
    <w:rsid w:val="00AB53DF"/>
    <w:rsid w:val="00AD100B"/>
    <w:rsid w:val="00B03C84"/>
    <w:rsid w:val="00B07E5C"/>
    <w:rsid w:val="00B811F7"/>
    <w:rsid w:val="00B91F61"/>
    <w:rsid w:val="00BA5DC6"/>
    <w:rsid w:val="00BA6196"/>
    <w:rsid w:val="00BB45E1"/>
    <w:rsid w:val="00BC6D8C"/>
    <w:rsid w:val="00C34006"/>
    <w:rsid w:val="00C36B4C"/>
    <w:rsid w:val="00C37E69"/>
    <w:rsid w:val="00C426B1"/>
    <w:rsid w:val="00C53ACD"/>
    <w:rsid w:val="00C66160"/>
    <w:rsid w:val="00C721AC"/>
    <w:rsid w:val="00C90D6A"/>
    <w:rsid w:val="00CA247E"/>
    <w:rsid w:val="00CA6D21"/>
    <w:rsid w:val="00CC72B6"/>
    <w:rsid w:val="00CC74EA"/>
    <w:rsid w:val="00D0218D"/>
    <w:rsid w:val="00D25FB5"/>
    <w:rsid w:val="00D342B1"/>
    <w:rsid w:val="00D364C7"/>
    <w:rsid w:val="00D44223"/>
    <w:rsid w:val="00DA2529"/>
    <w:rsid w:val="00DB130A"/>
    <w:rsid w:val="00DB2EBB"/>
    <w:rsid w:val="00DC10A1"/>
    <w:rsid w:val="00DC655F"/>
    <w:rsid w:val="00DD0B59"/>
    <w:rsid w:val="00DD7EBD"/>
    <w:rsid w:val="00DF62B6"/>
    <w:rsid w:val="00E07225"/>
    <w:rsid w:val="00E22506"/>
    <w:rsid w:val="00E47AC3"/>
    <w:rsid w:val="00E5409F"/>
    <w:rsid w:val="00E57930"/>
    <w:rsid w:val="00E91516"/>
    <w:rsid w:val="00EB6B04"/>
    <w:rsid w:val="00EE6488"/>
    <w:rsid w:val="00F021FA"/>
    <w:rsid w:val="00F24B74"/>
    <w:rsid w:val="00F32DD7"/>
    <w:rsid w:val="00F62E97"/>
    <w:rsid w:val="00F64209"/>
    <w:rsid w:val="00F93BF5"/>
    <w:rsid w:val="00FE2B34"/>
    <w:rsid w:val="18DEA3E0"/>
    <w:rsid w:val="19955C6F"/>
    <w:rsid w:val="1C86A57C"/>
    <w:rsid w:val="489AEA9E"/>
    <w:rsid w:val="52667934"/>
    <w:rsid w:val="531D31C3"/>
    <w:rsid w:val="5CBDBB15"/>
    <w:rsid w:val="5CD1903A"/>
    <w:rsid w:val="68CD277A"/>
    <w:rsid w:val="6DB69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03197B"/>
  <w15:chartTrackingRefBased/>
  <w15:docId w15:val="{0A697FFA-0EF7-4037-B455-51EA856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F32DD7"/>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F32DD7"/>
  </w:style>
  <w:style w:type="table" w:styleId="TableGrid">
    <w:name w:val="Table Grid"/>
    <w:basedOn w:val="TableNormal"/>
    <w:rsid w:val="00F3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