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877E410"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7A74F814" w14:textId="0CE5E6E0">
      <w:pPr>
        <w:jc w:val="right"/>
        <w:rPr>
          <w:b/>
          <w:szCs w:val="22"/>
        </w:rPr>
      </w:pPr>
      <w:bookmarkStart w:id="1" w:name="_Hlk26280526"/>
      <w:bookmarkStart w:id="2" w:name="_Hlk64383480"/>
      <w:bookmarkStart w:id="3" w:name="_Hlk83213970"/>
      <w:r>
        <w:rPr>
          <w:b/>
          <w:szCs w:val="22"/>
        </w:rPr>
        <w:t>DA 2</w:t>
      </w:r>
      <w:r w:rsidR="00680A98">
        <w:rPr>
          <w:b/>
          <w:szCs w:val="22"/>
        </w:rPr>
        <w:t>2</w:t>
      </w:r>
      <w:r w:rsidR="00E6637B">
        <w:rPr>
          <w:b/>
          <w:szCs w:val="22"/>
        </w:rPr>
        <w:t>-</w:t>
      </w:r>
      <w:r w:rsidR="003A6EFA">
        <w:rPr>
          <w:b/>
          <w:szCs w:val="22"/>
        </w:rPr>
        <w:t>99</w:t>
      </w:r>
    </w:p>
    <w:p w:rsidR="00E7033D" w14:paraId="745E05EC" w14:textId="2235BFC2">
      <w:pPr>
        <w:spacing w:before="60"/>
        <w:jc w:val="right"/>
        <w:rPr>
          <w:b/>
          <w:szCs w:val="22"/>
        </w:rPr>
      </w:pPr>
      <w:r>
        <w:rPr>
          <w:b/>
          <w:szCs w:val="22"/>
        </w:rPr>
        <w:t xml:space="preserve">January </w:t>
      </w:r>
      <w:r w:rsidR="00696B6E">
        <w:rPr>
          <w:b/>
          <w:szCs w:val="22"/>
        </w:rPr>
        <w:t>31</w:t>
      </w:r>
      <w:r>
        <w:rPr>
          <w:b/>
          <w:szCs w:val="22"/>
        </w:rPr>
        <w:t>,</w:t>
      </w:r>
      <w:r w:rsidR="008C294A">
        <w:rPr>
          <w:b/>
          <w:szCs w:val="22"/>
        </w:rPr>
        <w:t xml:space="preserve"> 202</w:t>
      </w:r>
      <w:r>
        <w:rPr>
          <w:b/>
          <w:szCs w:val="22"/>
        </w:rPr>
        <w:t>2</w:t>
      </w:r>
    </w:p>
    <w:p w:rsidR="00E7033D" w14:paraId="56162A97" w14:textId="77777777">
      <w:pPr>
        <w:tabs>
          <w:tab w:val="left" w:pos="5900"/>
        </w:tabs>
        <w:rPr>
          <w:szCs w:val="22"/>
        </w:rPr>
      </w:pPr>
      <w:r>
        <w:rPr>
          <w:szCs w:val="22"/>
        </w:rPr>
        <w:tab/>
      </w:r>
    </w:p>
    <w:p w:rsidR="00144E61" w:rsidP="006703D5" w14:paraId="2B6CC670"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09512D" w:rsidP="000552F7" w14:paraId="61E3B068" w14:textId="77777777">
      <w:pPr>
        <w:jc w:val="center"/>
        <w:rPr>
          <w:b/>
          <w:bCs/>
          <w:caps/>
          <w:szCs w:val="22"/>
        </w:rPr>
      </w:pPr>
      <w:r w:rsidRPr="009B7836">
        <w:rPr>
          <w:b/>
          <w:bCs/>
          <w:caps/>
          <w:szCs w:val="22"/>
        </w:rPr>
        <w:t xml:space="preserve">TRANSFER OF </w:t>
      </w:r>
      <w:r>
        <w:rPr>
          <w:b/>
          <w:bCs/>
          <w:caps/>
          <w:szCs w:val="22"/>
        </w:rPr>
        <w:t xml:space="preserve">CONTROL OF </w:t>
      </w:r>
      <w:bookmarkStart w:id="7" w:name="_Hlk83973973"/>
      <w:r w:rsidR="00371B64">
        <w:rPr>
          <w:b/>
          <w:bCs/>
          <w:caps/>
          <w:szCs w:val="22"/>
        </w:rPr>
        <w:t xml:space="preserve">CABLESOUTH MEDIA III, LLC </w:t>
      </w:r>
    </w:p>
    <w:p w:rsidR="000552F7" w:rsidRPr="000552F7" w:rsidP="000552F7" w14:paraId="07057987" w14:textId="5DFD84FC">
      <w:pPr>
        <w:jc w:val="center"/>
        <w:rPr>
          <w:b/>
          <w:bCs/>
          <w:caps/>
          <w:szCs w:val="22"/>
        </w:rPr>
      </w:pPr>
      <w:r>
        <w:rPr>
          <w:b/>
          <w:bCs/>
          <w:caps/>
          <w:szCs w:val="22"/>
        </w:rPr>
        <w:t>TO ITC BROADBAND HOLDINGS, LLC</w:t>
      </w:r>
      <w:r w:rsidR="001149F9">
        <w:rPr>
          <w:b/>
          <w:bCs/>
          <w:caps/>
          <w:szCs w:val="22"/>
        </w:rPr>
        <w:t xml:space="preserve"> </w:t>
      </w:r>
      <w:bookmarkEnd w:id="4"/>
      <w:bookmarkEnd w:id="5"/>
      <w:bookmarkEnd w:id="6"/>
      <w:bookmarkEnd w:id="7"/>
    </w:p>
    <w:p w:rsidR="00086D74" w:rsidP="00AC303A" w14:paraId="7813E46A" w14:textId="77777777">
      <w:pPr>
        <w:jc w:val="center"/>
        <w:rPr>
          <w:b/>
          <w:bCs/>
          <w:szCs w:val="22"/>
        </w:rPr>
      </w:pPr>
    </w:p>
    <w:p w:rsidR="00E7033D" w14:paraId="2E2EB570" w14:textId="6254C5B5">
      <w:pPr>
        <w:jc w:val="center"/>
        <w:rPr>
          <w:b/>
          <w:szCs w:val="22"/>
        </w:rPr>
      </w:pPr>
      <w:r>
        <w:rPr>
          <w:b/>
          <w:szCs w:val="22"/>
        </w:rPr>
        <w:t>NON-</w:t>
      </w:r>
      <w:r w:rsidR="00E83332">
        <w:rPr>
          <w:b/>
          <w:szCs w:val="22"/>
        </w:rPr>
        <w:t xml:space="preserve">STREAMLINED </w:t>
      </w:r>
      <w:r w:rsidR="006A1C8E">
        <w:rPr>
          <w:b/>
          <w:szCs w:val="22"/>
        </w:rPr>
        <w:t>PLEADING CYCLE ESTABLISHED</w:t>
      </w:r>
    </w:p>
    <w:p w:rsidR="00E7033D" w14:paraId="50F35823" w14:textId="77777777">
      <w:pPr>
        <w:jc w:val="center"/>
        <w:rPr>
          <w:b/>
          <w:szCs w:val="22"/>
        </w:rPr>
      </w:pPr>
      <w:r>
        <w:rPr>
          <w:b/>
          <w:szCs w:val="22"/>
        </w:rPr>
        <w:t xml:space="preserve"> </w:t>
      </w:r>
    </w:p>
    <w:p w:rsidR="00E7033D" w14:paraId="22891760" w14:textId="11EE2B2B">
      <w:pPr>
        <w:jc w:val="center"/>
        <w:rPr>
          <w:b/>
          <w:szCs w:val="22"/>
        </w:rPr>
      </w:pPr>
      <w:r>
        <w:rPr>
          <w:b/>
          <w:szCs w:val="22"/>
        </w:rPr>
        <w:t xml:space="preserve">WC Docket No. </w:t>
      </w:r>
      <w:r w:rsidRPr="00C53E5E" w:rsidR="00C53E5E">
        <w:rPr>
          <w:b/>
          <w:szCs w:val="22"/>
        </w:rPr>
        <w:t>2</w:t>
      </w:r>
      <w:r w:rsidR="00484483">
        <w:rPr>
          <w:b/>
          <w:szCs w:val="22"/>
        </w:rPr>
        <w:t>2</w:t>
      </w:r>
      <w:r w:rsidRPr="00C53E5E">
        <w:rPr>
          <w:b/>
          <w:szCs w:val="22"/>
        </w:rPr>
        <w:t>-</w:t>
      </w:r>
      <w:r w:rsidR="00AF3ABF">
        <w:rPr>
          <w:b/>
          <w:szCs w:val="22"/>
        </w:rPr>
        <w:t>11</w:t>
      </w:r>
    </w:p>
    <w:p w:rsidR="00FF411B" w14:paraId="00527D7E" w14:textId="77777777">
      <w:pPr>
        <w:jc w:val="center"/>
        <w:rPr>
          <w:b/>
          <w:szCs w:val="22"/>
        </w:rPr>
      </w:pPr>
    </w:p>
    <w:p w:rsidR="00E7033D" w14:paraId="77A5066A" w14:textId="3A1FA3C0">
      <w:pPr>
        <w:pStyle w:val="NoSpacing"/>
        <w:rPr>
          <w:b/>
          <w:szCs w:val="22"/>
        </w:rPr>
      </w:pPr>
      <w:r w:rsidRPr="005B2105">
        <w:rPr>
          <w:b/>
          <w:szCs w:val="22"/>
        </w:rPr>
        <w:t xml:space="preserve">Comments Due:  </w:t>
      </w:r>
      <w:r w:rsidR="00DF755E">
        <w:rPr>
          <w:b/>
          <w:szCs w:val="22"/>
        </w:rPr>
        <w:t>February</w:t>
      </w:r>
      <w:r w:rsidR="00680A98">
        <w:rPr>
          <w:b/>
          <w:szCs w:val="22"/>
        </w:rPr>
        <w:t xml:space="preserve"> </w:t>
      </w:r>
      <w:r w:rsidR="00696B6E">
        <w:rPr>
          <w:b/>
          <w:szCs w:val="22"/>
        </w:rPr>
        <w:t>14,</w:t>
      </w:r>
      <w:r w:rsidRPr="005B2105">
        <w:rPr>
          <w:b/>
          <w:szCs w:val="22"/>
        </w:rPr>
        <w:t xml:space="preserve"> 202</w:t>
      </w:r>
      <w:r w:rsidR="00680A98">
        <w:rPr>
          <w:b/>
          <w:szCs w:val="22"/>
        </w:rPr>
        <w:t>2</w:t>
      </w:r>
      <w:r w:rsidR="00D04963">
        <w:rPr>
          <w:b/>
          <w:szCs w:val="22"/>
        </w:rPr>
        <w:t xml:space="preserve"> </w:t>
      </w:r>
    </w:p>
    <w:p w:rsidR="00FF411B" w:rsidRPr="005B2105" w14:paraId="10F400D4" w14:textId="38AA7A42">
      <w:pPr>
        <w:pStyle w:val="NoSpacing"/>
        <w:rPr>
          <w:b/>
          <w:szCs w:val="22"/>
        </w:rPr>
      </w:pPr>
      <w:r>
        <w:rPr>
          <w:b/>
          <w:szCs w:val="22"/>
        </w:rPr>
        <w:t xml:space="preserve">Reply Comment Due: </w:t>
      </w:r>
      <w:r w:rsidR="009D25CE">
        <w:rPr>
          <w:b/>
          <w:szCs w:val="22"/>
        </w:rPr>
        <w:t xml:space="preserve"> </w:t>
      </w:r>
      <w:r w:rsidR="00DF755E">
        <w:rPr>
          <w:b/>
          <w:szCs w:val="22"/>
        </w:rPr>
        <w:t xml:space="preserve">February </w:t>
      </w:r>
      <w:r w:rsidR="00696B6E">
        <w:rPr>
          <w:b/>
          <w:szCs w:val="22"/>
        </w:rPr>
        <w:t>22,</w:t>
      </w:r>
      <w:r>
        <w:rPr>
          <w:b/>
          <w:szCs w:val="22"/>
        </w:rPr>
        <w:t xml:space="preserve"> 202</w:t>
      </w:r>
      <w:r w:rsidR="00680A98">
        <w:rPr>
          <w:b/>
          <w:szCs w:val="22"/>
        </w:rPr>
        <w:t>2</w:t>
      </w:r>
      <w:r w:rsidR="00444548">
        <w:rPr>
          <w:b/>
          <w:szCs w:val="22"/>
        </w:rPr>
        <w:t xml:space="preserve"> </w:t>
      </w:r>
    </w:p>
    <w:bookmarkEnd w:id="1"/>
    <w:p w:rsidR="00760269" w:rsidRPr="005B2105" w:rsidP="00A92C9E" w14:paraId="7BD091AA" w14:textId="77777777">
      <w:pPr>
        <w:tabs>
          <w:tab w:val="left" w:pos="6221"/>
        </w:tabs>
        <w:autoSpaceDE w:val="0"/>
        <w:autoSpaceDN w:val="0"/>
        <w:adjustRightInd w:val="0"/>
        <w:rPr>
          <w:szCs w:val="22"/>
        </w:rPr>
      </w:pPr>
    </w:p>
    <w:bookmarkEnd w:id="2"/>
    <w:p w:rsidR="00A77B50" w:rsidP="00A3522C" w14:paraId="565BE04B" w14:textId="26D8F9C4">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000344DA">
        <w:rPr>
          <w:szCs w:val="22"/>
        </w:rPr>
        <w:t xml:space="preserve">(Bureau) </w:t>
      </w:r>
      <w:r w:rsidRPr="00CD711A">
        <w:rPr>
          <w:szCs w:val="22"/>
        </w:rPr>
        <w:t xml:space="preserve">seeks comment from interested parties on </w:t>
      </w:r>
      <w:r w:rsidR="00DF3C71">
        <w:rPr>
          <w:szCs w:val="22"/>
        </w:rPr>
        <w:t xml:space="preserve">an </w:t>
      </w:r>
      <w:r w:rsidRPr="00CD711A">
        <w:rPr>
          <w:szCs w:val="22"/>
        </w:rPr>
        <w:t>application</w:t>
      </w:r>
      <w:r w:rsidR="00E6304E">
        <w:rPr>
          <w:szCs w:val="22"/>
        </w:rPr>
        <w:t xml:space="preserve"> </w:t>
      </w:r>
      <w:r w:rsidR="00617F31">
        <w:rPr>
          <w:szCs w:val="22"/>
        </w:rPr>
        <w:t xml:space="preserve">filed by </w:t>
      </w:r>
      <w:bookmarkStart w:id="8" w:name="_Hlk87961388"/>
      <w:bookmarkStart w:id="9" w:name="_Hlk73713070"/>
      <w:bookmarkStart w:id="10" w:name="_Hlk67917977"/>
      <w:r w:rsidR="00484483">
        <w:rPr>
          <w:szCs w:val="22"/>
        </w:rPr>
        <w:t>Hunt Land Holdings, LLC (Hunt Land Holdings)</w:t>
      </w:r>
      <w:r w:rsidR="00696B6E">
        <w:rPr>
          <w:szCs w:val="22"/>
        </w:rPr>
        <w:t>,</w:t>
      </w:r>
      <w:r w:rsidR="00856014">
        <w:rPr>
          <w:szCs w:val="22"/>
        </w:rPr>
        <w:t xml:space="preserve"> </w:t>
      </w:r>
      <w:r w:rsidR="00484483">
        <w:rPr>
          <w:szCs w:val="22"/>
        </w:rPr>
        <w:t xml:space="preserve"> CableSouth Media III, LLC d/b/a Media 3 (CableSouth)</w:t>
      </w:r>
      <w:r w:rsidR="009E7532">
        <w:rPr>
          <w:szCs w:val="22"/>
        </w:rPr>
        <w:t>,</w:t>
      </w:r>
      <w:r w:rsidR="00484483">
        <w:rPr>
          <w:szCs w:val="22"/>
        </w:rPr>
        <w:t xml:space="preserve"> and ITC Broadband Holdings, LLC (ITC Holdings)</w:t>
      </w:r>
      <w:r w:rsidR="008B3E07">
        <w:rPr>
          <w:szCs w:val="22"/>
        </w:rPr>
        <w:t xml:space="preserve"> </w:t>
      </w:r>
      <w:bookmarkEnd w:id="8"/>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w:t>
      </w:r>
      <w:r w:rsidR="00484483">
        <w:rPr>
          <w:szCs w:val="22"/>
        </w:rPr>
        <w:t xml:space="preserve">to consummate a transaction in which ITC Holdings will indirectly acquire a 35% </w:t>
      </w:r>
      <w:r w:rsidR="009E7532">
        <w:rPr>
          <w:szCs w:val="22"/>
        </w:rPr>
        <w:t xml:space="preserve">ownership interest </w:t>
      </w:r>
      <w:r w:rsidR="00484483">
        <w:rPr>
          <w:szCs w:val="22"/>
        </w:rPr>
        <w:t xml:space="preserve">in </w:t>
      </w:r>
      <w:r w:rsidR="009E7532">
        <w:rPr>
          <w:szCs w:val="22"/>
        </w:rPr>
        <w:t xml:space="preserve">and control of </w:t>
      </w:r>
      <w:r w:rsidR="00484483">
        <w:rPr>
          <w:szCs w:val="22"/>
        </w:rPr>
        <w:t>CableSouth.</w:t>
      </w:r>
      <w:bookmarkStart w:id="11" w:name="_Hlk72758776"/>
      <w:bookmarkEnd w:id="9"/>
      <w:bookmarkEnd w:id="10"/>
      <w:r>
        <w:rPr>
          <w:rStyle w:val="FootnoteReference"/>
          <w:szCs w:val="22"/>
        </w:rPr>
        <w:footnoteReference w:id="3"/>
      </w:r>
      <w:bookmarkEnd w:id="11"/>
      <w:r w:rsidR="00FF44B1">
        <w:rPr>
          <w:szCs w:val="22"/>
        </w:rPr>
        <w:t xml:space="preserve"> </w:t>
      </w:r>
      <w:r>
        <w:rPr>
          <w:szCs w:val="22"/>
        </w:rPr>
        <w:t xml:space="preserve"> </w:t>
      </w:r>
    </w:p>
    <w:p w:rsidR="00F9045E" w:rsidP="002C4B51" w14:paraId="56E7BE73" w14:textId="6CF28EF2">
      <w:pPr>
        <w:autoSpaceDE w:val="0"/>
        <w:autoSpaceDN w:val="0"/>
        <w:adjustRightInd w:val="0"/>
        <w:spacing w:after="120"/>
        <w:ind w:firstLine="720"/>
        <w:rPr>
          <w:szCs w:val="22"/>
        </w:rPr>
      </w:pPr>
      <w:r w:rsidRPr="00710B3F">
        <w:rPr>
          <w:szCs w:val="22"/>
        </w:rPr>
        <w:t>CableSouth</w:t>
      </w:r>
      <w:r w:rsidR="009E7532">
        <w:rPr>
          <w:szCs w:val="22"/>
        </w:rPr>
        <w:t xml:space="preserve">, a Tennessee limited liability company, is wholly owned by CableSouth </w:t>
      </w:r>
      <w:r w:rsidR="0009512D">
        <w:rPr>
          <w:szCs w:val="22"/>
        </w:rPr>
        <w:t>M</w:t>
      </w:r>
      <w:r w:rsidR="009E7532">
        <w:rPr>
          <w:szCs w:val="22"/>
        </w:rPr>
        <w:t>edia, LLC, a Tennessee</w:t>
      </w:r>
      <w:r w:rsidR="000518C8">
        <w:rPr>
          <w:szCs w:val="22"/>
        </w:rPr>
        <w:t xml:space="preserve"> </w:t>
      </w:r>
      <w:r w:rsidR="009E7532">
        <w:rPr>
          <w:szCs w:val="22"/>
        </w:rPr>
        <w:t>limited</w:t>
      </w:r>
      <w:r w:rsidR="000518C8">
        <w:rPr>
          <w:szCs w:val="22"/>
        </w:rPr>
        <w:t xml:space="preserve"> </w:t>
      </w:r>
      <w:r w:rsidR="009E7532">
        <w:rPr>
          <w:szCs w:val="22"/>
        </w:rPr>
        <w:t>liability company that is</w:t>
      </w:r>
      <w:r w:rsidR="005F5344">
        <w:rPr>
          <w:szCs w:val="22"/>
        </w:rPr>
        <w:t>,</w:t>
      </w:r>
      <w:r w:rsidR="000518C8">
        <w:rPr>
          <w:szCs w:val="22"/>
        </w:rPr>
        <w:t xml:space="preserve"> </w:t>
      </w:r>
      <w:r w:rsidR="009E7532">
        <w:rPr>
          <w:szCs w:val="22"/>
        </w:rPr>
        <w:t>in turn</w:t>
      </w:r>
      <w:r w:rsidR="005F5344">
        <w:rPr>
          <w:szCs w:val="22"/>
        </w:rPr>
        <w:t>,</w:t>
      </w:r>
      <w:r w:rsidR="009E7532">
        <w:rPr>
          <w:szCs w:val="22"/>
        </w:rPr>
        <w:t xml:space="preserve"> wholly</w:t>
      </w:r>
      <w:r w:rsidR="000518C8">
        <w:rPr>
          <w:szCs w:val="22"/>
        </w:rPr>
        <w:t xml:space="preserve"> </w:t>
      </w:r>
      <w:r w:rsidR="009E7532">
        <w:rPr>
          <w:szCs w:val="22"/>
        </w:rPr>
        <w:t>o</w:t>
      </w:r>
      <w:r w:rsidR="000518C8">
        <w:rPr>
          <w:szCs w:val="22"/>
        </w:rPr>
        <w:t xml:space="preserve">wned </w:t>
      </w:r>
      <w:r w:rsidR="009E7532">
        <w:rPr>
          <w:szCs w:val="22"/>
        </w:rPr>
        <w:t>by Hunt Land Holdings</w:t>
      </w:r>
      <w:r w:rsidR="000518C8">
        <w:rPr>
          <w:szCs w:val="22"/>
        </w:rPr>
        <w:t xml:space="preserve">, </w:t>
      </w:r>
      <w:r w:rsidR="009E7532">
        <w:rPr>
          <w:szCs w:val="22"/>
        </w:rPr>
        <w:t>a  Louisiana limited liability company</w:t>
      </w:r>
      <w:r w:rsidR="000518C8">
        <w:rPr>
          <w:szCs w:val="22"/>
        </w:rPr>
        <w:t xml:space="preserve"> that does not itself provide telecommunications services</w:t>
      </w:r>
      <w:r w:rsidR="009E7532">
        <w:rPr>
          <w:szCs w:val="22"/>
        </w:rPr>
        <w:t>.</w:t>
      </w:r>
      <w:r>
        <w:rPr>
          <w:rStyle w:val="FootnoteReference"/>
          <w:szCs w:val="22"/>
        </w:rPr>
        <w:footnoteReference w:id="4"/>
      </w:r>
      <w:r w:rsidR="009E7532">
        <w:rPr>
          <w:szCs w:val="22"/>
        </w:rPr>
        <w:t xml:space="preserve">  </w:t>
      </w:r>
      <w:r w:rsidR="000518C8">
        <w:rPr>
          <w:szCs w:val="22"/>
        </w:rPr>
        <w:t>Hunt Land Holdings and CableSouth</w:t>
      </w:r>
      <w:r w:rsidR="0009512D">
        <w:rPr>
          <w:szCs w:val="22"/>
        </w:rPr>
        <w:t xml:space="preserve">, </w:t>
      </w:r>
      <w:r w:rsidR="000518C8">
        <w:rPr>
          <w:szCs w:val="22"/>
        </w:rPr>
        <w:t>bidding through the Segnem Egere Consortium, participated in and won the rights to provide service to 57,387 locations in Arkansas, Louisiana, and Mississippi through Phase I of the Rural Digital Opportunity Fund (RDOF) Auction.</w:t>
      </w:r>
      <w:r w:rsidRPr="00E0490E" w:rsidR="000518C8">
        <w:rPr>
          <w:rStyle w:val="FootnoteReference"/>
          <w:szCs w:val="22"/>
        </w:rPr>
        <w:t xml:space="preserve"> </w:t>
      </w:r>
      <w:r>
        <w:rPr>
          <w:rStyle w:val="FootnoteReference"/>
          <w:szCs w:val="22"/>
        </w:rPr>
        <w:footnoteReference w:id="5"/>
      </w:r>
      <w:r w:rsidR="000518C8">
        <w:rPr>
          <w:szCs w:val="22"/>
        </w:rPr>
        <w:t xml:space="preserve">  The </w:t>
      </w:r>
      <w:r w:rsidR="002C4B51">
        <w:rPr>
          <w:szCs w:val="22"/>
        </w:rPr>
        <w:t>C</w:t>
      </w:r>
      <w:r w:rsidR="000518C8">
        <w:rPr>
          <w:szCs w:val="22"/>
        </w:rPr>
        <w:t xml:space="preserve">onsortium assigned </w:t>
      </w:r>
      <w:r w:rsidR="000518C8">
        <w:rPr>
          <w:szCs w:val="22"/>
        </w:rPr>
        <w:t>its winning RDOF bids to CableSouth.</w:t>
      </w:r>
      <w:r>
        <w:rPr>
          <w:rStyle w:val="FootnoteReference"/>
          <w:szCs w:val="22"/>
        </w:rPr>
        <w:footnoteReference w:id="6"/>
      </w:r>
      <w:r w:rsidR="000518C8">
        <w:rPr>
          <w:szCs w:val="22"/>
        </w:rPr>
        <w:t xml:space="preserve"> </w:t>
      </w:r>
      <w:r w:rsidR="00662D4F">
        <w:rPr>
          <w:szCs w:val="22"/>
        </w:rPr>
        <w:t xml:space="preserve"> </w:t>
      </w:r>
      <w:r w:rsidR="009E7532">
        <w:rPr>
          <w:szCs w:val="22"/>
        </w:rPr>
        <w:t xml:space="preserve">CableSouth </w:t>
      </w:r>
      <w:r w:rsidR="000518C8">
        <w:rPr>
          <w:szCs w:val="22"/>
        </w:rPr>
        <w:t>is an eligible telecommunications carrier (ETC) in each of the jurisdictions in which it won RDOF bids.</w:t>
      </w:r>
      <w:r>
        <w:rPr>
          <w:rStyle w:val="FootnoteReference"/>
          <w:szCs w:val="22"/>
        </w:rPr>
        <w:footnoteReference w:id="7"/>
      </w:r>
      <w:r w:rsidR="000518C8">
        <w:rPr>
          <w:szCs w:val="22"/>
        </w:rPr>
        <w:t xml:space="preserve">  </w:t>
      </w:r>
      <w:r w:rsidR="00ED4F73">
        <w:rPr>
          <w:szCs w:val="22"/>
        </w:rPr>
        <w:t>Under the brand names</w:t>
      </w:r>
      <w:r w:rsidR="00856014">
        <w:rPr>
          <w:szCs w:val="22"/>
        </w:rPr>
        <w:t>,</w:t>
      </w:r>
      <w:r w:rsidR="00ED4F73">
        <w:rPr>
          <w:szCs w:val="22"/>
        </w:rPr>
        <w:t xml:space="preserve"> SwyftConnect and Sw</w:t>
      </w:r>
      <w:r w:rsidR="004D761B">
        <w:rPr>
          <w:szCs w:val="22"/>
        </w:rPr>
        <w:t>y</w:t>
      </w:r>
      <w:r w:rsidR="00ED4F73">
        <w:rPr>
          <w:szCs w:val="22"/>
        </w:rPr>
        <w:t>ft Fiber, CableSouth currently offers broadband</w:t>
      </w:r>
      <w:r w:rsidR="002C4B51">
        <w:rPr>
          <w:szCs w:val="22"/>
        </w:rPr>
        <w:t>,</w:t>
      </w:r>
      <w:r w:rsidR="00ED4F73">
        <w:rPr>
          <w:szCs w:val="22"/>
        </w:rPr>
        <w:t xml:space="preserve"> video, and voice services in Arkansas, Loui</w:t>
      </w:r>
      <w:r w:rsidR="00662D4F">
        <w:rPr>
          <w:szCs w:val="22"/>
        </w:rPr>
        <w:t>siana</w:t>
      </w:r>
      <w:r w:rsidR="00ED4F73">
        <w:rPr>
          <w:szCs w:val="22"/>
        </w:rPr>
        <w:t>, and Mississippi.</w:t>
      </w:r>
      <w:r>
        <w:rPr>
          <w:rStyle w:val="FootnoteReference"/>
          <w:szCs w:val="22"/>
        </w:rPr>
        <w:footnoteReference w:id="8"/>
      </w:r>
      <w:r w:rsidR="00ED4F73">
        <w:rPr>
          <w:szCs w:val="22"/>
        </w:rPr>
        <w:t xml:space="preserve"> </w:t>
      </w:r>
      <w:r>
        <w:rPr>
          <w:szCs w:val="22"/>
        </w:rPr>
        <w:t xml:space="preserve"> </w:t>
      </w:r>
    </w:p>
    <w:p w:rsidR="00064770" w:rsidP="002C4B51" w14:paraId="2057A9B7" w14:textId="1E0D7320">
      <w:pPr>
        <w:autoSpaceDE w:val="0"/>
        <w:autoSpaceDN w:val="0"/>
        <w:adjustRightInd w:val="0"/>
        <w:spacing w:after="120"/>
        <w:ind w:firstLine="720"/>
        <w:rPr>
          <w:szCs w:val="22"/>
        </w:rPr>
      </w:pPr>
      <w:r w:rsidRPr="00F85C74">
        <w:rPr>
          <w:szCs w:val="22"/>
        </w:rPr>
        <w:t xml:space="preserve">ITC </w:t>
      </w:r>
      <w:r w:rsidR="00233782">
        <w:rPr>
          <w:szCs w:val="22"/>
        </w:rPr>
        <w:t>Holdings</w:t>
      </w:r>
      <w:r>
        <w:rPr>
          <w:szCs w:val="22"/>
        </w:rPr>
        <w:t>,</w:t>
      </w:r>
      <w:r w:rsidRPr="00F85C74">
        <w:rPr>
          <w:szCs w:val="22"/>
        </w:rPr>
        <w:t xml:space="preserve"> a </w:t>
      </w:r>
      <w:r w:rsidR="0053596D">
        <w:rPr>
          <w:szCs w:val="22"/>
        </w:rPr>
        <w:t xml:space="preserve">Delaware </w:t>
      </w:r>
      <w:r w:rsidRPr="00F85C74">
        <w:rPr>
          <w:szCs w:val="22"/>
        </w:rPr>
        <w:t>limited liability company</w:t>
      </w:r>
      <w:r w:rsidR="00ED4F73">
        <w:rPr>
          <w:szCs w:val="22"/>
        </w:rPr>
        <w:t>,</w:t>
      </w:r>
      <w:r w:rsidR="0053596D">
        <w:rPr>
          <w:szCs w:val="22"/>
        </w:rPr>
        <w:t xml:space="preserve"> </w:t>
      </w:r>
      <w:r>
        <w:rPr>
          <w:szCs w:val="22"/>
        </w:rPr>
        <w:t xml:space="preserve">is affiliated with </w:t>
      </w:r>
      <w:r w:rsidRPr="00F85C74">
        <w:rPr>
          <w:szCs w:val="22"/>
        </w:rPr>
        <w:t xml:space="preserve">incumbent </w:t>
      </w:r>
      <w:r w:rsidR="00856014">
        <w:rPr>
          <w:szCs w:val="22"/>
        </w:rPr>
        <w:t>local exchange carrier (</w:t>
      </w:r>
      <w:r w:rsidRPr="00F85C74">
        <w:rPr>
          <w:szCs w:val="22"/>
        </w:rPr>
        <w:t>LEC</w:t>
      </w:r>
      <w:r w:rsidR="00856014">
        <w:rPr>
          <w:szCs w:val="22"/>
        </w:rPr>
        <w:t>)</w:t>
      </w:r>
      <w:r w:rsidRPr="00F85C74">
        <w:rPr>
          <w:szCs w:val="22"/>
        </w:rPr>
        <w:t xml:space="preserve"> </w:t>
      </w:r>
      <w:r>
        <w:rPr>
          <w:szCs w:val="22"/>
        </w:rPr>
        <w:t xml:space="preserve">and other </w:t>
      </w:r>
      <w:r w:rsidRPr="00F85C74">
        <w:rPr>
          <w:szCs w:val="22"/>
        </w:rPr>
        <w:t>telecommunications service</w:t>
      </w:r>
      <w:r>
        <w:rPr>
          <w:szCs w:val="22"/>
        </w:rPr>
        <w:t xml:space="preserve"> providers </w:t>
      </w:r>
      <w:r w:rsidRPr="00F85C74">
        <w:rPr>
          <w:szCs w:val="22"/>
        </w:rPr>
        <w:t>in Colorado, Georgia, Kansas, Nebraska, and Texas.</w:t>
      </w:r>
      <w:r>
        <w:rPr>
          <w:rStyle w:val="FootnoteReference"/>
          <w:szCs w:val="22"/>
        </w:rPr>
        <w:footnoteReference w:id="9"/>
      </w:r>
      <w:r w:rsidRPr="00F85C74">
        <w:rPr>
          <w:szCs w:val="22"/>
        </w:rPr>
        <w:t xml:space="preserve">  According to Applicants, the following U.S.-based investment entities will own a 10% or greater </w:t>
      </w:r>
      <w:r>
        <w:rPr>
          <w:szCs w:val="22"/>
        </w:rPr>
        <w:t xml:space="preserve">equity interest in ITC </w:t>
      </w:r>
      <w:r w:rsidR="0053596D">
        <w:rPr>
          <w:szCs w:val="22"/>
        </w:rPr>
        <w:t>Holdings</w:t>
      </w:r>
      <w:r w:rsidRPr="00F85C74">
        <w:rPr>
          <w:szCs w:val="22"/>
        </w:rPr>
        <w:t xml:space="preserve"> upon consummation of the proposed transaction:  HF Direct Investments Pool LLC (14.5%); 4612-Broadband Holdco, </w:t>
      </w:r>
      <w:r>
        <w:rPr>
          <w:szCs w:val="22"/>
        </w:rPr>
        <w:t>LP</w:t>
      </w:r>
      <w:r w:rsidRPr="00F85C74">
        <w:rPr>
          <w:szCs w:val="22"/>
        </w:rPr>
        <w:t xml:space="preserve"> (14.5%); ITC Broadband Investments </w:t>
      </w:r>
      <w:r>
        <w:rPr>
          <w:szCs w:val="22"/>
        </w:rPr>
        <w:t>(</w:t>
      </w:r>
      <w:r w:rsidRPr="00F85C74">
        <w:rPr>
          <w:szCs w:val="22"/>
        </w:rPr>
        <w:t>QP</w:t>
      </w:r>
      <w:r>
        <w:rPr>
          <w:szCs w:val="22"/>
        </w:rPr>
        <w:t>)</w:t>
      </w:r>
      <w:r w:rsidRPr="00F85C74">
        <w:rPr>
          <w:szCs w:val="22"/>
        </w:rPr>
        <w:t xml:space="preserve">, LLC (17.8%); Kinetic-ITC Broadband Investments, LLC (13.9%); </w:t>
      </w:r>
      <w:r>
        <w:rPr>
          <w:szCs w:val="22"/>
        </w:rPr>
        <w:t xml:space="preserve">Atlantic Engineering Group, Inc. </w:t>
      </w:r>
      <w:r w:rsidRPr="00F85C74">
        <w:rPr>
          <w:szCs w:val="22"/>
        </w:rPr>
        <w:t>(16.2%), and ITC Broadband Management, LP (15%).</w:t>
      </w:r>
      <w:r>
        <w:rPr>
          <w:rStyle w:val="FootnoteReference"/>
          <w:szCs w:val="22"/>
        </w:rPr>
        <w:footnoteReference w:id="10"/>
      </w:r>
      <w:r w:rsidRPr="00F85C74">
        <w:rPr>
          <w:szCs w:val="22"/>
        </w:rPr>
        <w:t xml:space="preserve">  Applicants state that no other entity or individual will hold directly or indirectly a 10% or greater interest in </w:t>
      </w:r>
      <w:r w:rsidR="0053596D">
        <w:rPr>
          <w:szCs w:val="22"/>
        </w:rPr>
        <w:t>ITC Holdings</w:t>
      </w:r>
      <w:r w:rsidRPr="00F85C74">
        <w:rPr>
          <w:szCs w:val="22"/>
        </w:rPr>
        <w:t>.</w:t>
      </w:r>
      <w:r>
        <w:rPr>
          <w:rStyle w:val="FootnoteReference"/>
          <w:szCs w:val="22"/>
        </w:rPr>
        <w:footnoteReference w:id="11"/>
      </w:r>
      <w:r w:rsidRPr="00F85C74">
        <w:rPr>
          <w:szCs w:val="22"/>
        </w:rPr>
        <w:t xml:space="preserve">  </w:t>
      </w:r>
    </w:p>
    <w:p w:rsidR="00CF19FE" w:rsidRPr="00662D4F" w:rsidP="00E86AB5" w14:paraId="0D17C332" w14:textId="364521C4">
      <w:pPr>
        <w:autoSpaceDE w:val="0"/>
        <w:autoSpaceDN w:val="0"/>
        <w:adjustRightInd w:val="0"/>
        <w:spacing w:after="120"/>
        <w:ind w:firstLine="720"/>
        <w:rPr>
          <w:szCs w:val="22"/>
        </w:rPr>
      </w:pPr>
      <w:r w:rsidRPr="00662D4F">
        <w:rPr>
          <w:szCs w:val="22"/>
        </w:rPr>
        <w:t xml:space="preserve">Pursuant to the terms of </w:t>
      </w:r>
      <w:r w:rsidR="00662D4F">
        <w:rPr>
          <w:szCs w:val="22"/>
        </w:rPr>
        <w:t>the proposed transaction</w:t>
      </w:r>
      <w:r w:rsidRPr="00662D4F">
        <w:rPr>
          <w:szCs w:val="22"/>
        </w:rPr>
        <w:t xml:space="preserve">, </w:t>
      </w:r>
      <w:r w:rsidR="00662D4F">
        <w:rPr>
          <w:szCs w:val="22"/>
        </w:rPr>
        <w:t xml:space="preserve">which will occur through a series of steps, </w:t>
      </w:r>
      <w:r w:rsidRPr="00662D4F">
        <w:rPr>
          <w:szCs w:val="22"/>
        </w:rPr>
        <w:t>ITC Holdings will indirectly acquire approximately 35% of the voting and equity interests in CableSouth from Hunt Land Holdings, along with certain shareholder rights.</w:t>
      </w:r>
      <w:r>
        <w:rPr>
          <w:rStyle w:val="FootnoteReference"/>
          <w:szCs w:val="22"/>
        </w:rPr>
        <w:footnoteReference w:id="12"/>
      </w:r>
      <w:r w:rsidRPr="00662D4F">
        <w:rPr>
          <w:szCs w:val="22"/>
        </w:rPr>
        <w:t xml:space="preserve">  </w:t>
      </w:r>
      <w:r w:rsidRPr="00662D4F" w:rsidR="002C4B51">
        <w:rPr>
          <w:szCs w:val="22"/>
        </w:rPr>
        <w:t xml:space="preserve">Post-consummation ITC Holdings will </w:t>
      </w:r>
      <w:r w:rsidR="00662D4F">
        <w:rPr>
          <w:szCs w:val="22"/>
        </w:rPr>
        <w:t>“</w:t>
      </w:r>
      <w:r w:rsidRPr="00662D4F" w:rsidR="002C4B51">
        <w:rPr>
          <w:szCs w:val="22"/>
        </w:rPr>
        <w:t>have the right to designate a minority of the members of the board of</w:t>
      </w:r>
      <w:r w:rsidR="00662D4F">
        <w:rPr>
          <w:szCs w:val="22"/>
        </w:rPr>
        <w:t xml:space="preserve"> </w:t>
      </w:r>
      <w:r w:rsidRPr="00662D4F" w:rsidR="002C4B51">
        <w:rPr>
          <w:szCs w:val="22"/>
        </w:rPr>
        <w:t xml:space="preserve">CableSouth’s parent company and an observer seat, as well as have the right to select two of the six planned managers for the board of CableSouth’s parent company going forward. </w:t>
      </w:r>
      <w:r w:rsidR="007E4E07">
        <w:rPr>
          <w:szCs w:val="22"/>
        </w:rPr>
        <w:t xml:space="preserve"> </w:t>
      </w:r>
      <w:r w:rsidRPr="00662D4F" w:rsidR="002C4B51">
        <w:rPr>
          <w:szCs w:val="22"/>
        </w:rPr>
        <w:t xml:space="preserve">The managers designated by ITC Holdings can be removed or replaced only by ITC Holdings or its designees. </w:t>
      </w:r>
      <w:r w:rsidR="004D761B">
        <w:rPr>
          <w:szCs w:val="22"/>
        </w:rPr>
        <w:t xml:space="preserve"> </w:t>
      </w:r>
      <w:r w:rsidRPr="00662D4F" w:rsidR="002C4B51">
        <w:rPr>
          <w:szCs w:val="22"/>
        </w:rPr>
        <w:t xml:space="preserve">ITC Holdings (or its appointed managers) will also acquire a veto right over a variety of business activities, including, but not limited to: </w:t>
      </w:r>
      <w:r w:rsidR="00F64611">
        <w:rPr>
          <w:szCs w:val="22"/>
        </w:rPr>
        <w:t xml:space="preserve"> </w:t>
      </w:r>
      <w:r w:rsidRPr="00662D4F" w:rsidR="002C4B51">
        <w:rPr>
          <w:szCs w:val="22"/>
        </w:rPr>
        <w:t>(i) effectuating a sale of the company, pledging all or substantially all assets of any CableSouth entity, filing for bankruptcy or liquidation, or merging or consolidating with any other person; (ii) amending any operative governance documents of the company; (iii) approving an annual budget; and (iv) establishing compensation levels for and removal of officers.”</w:t>
      </w:r>
      <w:r>
        <w:rPr>
          <w:rStyle w:val="FootnoteReference"/>
          <w:szCs w:val="22"/>
        </w:rPr>
        <w:footnoteReference w:id="13"/>
      </w:r>
      <w:r w:rsidRPr="00662D4F" w:rsidR="002C4B51">
        <w:rPr>
          <w:szCs w:val="22"/>
        </w:rPr>
        <w:t xml:space="preserve">  </w:t>
      </w:r>
      <w:r w:rsidRPr="00662D4F" w:rsidR="00233782">
        <w:rPr>
          <w:szCs w:val="22"/>
        </w:rPr>
        <w:t>Applicants acknowledge that these rights</w:t>
      </w:r>
      <w:r w:rsidR="004D761B">
        <w:rPr>
          <w:szCs w:val="22"/>
        </w:rPr>
        <w:t>,</w:t>
      </w:r>
      <w:r w:rsidRPr="00662D4F" w:rsidR="00233782">
        <w:rPr>
          <w:szCs w:val="22"/>
        </w:rPr>
        <w:t xml:space="preserve"> coupled with a 35% indirect </w:t>
      </w:r>
      <w:r w:rsidRPr="00662D4F" w:rsidR="00233782">
        <w:rPr>
          <w:szCs w:val="22"/>
        </w:rPr>
        <w:t>ownership stake</w:t>
      </w:r>
      <w:r w:rsidR="004D761B">
        <w:rPr>
          <w:szCs w:val="22"/>
        </w:rPr>
        <w:t>,</w:t>
      </w:r>
      <w:r w:rsidRPr="00662D4F" w:rsidR="00233782">
        <w:rPr>
          <w:szCs w:val="22"/>
        </w:rPr>
        <w:t xml:space="preserve"> would provide ITC Holdings with a </w:t>
      </w:r>
      <w:r w:rsidRPr="00662D4F" w:rsidR="00233782">
        <w:rPr>
          <w:i/>
          <w:iCs/>
          <w:szCs w:val="22"/>
        </w:rPr>
        <w:t xml:space="preserve">de facto </w:t>
      </w:r>
      <w:r w:rsidRPr="00662D4F" w:rsidR="00233782">
        <w:rPr>
          <w:szCs w:val="22"/>
        </w:rPr>
        <w:t>controlling interest in CableSouth.</w:t>
      </w:r>
      <w:r>
        <w:rPr>
          <w:rStyle w:val="FootnoteReference"/>
          <w:szCs w:val="22"/>
        </w:rPr>
        <w:footnoteReference w:id="14"/>
      </w:r>
      <w:r w:rsidRPr="00662D4F" w:rsidR="00233782">
        <w:rPr>
          <w:szCs w:val="22"/>
        </w:rPr>
        <w:t xml:space="preserve">  Upon consummation, t</w:t>
      </w:r>
      <w:r w:rsidRPr="00662D4F" w:rsidR="001D3A95">
        <w:rPr>
          <w:szCs w:val="22"/>
        </w:rPr>
        <w:t>he existing beneficial owners of CableSouth will continue to indirectly hold a 65% interest in CableSouth</w:t>
      </w:r>
      <w:r w:rsidR="007E4E07">
        <w:rPr>
          <w:szCs w:val="22"/>
        </w:rPr>
        <w:t>.</w:t>
      </w:r>
      <w:r>
        <w:rPr>
          <w:rStyle w:val="FootnoteReference"/>
          <w:szCs w:val="22"/>
        </w:rPr>
        <w:footnoteReference w:id="15"/>
      </w:r>
      <w:r w:rsidRPr="00662D4F" w:rsidR="00233782">
        <w:rPr>
          <w:szCs w:val="22"/>
        </w:rPr>
        <w:t xml:space="preserve"> </w:t>
      </w:r>
    </w:p>
    <w:p w:rsidR="00816223" w:rsidRPr="00662D4F" w:rsidP="002C4B51" w14:paraId="4F7279B8" w14:textId="2011963D">
      <w:pPr>
        <w:autoSpaceDE w:val="0"/>
        <w:autoSpaceDN w:val="0"/>
        <w:adjustRightInd w:val="0"/>
        <w:ind w:firstLine="720"/>
        <w:rPr>
          <w:szCs w:val="22"/>
        </w:rPr>
      </w:pPr>
      <w:r w:rsidRPr="00662D4F">
        <w:rPr>
          <w:szCs w:val="22"/>
        </w:rPr>
        <w:t>Applicants assert that a grant of the Application would serve the public interest, convenience, and necessity.</w:t>
      </w:r>
      <w:r>
        <w:rPr>
          <w:rStyle w:val="FootnoteReference"/>
          <w:szCs w:val="22"/>
        </w:rPr>
        <w:footnoteReference w:id="16"/>
      </w:r>
      <w:r w:rsidRPr="00662D4F">
        <w:rPr>
          <w:szCs w:val="22"/>
        </w:rPr>
        <w:t xml:space="preserve">  They </w:t>
      </w:r>
      <w:r w:rsidRPr="00662D4F" w:rsidR="0054495E">
        <w:rPr>
          <w:szCs w:val="22"/>
        </w:rPr>
        <w:t>certify that the proposed transaction w</w:t>
      </w:r>
      <w:r w:rsidR="00F64611">
        <w:rPr>
          <w:szCs w:val="22"/>
        </w:rPr>
        <w:t>ould</w:t>
      </w:r>
      <w:r w:rsidRPr="00662D4F" w:rsidR="0054495E">
        <w:rPr>
          <w:szCs w:val="22"/>
        </w:rPr>
        <w:t xml:space="preserve"> not result in any alteration to CableSouth’s RDOF network buildout plans, that they will adhere to all Commission requirements associated with RDOF funding,</w:t>
      </w:r>
      <w:r>
        <w:rPr>
          <w:rStyle w:val="FootnoteReference"/>
          <w:szCs w:val="22"/>
        </w:rPr>
        <w:footnoteReference w:id="17"/>
      </w:r>
      <w:r w:rsidRPr="00662D4F" w:rsidR="0054495E">
        <w:rPr>
          <w:szCs w:val="22"/>
        </w:rPr>
        <w:t xml:space="preserve"> and that “following the construction of its RDOF network, CableSouth will provide gigabit broadband and VoIP service to end-user customers in </w:t>
      </w:r>
      <w:r w:rsidRPr="00662D4F" w:rsidR="00CF19FE">
        <w:rPr>
          <w:szCs w:val="22"/>
        </w:rPr>
        <w:t xml:space="preserve"> Arkansas, Louisiana, and Mississippi</w:t>
      </w:r>
      <w:r w:rsidRPr="00662D4F" w:rsidR="0054495E">
        <w:rPr>
          <w:szCs w:val="22"/>
        </w:rPr>
        <w:t>.”</w:t>
      </w:r>
      <w:r>
        <w:rPr>
          <w:rStyle w:val="FootnoteReference"/>
          <w:szCs w:val="22"/>
        </w:rPr>
        <w:footnoteReference w:id="18"/>
      </w:r>
      <w:r w:rsidRPr="00662D4F" w:rsidR="00CF19FE">
        <w:rPr>
          <w:szCs w:val="22"/>
        </w:rPr>
        <w:t xml:space="preserve"> </w:t>
      </w:r>
      <w:r w:rsidR="007E4E07">
        <w:rPr>
          <w:szCs w:val="22"/>
        </w:rPr>
        <w:t xml:space="preserve"> </w:t>
      </w:r>
      <w:r w:rsidRPr="00662D4F">
        <w:rPr>
          <w:szCs w:val="22"/>
        </w:rPr>
        <w:t>They assert that ITC Holdings has significant industry and financial expertise in managing and investing in fiber networks and that “by leveraging this</w:t>
      </w:r>
    </w:p>
    <w:p w:rsidR="00816223" w:rsidRPr="00662D4F" w:rsidP="00816223" w14:paraId="253F3ACC" w14:textId="43982401">
      <w:pPr>
        <w:autoSpaceDE w:val="0"/>
        <w:autoSpaceDN w:val="0"/>
        <w:adjustRightInd w:val="0"/>
        <w:rPr>
          <w:szCs w:val="22"/>
        </w:rPr>
      </w:pPr>
      <w:r w:rsidRPr="00662D4F">
        <w:rPr>
          <w:szCs w:val="22"/>
        </w:rPr>
        <w:t>expertise and its extensive financial resources, ITC Holdings will better enable CableSouth to address technical and engineering matters and optimize build-out of its RDOF-supported</w:t>
      </w:r>
    </w:p>
    <w:p w:rsidR="00E86AB5" w:rsidRPr="00662D4F" w:rsidP="00E86AB5" w14:paraId="2EBCD564" w14:textId="644FF83B">
      <w:pPr>
        <w:autoSpaceDE w:val="0"/>
        <w:autoSpaceDN w:val="0"/>
        <w:adjustRightInd w:val="0"/>
        <w:spacing w:after="120"/>
        <w:rPr>
          <w:color w:val="000000"/>
          <w:szCs w:val="22"/>
        </w:rPr>
      </w:pPr>
      <w:r w:rsidRPr="00662D4F">
        <w:rPr>
          <w:szCs w:val="22"/>
        </w:rPr>
        <w:t>network, whether in Arkansas, Louisiana, or Mississippi.”</w:t>
      </w:r>
      <w:r>
        <w:rPr>
          <w:rStyle w:val="FootnoteReference"/>
          <w:szCs w:val="22"/>
        </w:rPr>
        <w:footnoteReference w:id="19"/>
      </w:r>
      <w:r w:rsidRPr="00662D4F">
        <w:rPr>
          <w:szCs w:val="22"/>
        </w:rPr>
        <w:t xml:space="preserve">  They state that </w:t>
      </w:r>
      <w:r w:rsidRPr="00662D4F" w:rsidR="006A5657">
        <w:rPr>
          <w:szCs w:val="22"/>
        </w:rPr>
        <w:t>t</w:t>
      </w:r>
      <w:r w:rsidRPr="00662D4F" w:rsidR="00FA66CB">
        <w:rPr>
          <w:szCs w:val="22"/>
        </w:rPr>
        <w:t xml:space="preserve">he proposed transaction </w:t>
      </w:r>
      <w:r w:rsidRPr="00662D4F" w:rsidR="00FB4B5C">
        <w:rPr>
          <w:szCs w:val="22"/>
        </w:rPr>
        <w:t>w</w:t>
      </w:r>
      <w:r w:rsidR="00F64611">
        <w:rPr>
          <w:szCs w:val="22"/>
        </w:rPr>
        <w:t>ould</w:t>
      </w:r>
      <w:r w:rsidRPr="00662D4F" w:rsidR="00FB4B5C">
        <w:rPr>
          <w:szCs w:val="22"/>
        </w:rPr>
        <w:t xml:space="preserve"> be transparent to prospective customers and </w:t>
      </w:r>
      <w:r w:rsidR="004D761B">
        <w:rPr>
          <w:szCs w:val="22"/>
        </w:rPr>
        <w:t>to CableSouth’s</w:t>
      </w:r>
      <w:r w:rsidRPr="00662D4F" w:rsidR="00FB4B5C">
        <w:rPr>
          <w:szCs w:val="22"/>
        </w:rPr>
        <w:t xml:space="preserve"> existing customers, who w</w:t>
      </w:r>
      <w:r w:rsidR="00F64611">
        <w:rPr>
          <w:szCs w:val="22"/>
        </w:rPr>
        <w:t>ould</w:t>
      </w:r>
      <w:r w:rsidRPr="00662D4F" w:rsidR="00FB4B5C">
        <w:rPr>
          <w:szCs w:val="22"/>
        </w:rPr>
        <w:t xml:space="preserve"> continue to </w:t>
      </w:r>
      <w:r w:rsidRPr="00662D4F">
        <w:rPr>
          <w:szCs w:val="22"/>
        </w:rPr>
        <w:t>receive service pursuant to existing</w:t>
      </w:r>
      <w:r w:rsidRPr="00662D4F" w:rsidR="00FB4B5C">
        <w:rPr>
          <w:szCs w:val="22"/>
        </w:rPr>
        <w:t xml:space="preserve"> terms and conditions.</w:t>
      </w:r>
      <w:r>
        <w:rPr>
          <w:rStyle w:val="FootnoteReference"/>
          <w:szCs w:val="22"/>
        </w:rPr>
        <w:footnoteReference w:id="20"/>
      </w:r>
      <w:r w:rsidRPr="00662D4F" w:rsidR="00FB4B5C">
        <w:rPr>
          <w:szCs w:val="22"/>
        </w:rPr>
        <w:t xml:space="preserve"> </w:t>
      </w:r>
    </w:p>
    <w:p w:rsidR="00816223" w:rsidRPr="00662D4F" w:rsidP="00816223" w14:paraId="3FDB1485" w14:textId="0223B3FE">
      <w:pPr>
        <w:autoSpaceDE w:val="0"/>
        <w:autoSpaceDN w:val="0"/>
        <w:adjustRightInd w:val="0"/>
        <w:spacing w:after="120"/>
        <w:ind w:firstLine="720"/>
        <w:rPr>
          <w:szCs w:val="22"/>
        </w:rPr>
      </w:pPr>
      <w:r w:rsidRPr="00662D4F">
        <w:rPr>
          <w:color w:val="000000"/>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662D4F">
        <w:rPr>
          <w:bCs/>
          <w:szCs w:val="22"/>
        </w:rPr>
        <w:t>.</w:t>
      </w:r>
      <w:r>
        <w:rPr>
          <w:rStyle w:val="FootnoteReference"/>
          <w:bCs/>
          <w:szCs w:val="22"/>
        </w:rPr>
        <w:footnoteReference w:id="21"/>
      </w:r>
      <w:r w:rsidRPr="00662D4F">
        <w:rPr>
          <w:bCs/>
          <w:szCs w:val="22"/>
        </w:rPr>
        <w:t xml:space="preserve">  </w:t>
      </w:r>
    </w:p>
    <w:p w:rsidR="00A36359" w:rsidP="00E86AB5" w14:paraId="21082832" w14:textId="77777777">
      <w:pPr>
        <w:ind w:left="720"/>
        <w:rPr>
          <w:szCs w:val="22"/>
        </w:rPr>
      </w:pPr>
      <w:r>
        <w:rPr>
          <w:szCs w:val="22"/>
        </w:rPr>
        <w:t xml:space="preserve">Domestic Section 214 Application Filed for the </w:t>
      </w:r>
      <w:r w:rsidR="00D00C86">
        <w:rPr>
          <w:szCs w:val="22"/>
        </w:rPr>
        <w:t xml:space="preserve">Transfer of </w:t>
      </w:r>
      <w:r w:rsidR="00E86AB5">
        <w:rPr>
          <w:szCs w:val="22"/>
        </w:rPr>
        <w:t xml:space="preserve">Control </w:t>
      </w:r>
      <w:r w:rsidR="00371B64">
        <w:rPr>
          <w:szCs w:val="22"/>
        </w:rPr>
        <w:t xml:space="preserve">of </w:t>
      </w:r>
    </w:p>
    <w:p w:rsidR="00A36359" w:rsidP="00E86AB5" w14:paraId="5EB22DBD" w14:textId="77777777">
      <w:pPr>
        <w:ind w:left="720"/>
        <w:rPr>
          <w:szCs w:val="22"/>
        </w:rPr>
      </w:pPr>
      <w:r>
        <w:rPr>
          <w:szCs w:val="22"/>
        </w:rPr>
        <w:t>CableSouth Media III, LLC to ITC Broadband Holdings, LLC</w:t>
      </w:r>
      <w:r w:rsidR="00E83332">
        <w:rPr>
          <w:szCs w:val="22"/>
        </w:rPr>
        <w:t xml:space="preserve">, </w:t>
      </w:r>
      <w:r w:rsidR="006A1C8E">
        <w:rPr>
          <w:szCs w:val="22"/>
        </w:rPr>
        <w:t xml:space="preserve">WC Docket No. </w:t>
      </w:r>
      <w:r w:rsidRPr="00C53E5E" w:rsidR="0012329A">
        <w:rPr>
          <w:szCs w:val="22"/>
        </w:rPr>
        <w:t>2</w:t>
      </w:r>
      <w:r w:rsidR="0074436A">
        <w:rPr>
          <w:szCs w:val="22"/>
        </w:rPr>
        <w:t>2</w:t>
      </w:r>
      <w:r w:rsidRPr="00C53E5E" w:rsidR="0012329A">
        <w:rPr>
          <w:szCs w:val="22"/>
        </w:rPr>
        <w:t>-</w:t>
      </w:r>
      <w:r w:rsidR="00AF3ABF">
        <w:rPr>
          <w:szCs w:val="22"/>
        </w:rPr>
        <w:t>11</w:t>
      </w:r>
      <w:r w:rsidR="006A1C8E">
        <w:rPr>
          <w:szCs w:val="22"/>
        </w:rPr>
        <w:t xml:space="preserve"> </w:t>
      </w:r>
    </w:p>
    <w:p w:rsidR="00524D79" w:rsidP="00E86AB5" w14:paraId="59986DB7" w14:textId="7ADBD61E">
      <w:pPr>
        <w:ind w:left="720"/>
        <w:rPr>
          <w:szCs w:val="22"/>
        </w:rPr>
      </w:pPr>
      <w:r>
        <w:rPr>
          <w:szCs w:val="22"/>
        </w:rPr>
        <w:t xml:space="preserve">(filed </w:t>
      </w:r>
      <w:r w:rsidR="0074436A">
        <w:rPr>
          <w:szCs w:val="22"/>
        </w:rPr>
        <w:t>Jan</w:t>
      </w:r>
      <w:r w:rsidR="001149F9">
        <w:rPr>
          <w:szCs w:val="22"/>
        </w:rPr>
        <w:t xml:space="preserve"> </w:t>
      </w:r>
      <w:r w:rsidR="0074436A">
        <w:rPr>
          <w:szCs w:val="22"/>
        </w:rPr>
        <w:t>5</w:t>
      </w:r>
      <w:r>
        <w:rPr>
          <w:szCs w:val="22"/>
        </w:rPr>
        <w:t>, 202</w:t>
      </w:r>
      <w:r w:rsidR="0074436A">
        <w:rPr>
          <w:szCs w:val="22"/>
        </w:rPr>
        <w:t>2</w:t>
      </w:r>
      <w:r>
        <w:rPr>
          <w:szCs w:val="22"/>
        </w:rPr>
        <w:t>).</w:t>
      </w:r>
    </w:p>
    <w:p w:rsidR="00D94C3B" w14:paraId="47B5F80C" w14:textId="77777777">
      <w:pPr>
        <w:autoSpaceDE w:val="0"/>
        <w:autoSpaceDN w:val="0"/>
        <w:adjustRightInd w:val="0"/>
        <w:rPr>
          <w:b/>
          <w:szCs w:val="22"/>
          <w:u w:val="single"/>
        </w:rPr>
      </w:pPr>
    </w:p>
    <w:p w:rsidR="00E7033D" w14:paraId="2AF9B3C9" w14:textId="51F11322">
      <w:pPr>
        <w:autoSpaceDE w:val="0"/>
        <w:autoSpaceDN w:val="0"/>
        <w:adjustRightInd w:val="0"/>
        <w:rPr>
          <w:szCs w:val="22"/>
        </w:rPr>
      </w:pPr>
      <w:r>
        <w:rPr>
          <w:b/>
          <w:szCs w:val="22"/>
          <w:u w:val="single"/>
        </w:rPr>
        <w:t>GENERAL INFORMATION</w:t>
      </w:r>
    </w:p>
    <w:p w:rsidR="00E7033D" w14:paraId="4872EE2D" w14:textId="5DA49CFD">
      <w:pPr>
        <w:autoSpaceDE w:val="0"/>
        <w:autoSpaceDN w:val="0"/>
        <w:adjustRightInd w:val="0"/>
        <w:rPr>
          <w:szCs w:val="22"/>
        </w:rPr>
      </w:pPr>
    </w:p>
    <w:p w:rsidR="007C6774" w:rsidRPr="00EC66CA" w:rsidP="007C6774" w14:paraId="41BA6CFD"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7C6774" w:rsidRPr="00EC66CA" w:rsidP="007C6774" w14:paraId="27F40512" w14:textId="4C825A85">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E86AB5">
        <w:rPr>
          <w:b/>
          <w:szCs w:val="22"/>
        </w:rPr>
        <w:t>February</w:t>
      </w:r>
      <w:r>
        <w:rPr>
          <w:b/>
          <w:szCs w:val="22"/>
        </w:rPr>
        <w:t xml:space="preserve"> </w:t>
      </w:r>
      <w:r w:rsidR="00696B6E">
        <w:rPr>
          <w:b/>
          <w:szCs w:val="22"/>
        </w:rPr>
        <w:t>14</w:t>
      </w:r>
      <w:r w:rsidRPr="006F586C">
        <w:rPr>
          <w:b/>
          <w:szCs w:val="22"/>
        </w:rPr>
        <w:t>, 202</w:t>
      </w:r>
      <w:r w:rsidR="00E86AB5">
        <w:rPr>
          <w:b/>
          <w:szCs w:val="22"/>
        </w:rPr>
        <w:t>2</w:t>
      </w:r>
      <w:r w:rsidRPr="006F586C">
        <w:rPr>
          <w:szCs w:val="22"/>
        </w:rPr>
        <w:t xml:space="preserve">, and reply comments </w:t>
      </w:r>
      <w:r w:rsidRPr="006F586C">
        <w:rPr>
          <w:b/>
          <w:szCs w:val="22"/>
        </w:rPr>
        <w:t xml:space="preserve">on or before </w:t>
      </w:r>
      <w:r w:rsidR="00E86AB5">
        <w:rPr>
          <w:b/>
          <w:szCs w:val="22"/>
        </w:rPr>
        <w:t xml:space="preserve">February </w:t>
      </w:r>
      <w:r w:rsidR="00696B6E">
        <w:rPr>
          <w:b/>
          <w:szCs w:val="22"/>
        </w:rPr>
        <w:t>22</w:t>
      </w:r>
      <w:r w:rsidRPr="006F586C">
        <w:rPr>
          <w:b/>
          <w:szCs w:val="22"/>
        </w:rPr>
        <w:t>, 202</w:t>
      </w:r>
      <w:r w:rsidR="00E86AB5">
        <w:rPr>
          <w:b/>
          <w:szCs w:val="22"/>
        </w:rPr>
        <w:t>2</w:t>
      </w:r>
      <w:r w:rsidRPr="006F586C">
        <w:rPr>
          <w:szCs w:val="22"/>
        </w:rPr>
        <w:t>.</w:t>
      </w:r>
      <w:r w:rsidRPr="00CB2908">
        <w:rPr>
          <w:szCs w:val="22"/>
        </w:rPr>
        <w:t xml:space="preserve">  </w:t>
      </w:r>
      <w:r w:rsidRPr="00EC66CA">
        <w:rPr>
          <w:szCs w:val="22"/>
        </w:rPr>
        <w:t>Comments may be filed using the Commission’s Electronic Comment Filing System (ECFS) or by paper.  </w:t>
      </w:r>
    </w:p>
    <w:p w:rsidR="007C6774" w:rsidP="007C6774" w14:paraId="5773513D"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Pr>
          <w:rStyle w:val="Hyperlink"/>
          <w:szCs w:val="22"/>
        </w:rPr>
        <w:t xml:space="preserve"> </w:t>
      </w:r>
      <w:r>
        <w:rPr>
          <w:szCs w:val="22"/>
        </w:rPr>
        <w:t>.</w:t>
      </w:r>
    </w:p>
    <w:p w:rsidR="007C6774" w:rsidRPr="00EC66CA" w:rsidP="007C6774" w14:paraId="7E0078DC" w14:textId="77777777">
      <w:pPr>
        <w:autoSpaceDE w:val="0"/>
        <w:autoSpaceDN w:val="0"/>
        <w:adjustRightInd w:val="0"/>
        <w:ind w:left="720"/>
        <w:rPr>
          <w:szCs w:val="22"/>
        </w:rPr>
      </w:pPr>
    </w:p>
    <w:p w:rsidR="007C6774" w:rsidP="007C6774" w14:paraId="732978BE"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C6774" w:rsidRPr="004D7912" w:rsidP="007C6774" w14:paraId="190A15B9" w14:textId="77777777">
      <w:pPr>
        <w:autoSpaceDE w:val="0"/>
        <w:autoSpaceDN w:val="0"/>
        <w:adjustRightInd w:val="0"/>
        <w:ind w:left="720"/>
        <w:rPr>
          <w:szCs w:val="22"/>
        </w:rPr>
      </w:pPr>
    </w:p>
    <w:p w:rsidR="007C6774" w:rsidRPr="004D7912" w:rsidP="007C6774" w14:paraId="32F0280F"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2"/>
      </w:r>
      <w:r w:rsidRPr="004D7912">
        <w:rPr>
          <w:szCs w:val="22"/>
        </w:rPr>
        <w:t xml:space="preserve">  All filings must be addressed to the Commission’s Secretary, Office of the Secretary, Federal Communications Commission.</w:t>
      </w:r>
    </w:p>
    <w:p w:rsidR="007C6774" w:rsidRPr="0011311D" w:rsidP="007C6774" w14:paraId="423D96B9"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Pr>
          <w:szCs w:val="22"/>
        </w:rPr>
        <w:t xml:space="preserve">  </w:t>
      </w:r>
      <w:r w:rsidRPr="0011311D">
        <w:rPr>
          <w:szCs w:val="22"/>
        </w:rPr>
        <w:t>U.S. Postal Service first-class, Express, and Priority mail must be addressed to 45 L Street, NE, Washington, DC 20554.</w:t>
      </w:r>
    </w:p>
    <w:p w:rsidR="007C6774" w:rsidRPr="0075291B" w:rsidP="007C6774" w14:paraId="4FCC17CA" w14:textId="77777777">
      <w:pPr>
        <w:autoSpaceDE w:val="0"/>
        <w:autoSpaceDN w:val="0"/>
        <w:adjustRightInd w:val="0"/>
        <w:rPr>
          <w:szCs w:val="22"/>
        </w:rPr>
      </w:pPr>
    </w:p>
    <w:p w:rsidR="00E7033D" w:rsidP="0008381D" w14:paraId="404A2B1F"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78650A17"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9" w:history="1">
        <w:r w:rsidRPr="0013309A">
          <w:rPr>
            <w:rStyle w:val="Hyperlink"/>
            <w:szCs w:val="22"/>
          </w:rPr>
          <w:t>tracey.wilson@fcc.gov</w:t>
        </w:r>
      </w:hyperlink>
      <w:r w:rsidR="00066D12">
        <w:rPr>
          <w:szCs w:val="22"/>
        </w:rPr>
        <w:t>;</w:t>
      </w:r>
    </w:p>
    <w:p w:rsidR="00371FEF" w:rsidP="00F9268E" w14:paraId="57411FA5" w14:textId="5E48B4B6">
      <w:pPr>
        <w:numPr>
          <w:ilvl w:val="0"/>
          <w:numId w:val="18"/>
        </w:numPr>
        <w:autoSpaceDE w:val="0"/>
        <w:autoSpaceDN w:val="0"/>
        <w:adjustRightInd w:val="0"/>
        <w:spacing w:after="120"/>
        <w:rPr>
          <w:szCs w:val="22"/>
        </w:rPr>
      </w:pPr>
      <w:r>
        <w:rPr>
          <w:szCs w:val="22"/>
        </w:rPr>
        <w:t>Jodie May</w:t>
      </w:r>
      <w:r w:rsidRPr="002B26A1" w:rsidR="008C294A">
        <w:rPr>
          <w:szCs w:val="22"/>
        </w:rPr>
        <w:t>, Competition Policy Division, Wireline Competition Burea</w:t>
      </w:r>
      <w:r w:rsidRPr="002B26A1" w:rsidR="002B26A1">
        <w:rPr>
          <w:szCs w:val="22"/>
        </w:rPr>
        <w:t>u</w:t>
      </w:r>
      <w:r w:rsidR="008531EF">
        <w:rPr>
          <w:szCs w:val="22"/>
        </w:rPr>
        <w:t xml:space="preserve">, </w:t>
      </w:r>
      <w:r w:rsidR="005A6DB6">
        <w:rPr>
          <w:szCs w:val="22"/>
        </w:rPr>
        <w:t>jodie.may</w:t>
      </w:r>
      <w:hyperlink r:id="rId10" w:history="1">
        <w:r w:rsidRPr="002726B0" w:rsidR="00E83332">
          <w:rPr>
            <w:rStyle w:val="Hyperlink"/>
            <w:szCs w:val="22"/>
          </w:rPr>
          <w:t>@fcc.gov</w:t>
        </w:r>
      </w:hyperlink>
      <w:r w:rsidRPr="00F9268E" w:rsidR="00E83332">
        <w:rPr>
          <w:szCs w:val="22"/>
        </w:rPr>
        <w:t>; and</w:t>
      </w:r>
    </w:p>
    <w:p w:rsidR="00E7033D" w:rsidRPr="003F16BE" w:rsidP="003F16BE" w14:paraId="7867F08D"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D27078" w:rsidR="00851890">
          <w:rPr>
            <w:rStyle w:val="Hyperlink"/>
            <w:szCs w:val="22"/>
          </w:rPr>
          <w:t>jim.bird@fcc.gov</w:t>
        </w:r>
      </w:hyperlink>
      <w:r w:rsidRPr="003F16BE">
        <w:rPr>
          <w:szCs w:val="22"/>
        </w:rPr>
        <w:t>.</w:t>
      </w:r>
    </w:p>
    <w:p w:rsidR="00E7033D" w:rsidP="00E95F43" w14:paraId="46845BD7"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5EC42271"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Pr>
          <w:szCs w:val="22"/>
        </w:rPr>
        <w:t xml:space="preserve">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256A3300"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3"/>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76335AB1" w14:textId="71C21B8F">
      <w:pPr>
        <w:autoSpaceDE w:val="0"/>
        <w:autoSpaceDN w:val="0"/>
        <w:adjustRightInd w:val="0"/>
        <w:spacing w:after="120"/>
        <w:ind w:firstLine="720"/>
        <w:rPr>
          <w:szCs w:val="22"/>
        </w:rPr>
      </w:pPr>
      <w:r>
        <w:rPr>
          <w:szCs w:val="22"/>
        </w:rPr>
        <w:t xml:space="preserve">For further information, please contact </w:t>
      </w:r>
      <w:r w:rsidR="00FB5D4F">
        <w:rPr>
          <w:szCs w:val="22"/>
        </w:rPr>
        <w:t>Tracey Wilson</w:t>
      </w:r>
      <w:r w:rsidR="004913FF">
        <w:rPr>
          <w:szCs w:val="22"/>
        </w:rPr>
        <w:t xml:space="preserve"> at (202) 418-1</w:t>
      </w:r>
      <w:r w:rsidR="00FB5D4F">
        <w:rPr>
          <w:szCs w:val="22"/>
        </w:rPr>
        <w:t>394</w:t>
      </w:r>
      <w:r>
        <w:rPr>
          <w:szCs w:val="22"/>
        </w:rPr>
        <w:t xml:space="preserve"> or</w:t>
      </w:r>
      <w:r w:rsidR="00E86AB5">
        <w:rPr>
          <w:szCs w:val="22"/>
        </w:rPr>
        <w:t xml:space="preserve"> Jodie May</w:t>
      </w:r>
      <w:r>
        <w:rPr>
          <w:szCs w:val="22"/>
        </w:rPr>
        <w:t xml:space="preserve"> </w:t>
      </w:r>
      <w:r w:rsidR="00025A42">
        <w:rPr>
          <w:szCs w:val="22"/>
        </w:rPr>
        <w:t xml:space="preserve">at </w:t>
      </w:r>
      <w:r>
        <w:rPr>
          <w:szCs w:val="22"/>
        </w:rPr>
        <w:t>(202) 418-</w:t>
      </w:r>
      <w:r w:rsidR="00E86AB5">
        <w:rPr>
          <w:szCs w:val="22"/>
        </w:rPr>
        <w:t>0913</w:t>
      </w:r>
      <w:r>
        <w:rPr>
          <w:szCs w:val="22"/>
        </w:rPr>
        <w:t>.</w:t>
      </w:r>
    </w:p>
    <w:p w:rsidR="00E7033D" w14:paraId="2B2B3462" w14:textId="77777777">
      <w:pPr>
        <w:autoSpaceDE w:val="0"/>
        <w:autoSpaceDN w:val="0"/>
        <w:adjustRightInd w:val="0"/>
        <w:rPr>
          <w:szCs w:val="22"/>
        </w:rPr>
      </w:pPr>
    </w:p>
    <w:p w:rsidR="00E7033D" w14:paraId="338565A6" w14:textId="77777777">
      <w:pPr>
        <w:autoSpaceDE w:val="0"/>
        <w:autoSpaceDN w:val="0"/>
        <w:adjustRightInd w:val="0"/>
        <w:jc w:val="center"/>
        <w:rPr>
          <w:color w:val="000000"/>
          <w:szCs w:val="22"/>
        </w:rPr>
      </w:pPr>
      <w:r>
        <w:rPr>
          <w:b/>
          <w:szCs w:val="22"/>
        </w:rPr>
        <w:t>-</w:t>
      </w:r>
      <w:r w:rsidR="00FF1466">
        <w:rPr>
          <w:b/>
          <w:szCs w:val="22"/>
        </w:rPr>
        <w:t>FCC</w:t>
      </w:r>
      <w:r>
        <w:rPr>
          <w:b/>
          <w:szCs w:val="22"/>
        </w:rPr>
        <w:t>-</w:t>
      </w:r>
    </w:p>
    <w:bookmarkEnd w:id="3"/>
    <w:p w:rsidR="00E7033D" w14:paraId="1F99672D" w14:textId="77777777">
      <w:pPr>
        <w:autoSpaceDE w:val="0"/>
        <w:autoSpaceDN w:val="0"/>
        <w:adjustRightInd w:val="0"/>
        <w:spacing w:after="120"/>
        <w:jc w:val="center"/>
        <w:rPr>
          <w:b/>
          <w:szCs w:val="22"/>
        </w:rPr>
      </w:pPr>
    </w:p>
    <w:p w:rsidR="00E7033D" w14:paraId="5B17E2F7" w14:textId="77777777">
      <w:pPr>
        <w:autoSpaceDE w:val="0"/>
        <w:autoSpaceDN w:val="0"/>
        <w:adjustRightInd w:val="0"/>
        <w:jc w:val="center"/>
        <w:rPr>
          <w:b/>
          <w:szCs w:val="22"/>
        </w:rPr>
      </w:pPr>
    </w:p>
    <w:p w:rsidR="00524D79" w14:paraId="3E6B11B8"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FD27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AD87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98C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ED341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167177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AFACE3F" w14:textId="77777777"/>
  <w:p w:rsidR="005D4020" w14:paraId="32C727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8F3" w14:paraId="29BE1EB4" w14:textId="77777777">
      <w:r>
        <w:separator/>
      </w:r>
    </w:p>
  </w:footnote>
  <w:footnote w:type="continuationSeparator" w:id="1">
    <w:p w:rsidR="003158F3" w14:paraId="65EEE23E" w14:textId="77777777">
      <w:r>
        <w:continuationSeparator/>
      </w:r>
    </w:p>
  </w:footnote>
  <w:footnote w:type="continuationNotice" w:id="2">
    <w:p w:rsidR="003158F3" w14:paraId="415FAB01" w14:textId="77777777"/>
  </w:footnote>
  <w:footnote w:id="3">
    <w:p w:rsidR="005D4020" w:rsidRPr="000344DA" w:rsidP="00D354C2" w14:paraId="0FE1AE85" w14:textId="7BB23D0C">
      <w:pPr>
        <w:spacing w:after="120"/>
        <w:rPr>
          <w:bCs/>
          <w:sz w:val="20"/>
        </w:rPr>
      </w:pPr>
      <w:r w:rsidRPr="00D354C2">
        <w:rPr>
          <w:rStyle w:val="FootnoteReference"/>
          <w:sz w:val="20"/>
        </w:rPr>
        <w:footnoteRef/>
      </w:r>
      <w:r w:rsidRPr="00D354C2">
        <w:rPr>
          <w:sz w:val="20"/>
        </w:rPr>
        <w:t xml:space="preserve"> </w:t>
      </w:r>
      <w:r w:rsidRPr="000344DA">
        <w:rPr>
          <w:i/>
          <w:sz w:val="20"/>
        </w:rPr>
        <w:t>See</w:t>
      </w:r>
      <w:r w:rsidRPr="000344DA">
        <w:rPr>
          <w:sz w:val="20"/>
        </w:rPr>
        <w:t xml:space="preserve"> 47 U.S.C. § 214; 47 CFR §§ 63.03-04</w:t>
      </w:r>
      <w:r w:rsidRPr="000344DA" w:rsidR="0009512D">
        <w:rPr>
          <w:sz w:val="20"/>
        </w:rPr>
        <w:t>; Application</w:t>
      </w:r>
      <w:r w:rsidR="00E86AB5">
        <w:rPr>
          <w:sz w:val="20"/>
        </w:rPr>
        <w:t xml:space="preserve"> of Hunt Land Holdings, LLC and ITC Broadband Holdings, LLC</w:t>
      </w:r>
      <w:r w:rsidRPr="000344DA" w:rsidR="0009512D">
        <w:rPr>
          <w:sz w:val="20"/>
        </w:rPr>
        <w:t xml:space="preserve"> for Consent to Transfer Control of Domestic Authority Pursuant to Section 214 of the Communications Act of 1934, as Amended, WC Docket No. 22-11 (filed Jan. 5, 2022) (Application) </w:t>
      </w:r>
      <w:r w:rsidRPr="000344DA">
        <w:rPr>
          <w:sz w:val="20"/>
        </w:rPr>
        <w:t xml:space="preserve">. </w:t>
      </w:r>
      <w:r w:rsidRPr="000344DA" w:rsidR="00E6304E">
        <w:rPr>
          <w:sz w:val="20"/>
        </w:rPr>
        <w:t xml:space="preserve"> </w:t>
      </w:r>
      <w:r w:rsidRPr="000344DA" w:rsidR="00ED4F73">
        <w:rPr>
          <w:sz w:val="20"/>
        </w:rPr>
        <w:t>On January 26, 2022, Applicants filed a supplement to th</w:t>
      </w:r>
      <w:r w:rsidR="00E86AB5">
        <w:rPr>
          <w:sz w:val="20"/>
        </w:rPr>
        <w:t>eir</w:t>
      </w:r>
      <w:r w:rsidRPr="000344DA" w:rsidR="00ED4F73">
        <w:rPr>
          <w:sz w:val="20"/>
        </w:rPr>
        <w:t xml:space="preserve"> Application.  Letter from Leon Nowalsky, Counsel for Hunt Land Holdings and CableSouth, and John Beahn and Dana Zelman, Counsel for ITC Holdings, to Marlene H. Dortch, Secretary, FCC, WC Docket No. 22-11 (filed Jan. 26, 2022) (</w:t>
      </w:r>
      <w:r w:rsidR="00E86AB5">
        <w:rPr>
          <w:sz w:val="20"/>
        </w:rPr>
        <w:t>S</w:t>
      </w:r>
      <w:r w:rsidRPr="000344DA" w:rsidR="00ED4F73">
        <w:rPr>
          <w:sz w:val="20"/>
        </w:rPr>
        <w:t xml:space="preserve">upplement).  </w:t>
      </w:r>
      <w:r w:rsidRPr="000344DA" w:rsidR="000861C2">
        <w:rPr>
          <w:sz w:val="20"/>
        </w:rPr>
        <w:t>Any action on this domestic section 214 application is without prejudice to Commission action on other pending applications</w:t>
      </w:r>
      <w:r w:rsidRPr="000344DA" w:rsidR="003C7261">
        <w:rPr>
          <w:sz w:val="20"/>
        </w:rPr>
        <w:t xml:space="preserve">.  </w:t>
      </w:r>
    </w:p>
  </w:footnote>
  <w:footnote w:id="4">
    <w:p w:rsidR="000518C8" w:rsidRPr="000344DA" w:rsidP="00E86AB5" w14:paraId="032299BC" w14:textId="6C7C5B8C">
      <w:pPr>
        <w:spacing w:after="120"/>
        <w:rPr>
          <w:sz w:val="20"/>
        </w:rPr>
      </w:pPr>
      <w:r w:rsidRPr="000344DA">
        <w:rPr>
          <w:rStyle w:val="FootnoteReference"/>
          <w:sz w:val="20"/>
        </w:rPr>
        <w:footnoteRef/>
      </w:r>
      <w:r w:rsidRPr="000344DA">
        <w:rPr>
          <w:sz w:val="20"/>
        </w:rPr>
        <w:t xml:space="preserve"> Application at 2, 8.</w:t>
      </w:r>
      <w:r w:rsidRPr="000344DA" w:rsidR="00064770">
        <w:rPr>
          <w:sz w:val="20"/>
        </w:rPr>
        <w:t xml:space="preserve">  Hunt Land Holdings is owned by several U.S. citizens and U.S-based family trusts.  Supplement at Exh. B (Management and Ownership for Hunt Land Holdings, LLC).</w:t>
      </w:r>
      <w:r w:rsidR="0089369B">
        <w:rPr>
          <w:sz w:val="20"/>
        </w:rPr>
        <w:t xml:space="preserve">  </w:t>
      </w:r>
    </w:p>
  </w:footnote>
  <w:footnote w:id="5">
    <w:p w:rsidR="000518C8" w:rsidRPr="00806538" w:rsidP="000518C8" w14:paraId="12F9EBFC" w14:textId="49693737">
      <w:pPr>
        <w:pStyle w:val="FootnoteText"/>
        <w:rPr>
          <w:sz w:val="20"/>
        </w:rPr>
      </w:pPr>
      <w:r w:rsidRPr="00806538">
        <w:rPr>
          <w:rStyle w:val="FootnoteReference"/>
          <w:sz w:val="20"/>
        </w:rPr>
        <w:footnoteRef/>
      </w:r>
      <w:r w:rsidRPr="00806538">
        <w:rPr>
          <w:sz w:val="20"/>
        </w:rPr>
        <w:t xml:space="preserve"> Application at 2</w:t>
      </w:r>
      <w:r w:rsidR="0009512D">
        <w:rPr>
          <w:sz w:val="20"/>
        </w:rPr>
        <w:t>-3</w:t>
      </w:r>
      <w:r w:rsidRPr="00806538">
        <w:rPr>
          <w:sz w:val="20"/>
        </w:rPr>
        <w:t xml:space="preserve"> and n.</w:t>
      </w:r>
      <w:r w:rsidR="0009512D">
        <w:rPr>
          <w:sz w:val="20"/>
        </w:rPr>
        <w:t>2</w:t>
      </w:r>
      <w:r w:rsidR="000344DA">
        <w:rPr>
          <w:sz w:val="20"/>
        </w:rPr>
        <w:t>; Supplement at n.3 (stating that CableSouth was awarded $152,854,440.70 over a 10 year period)</w:t>
      </w:r>
      <w:r w:rsidRPr="00806538">
        <w:rPr>
          <w:sz w:val="20"/>
        </w:rPr>
        <w:t xml:space="preserve">.  </w:t>
      </w:r>
      <w:r w:rsidRPr="00806538">
        <w:rPr>
          <w:i/>
          <w:iCs/>
          <w:sz w:val="20"/>
        </w:rPr>
        <w:t xml:space="preserve">See Rural Digital Opportunity Fund Phase I Auction (Auction 904) Closes; Winning Bidders Announced, </w:t>
      </w:r>
      <w:r w:rsidRPr="00806538">
        <w:rPr>
          <w:sz w:val="20"/>
        </w:rPr>
        <w:t xml:space="preserve">AU Docket No. 20-34, WC Docket No. 19-126, WC Docket No. 10-90, Public Notice, 35 FCC Rcd 13888, Attach. A (Winning Bidder Summary) (2020); </w:t>
      </w:r>
      <w:r w:rsidRPr="00806538">
        <w:rPr>
          <w:i/>
          <w:iCs/>
          <w:sz w:val="20"/>
        </w:rPr>
        <w:t xml:space="preserve">Rural Digital Opportunity Fund Support for </w:t>
      </w:r>
      <w:r>
        <w:rPr>
          <w:i/>
          <w:iCs/>
          <w:sz w:val="20"/>
        </w:rPr>
        <w:t>7,608</w:t>
      </w:r>
      <w:r w:rsidRPr="00806538">
        <w:rPr>
          <w:i/>
          <w:iCs/>
          <w:sz w:val="20"/>
        </w:rPr>
        <w:t xml:space="preserve"> Winning Bids Ready to be Authorized</w:t>
      </w:r>
      <w:r w:rsidRPr="00806538">
        <w:rPr>
          <w:sz w:val="20"/>
        </w:rPr>
        <w:t xml:space="preserve">, </w:t>
      </w:r>
      <w:r w:rsidRPr="000518C8">
        <w:rPr>
          <w:i/>
          <w:iCs/>
          <w:sz w:val="20"/>
        </w:rPr>
        <w:t>Bid Defaults Announced</w:t>
      </w:r>
      <w:r>
        <w:rPr>
          <w:sz w:val="20"/>
        </w:rPr>
        <w:t xml:space="preserve">, </w:t>
      </w:r>
      <w:r w:rsidRPr="00806538">
        <w:rPr>
          <w:sz w:val="20"/>
        </w:rPr>
        <w:t>AU Docket No. 20-34, WC Docket Nos. 19-126, 10-90, Public Notice, DA 21-</w:t>
      </w:r>
      <w:r>
        <w:rPr>
          <w:sz w:val="20"/>
        </w:rPr>
        <w:t>1582</w:t>
      </w:r>
      <w:r w:rsidRPr="00806538">
        <w:rPr>
          <w:sz w:val="20"/>
        </w:rPr>
        <w:t xml:space="preserve">, Attach. A (Ready to Authorize Long-Form Applicants and Winning Bids) (WCB 2021). </w:t>
      </w:r>
    </w:p>
  </w:footnote>
  <w:footnote w:id="6">
    <w:p w:rsidR="000518C8" w:rsidRPr="00662D4F" w:rsidP="00E86AB5" w14:paraId="6D3664AF" w14:textId="4C4B7607">
      <w:pPr>
        <w:spacing w:after="120"/>
        <w:rPr>
          <w:sz w:val="20"/>
        </w:rPr>
      </w:pPr>
      <w:r w:rsidRPr="00806538">
        <w:rPr>
          <w:rStyle w:val="FootnoteReference"/>
          <w:sz w:val="20"/>
        </w:rPr>
        <w:footnoteRef/>
      </w:r>
      <w:r w:rsidRPr="00806538">
        <w:rPr>
          <w:sz w:val="20"/>
        </w:rPr>
        <w:t xml:space="preserve"> </w:t>
      </w:r>
      <w:r w:rsidRPr="00E86AB5">
        <w:rPr>
          <w:sz w:val="20"/>
        </w:rPr>
        <w:t>Application at 2.</w:t>
      </w:r>
      <w:r w:rsidR="00662D4F">
        <w:rPr>
          <w:sz w:val="20"/>
        </w:rPr>
        <w:t xml:space="preserve">  Applicants state that authorization of RDOF support is a condition to closing the proposed transaction.  </w:t>
      </w:r>
      <w:r w:rsidR="00662D4F">
        <w:rPr>
          <w:i/>
          <w:iCs/>
          <w:sz w:val="20"/>
        </w:rPr>
        <w:t>Id</w:t>
      </w:r>
      <w:r w:rsidR="00662D4F">
        <w:rPr>
          <w:sz w:val="20"/>
        </w:rPr>
        <w:t>. at 4.</w:t>
      </w:r>
    </w:p>
  </w:footnote>
  <w:footnote w:id="7">
    <w:p w:rsidR="0009512D" w:rsidRPr="00E86AB5" w:rsidP="00E86AB5" w14:paraId="3A361824" w14:textId="1B7F5FCA">
      <w:pPr>
        <w:spacing w:after="120"/>
        <w:rPr>
          <w:sz w:val="20"/>
        </w:rPr>
      </w:pPr>
      <w:r w:rsidRPr="00E86AB5">
        <w:rPr>
          <w:rStyle w:val="FootnoteReference"/>
          <w:sz w:val="20"/>
        </w:rPr>
        <w:footnoteRef/>
      </w:r>
      <w:r w:rsidRPr="00E86AB5">
        <w:rPr>
          <w:sz w:val="20"/>
        </w:rPr>
        <w:t xml:space="preserve"> </w:t>
      </w:r>
      <w:r w:rsidRPr="00E86AB5" w:rsidR="00E86AB5">
        <w:rPr>
          <w:i/>
          <w:iCs/>
          <w:sz w:val="20"/>
        </w:rPr>
        <w:t>Id</w:t>
      </w:r>
      <w:r w:rsidR="00E86AB5">
        <w:rPr>
          <w:sz w:val="20"/>
        </w:rPr>
        <w:t>.</w:t>
      </w:r>
      <w:r w:rsidRPr="00E86AB5">
        <w:rPr>
          <w:sz w:val="20"/>
        </w:rPr>
        <w:t xml:space="preserve"> at 2-3 (citing Arkansas Public Service Commission, Docket No. 21-037-U, Order No. 3 (May 25, 2021); Order, Louisiana</w:t>
      </w:r>
      <w:r w:rsidRPr="00E86AB5" w:rsidR="00064770">
        <w:rPr>
          <w:sz w:val="20"/>
        </w:rPr>
        <w:t xml:space="preserve"> </w:t>
      </w:r>
      <w:r w:rsidRPr="00E86AB5">
        <w:rPr>
          <w:sz w:val="20"/>
        </w:rPr>
        <w:t>Public Service Commission Docket No. S-35904 (May 25, 2021); Order, Mississippi Public Service Commission, Docket 21-UA-39 (May 17, 2021))</w:t>
      </w:r>
      <w:r w:rsidR="0089369B">
        <w:rPr>
          <w:sz w:val="20"/>
        </w:rPr>
        <w:t>; Supplement at 2</w:t>
      </w:r>
      <w:r w:rsidRPr="00E86AB5">
        <w:rPr>
          <w:sz w:val="20"/>
        </w:rPr>
        <w:t>.</w:t>
      </w:r>
    </w:p>
  </w:footnote>
  <w:footnote w:id="8">
    <w:p w:rsidR="00F9045E" w:rsidRPr="00E86AB5" w:rsidP="00E86AB5" w14:paraId="6C8751EB" w14:textId="0891AB73">
      <w:pPr>
        <w:spacing w:after="120"/>
        <w:rPr>
          <w:sz w:val="20"/>
        </w:rPr>
      </w:pPr>
      <w:r w:rsidRPr="00E86AB5">
        <w:rPr>
          <w:rStyle w:val="FootnoteReference"/>
          <w:sz w:val="20"/>
        </w:rPr>
        <w:footnoteRef/>
      </w:r>
      <w:r w:rsidRPr="00E86AB5">
        <w:rPr>
          <w:sz w:val="20"/>
        </w:rPr>
        <w:t xml:space="preserve"> Application at 2; Supplement at 1.</w:t>
      </w:r>
      <w:r w:rsidR="0089369B">
        <w:rPr>
          <w:sz w:val="20"/>
        </w:rPr>
        <w:t xml:space="preserve">  Applicants state that CableSouth is not affiliated with any ETCs through its existing ownership.  Supplement at n.2.</w:t>
      </w:r>
    </w:p>
  </w:footnote>
  <w:footnote w:id="9">
    <w:p w:rsidR="00337A1F" w:rsidRPr="00E86AB5" w:rsidP="00E86AB5" w14:paraId="234EECFC" w14:textId="7789BCF3">
      <w:pPr>
        <w:spacing w:after="120"/>
        <w:rPr>
          <w:sz w:val="20"/>
        </w:rPr>
      </w:pPr>
      <w:r w:rsidRPr="00E86AB5">
        <w:rPr>
          <w:rStyle w:val="FootnoteReference"/>
          <w:sz w:val="20"/>
        </w:rPr>
        <w:footnoteRef/>
      </w:r>
      <w:r w:rsidRPr="00E86AB5">
        <w:rPr>
          <w:sz w:val="20"/>
        </w:rPr>
        <w:t xml:space="preserve"> </w:t>
      </w:r>
      <w:r w:rsidR="00E86AB5">
        <w:rPr>
          <w:sz w:val="20"/>
        </w:rPr>
        <w:t xml:space="preserve">Application at </w:t>
      </w:r>
      <w:r w:rsidRPr="00E86AB5">
        <w:rPr>
          <w:sz w:val="20"/>
        </w:rPr>
        <w:t>2-3</w:t>
      </w:r>
      <w:r w:rsidRPr="00E86AB5" w:rsidR="00ED4F73">
        <w:rPr>
          <w:sz w:val="20"/>
        </w:rPr>
        <w:t>; Supplement at n.2</w:t>
      </w:r>
      <w:r w:rsidRPr="00E86AB5">
        <w:rPr>
          <w:sz w:val="20"/>
        </w:rPr>
        <w:t>.</w:t>
      </w:r>
      <w:r w:rsidRPr="00E86AB5" w:rsidR="00064770">
        <w:rPr>
          <w:sz w:val="20"/>
        </w:rPr>
        <w:t xml:space="preserve"> </w:t>
      </w:r>
      <w:r w:rsidRPr="00E86AB5" w:rsidR="000344DA">
        <w:rPr>
          <w:sz w:val="20"/>
        </w:rPr>
        <w:t xml:space="preserve"> </w:t>
      </w:r>
      <w:r w:rsidRPr="00E86AB5" w:rsidR="00064770">
        <w:rPr>
          <w:sz w:val="20"/>
        </w:rPr>
        <w:t xml:space="preserve">On </w:t>
      </w:r>
      <w:r w:rsidRPr="00E86AB5" w:rsidR="000344DA">
        <w:rPr>
          <w:sz w:val="20"/>
        </w:rPr>
        <w:t>December 15, 2021</w:t>
      </w:r>
      <w:r w:rsidRPr="00E86AB5" w:rsidR="00064770">
        <w:rPr>
          <w:sz w:val="20"/>
        </w:rPr>
        <w:t>, the Bureau granted the domestic section 214 application of ITC Broadband Operating, LLC</w:t>
      </w:r>
      <w:r w:rsidRPr="00E86AB5" w:rsidR="000344DA">
        <w:rPr>
          <w:sz w:val="20"/>
        </w:rPr>
        <w:t xml:space="preserve">, wholly owned by ITC Holdings, to acquire </w:t>
      </w:r>
      <w:r w:rsidRPr="00E86AB5" w:rsidR="00064770">
        <w:rPr>
          <w:sz w:val="20"/>
        </w:rPr>
        <w:t>Aspire Networks 1, LLC, a</w:t>
      </w:r>
      <w:r w:rsidRPr="00E86AB5" w:rsidR="000344DA">
        <w:rPr>
          <w:sz w:val="20"/>
        </w:rPr>
        <w:t xml:space="preserve"> competitive </w:t>
      </w:r>
      <w:r w:rsidRPr="00E86AB5" w:rsidR="002C4B51">
        <w:rPr>
          <w:sz w:val="20"/>
        </w:rPr>
        <w:t xml:space="preserve">LEC </w:t>
      </w:r>
      <w:r w:rsidRPr="00E86AB5" w:rsidR="000344DA">
        <w:rPr>
          <w:sz w:val="20"/>
        </w:rPr>
        <w:t xml:space="preserve">and RDOF recipient in Michigan.  </w:t>
      </w:r>
      <w:r w:rsidRPr="00E86AB5" w:rsidR="000344DA">
        <w:rPr>
          <w:i/>
          <w:iCs/>
          <w:sz w:val="20"/>
        </w:rPr>
        <w:t>Domestic Section 214 Application Granted for the Transfer of Control of Aspire Networks 1, LLC to ITC Broadband Operating, LLC</w:t>
      </w:r>
      <w:r w:rsidRPr="00E86AB5" w:rsidR="000344DA">
        <w:rPr>
          <w:sz w:val="20"/>
        </w:rPr>
        <w:t xml:space="preserve">, WC Docket No. 21-415, Public Notice 21-1574 (WCB 2021).  </w:t>
      </w:r>
    </w:p>
  </w:footnote>
  <w:footnote w:id="10">
    <w:p w:rsidR="00337A1F" w:rsidRPr="00E86AB5" w:rsidP="00E86AB5" w14:paraId="25E63C8A" w14:textId="34173FD7">
      <w:pPr>
        <w:spacing w:after="120"/>
        <w:rPr>
          <w:sz w:val="20"/>
        </w:rPr>
      </w:pPr>
      <w:r w:rsidRPr="00E86AB5">
        <w:rPr>
          <w:rStyle w:val="FootnoteReference"/>
          <w:sz w:val="20"/>
        </w:rPr>
        <w:footnoteRef/>
      </w:r>
      <w:r w:rsidRPr="00E86AB5">
        <w:rPr>
          <w:sz w:val="20"/>
        </w:rPr>
        <w:t xml:space="preserve"> </w:t>
      </w:r>
      <w:r w:rsidRPr="00E86AB5" w:rsidR="00064770">
        <w:rPr>
          <w:sz w:val="20"/>
        </w:rPr>
        <w:t>Application at</w:t>
      </w:r>
      <w:r w:rsidRPr="00E86AB5">
        <w:rPr>
          <w:sz w:val="20"/>
        </w:rPr>
        <w:t xml:space="preserve"> </w:t>
      </w:r>
      <w:r w:rsidRPr="00E86AB5" w:rsidR="00064770">
        <w:rPr>
          <w:sz w:val="20"/>
        </w:rPr>
        <w:t>6-8</w:t>
      </w:r>
      <w:r w:rsidR="00F64611">
        <w:rPr>
          <w:sz w:val="20"/>
        </w:rPr>
        <w:t xml:space="preserve">; </w:t>
      </w:r>
      <w:r w:rsidRPr="00E86AB5" w:rsidR="00F64611">
        <w:rPr>
          <w:sz w:val="20"/>
        </w:rPr>
        <w:t>Supplement at 2-3 and Exh. C</w:t>
      </w:r>
      <w:r w:rsidR="00F64611">
        <w:rPr>
          <w:sz w:val="20"/>
        </w:rPr>
        <w:t xml:space="preserve"> (Pre- and Post-Transaction Ownership Charts)</w:t>
      </w:r>
      <w:r w:rsidRPr="00E86AB5" w:rsidR="00F64611">
        <w:rPr>
          <w:sz w:val="20"/>
        </w:rPr>
        <w:t xml:space="preserve">.  All individual members and majority owners of </w:t>
      </w:r>
      <w:r w:rsidR="00F64611">
        <w:rPr>
          <w:sz w:val="20"/>
        </w:rPr>
        <w:t xml:space="preserve"> </w:t>
      </w:r>
      <w:r w:rsidRPr="00E86AB5" w:rsidR="00F64611">
        <w:rPr>
          <w:sz w:val="20"/>
        </w:rPr>
        <w:t xml:space="preserve">ITC </w:t>
      </w:r>
      <w:r w:rsidR="00F64611">
        <w:rPr>
          <w:sz w:val="20"/>
        </w:rPr>
        <w:t>Holdings</w:t>
      </w:r>
      <w:r w:rsidRPr="00E86AB5" w:rsidR="00F64611">
        <w:rPr>
          <w:sz w:val="20"/>
        </w:rPr>
        <w:t>, who are identified in the Supplement, are U.S. citizens.  Supplement at 2-3 and Exh. A (Senior Management Team of ITC Broadband Holdings, LLC).</w:t>
      </w:r>
      <w:r w:rsidRPr="00E86AB5">
        <w:rPr>
          <w:sz w:val="20"/>
        </w:rPr>
        <w:t>.</w:t>
      </w:r>
    </w:p>
  </w:footnote>
  <w:footnote w:id="11">
    <w:p w:rsidR="00337A1F" w:rsidRPr="00E86AB5" w:rsidP="00E86AB5" w14:paraId="0CAD4E6E" w14:textId="06BC75D9">
      <w:pPr>
        <w:spacing w:after="120"/>
        <w:rPr>
          <w:sz w:val="20"/>
        </w:rPr>
      </w:pPr>
      <w:r w:rsidRPr="00E86AB5">
        <w:rPr>
          <w:rStyle w:val="FootnoteReference"/>
          <w:sz w:val="20"/>
        </w:rPr>
        <w:footnoteRef/>
      </w:r>
      <w:r w:rsidRPr="00E86AB5">
        <w:rPr>
          <w:sz w:val="20"/>
        </w:rPr>
        <w:t xml:space="preserve"> </w:t>
      </w:r>
      <w:r w:rsidR="00F64611">
        <w:rPr>
          <w:sz w:val="20"/>
        </w:rPr>
        <w:t>Application at</w:t>
      </w:r>
      <w:r w:rsidRPr="00E86AB5">
        <w:rPr>
          <w:sz w:val="20"/>
        </w:rPr>
        <w:t xml:space="preserve"> </w:t>
      </w:r>
      <w:r w:rsidR="00662D4F">
        <w:rPr>
          <w:sz w:val="20"/>
        </w:rPr>
        <w:t>8</w:t>
      </w:r>
      <w:r w:rsidR="00F64611">
        <w:rPr>
          <w:sz w:val="20"/>
        </w:rPr>
        <w:t>.</w:t>
      </w:r>
      <w:r w:rsidRPr="00E86AB5">
        <w:rPr>
          <w:sz w:val="20"/>
        </w:rPr>
        <w:t xml:space="preserve"> </w:t>
      </w:r>
    </w:p>
  </w:footnote>
  <w:footnote w:id="12">
    <w:p w:rsidR="002C4B51" w:rsidRPr="00E86AB5" w:rsidP="00E86AB5" w14:paraId="53B17802" w14:textId="724A8DE9">
      <w:pPr>
        <w:spacing w:after="120"/>
        <w:rPr>
          <w:sz w:val="20"/>
        </w:rPr>
      </w:pPr>
      <w:r w:rsidRPr="00E86AB5">
        <w:rPr>
          <w:rStyle w:val="FootnoteReference"/>
          <w:sz w:val="20"/>
        </w:rPr>
        <w:footnoteRef/>
      </w:r>
      <w:r w:rsidRPr="00E86AB5">
        <w:rPr>
          <w:sz w:val="20"/>
        </w:rPr>
        <w:t xml:space="preserve"> </w:t>
      </w:r>
      <w:r w:rsidRPr="005A6DB6" w:rsidR="005A6DB6">
        <w:rPr>
          <w:i/>
          <w:iCs/>
          <w:sz w:val="20"/>
        </w:rPr>
        <w:t>Id</w:t>
      </w:r>
      <w:r w:rsidR="005A6DB6">
        <w:rPr>
          <w:sz w:val="20"/>
        </w:rPr>
        <w:t>.</w:t>
      </w:r>
      <w:r w:rsidRPr="00E86AB5">
        <w:rPr>
          <w:sz w:val="20"/>
        </w:rPr>
        <w:t xml:space="preserve"> at 3-4.</w:t>
      </w:r>
    </w:p>
  </w:footnote>
  <w:footnote w:id="13">
    <w:p w:rsidR="002C4B51" w:rsidRPr="00E86AB5" w14:paraId="1C83F51D" w14:textId="28302929">
      <w:pPr>
        <w:pStyle w:val="FootnoteText"/>
        <w:rPr>
          <w:sz w:val="20"/>
        </w:rPr>
      </w:pPr>
      <w:r w:rsidRPr="00E86AB5">
        <w:rPr>
          <w:rStyle w:val="FootnoteReference"/>
          <w:sz w:val="20"/>
        </w:rPr>
        <w:footnoteRef/>
      </w:r>
      <w:r w:rsidRPr="00E86AB5">
        <w:rPr>
          <w:sz w:val="20"/>
        </w:rPr>
        <w:t xml:space="preserve"> Supplement at 2.</w:t>
      </w:r>
    </w:p>
  </w:footnote>
  <w:footnote w:id="14">
    <w:p w:rsidR="002C4B51" w:rsidRPr="00E86AB5" w:rsidP="00E86AB5" w14:paraId="31E2AC32" w14:textId="5EF7D68B">
      <w:pPr>
        <w:spacing w:after="120"/>
        <w:rPr>
          <w:sz w:val="20"/>
        </w:rPr>
      </w:pPr>
      <w:r w:rsidRPr="00E86AB5">
        <w:rPr>
          <w:rStyle w:val="FootnoteReference"/>
          <w:sz w:val="20"/>
        </w:rPr>
        <w:footnoteRef/>
      </w:r>
      <w:r w:rsidRPr="00E86AB5">
        <w:rPr>
          <w:sz w:val="20"/>
        </w:rPr>
        <w:t xml:space="preserve"> Application at n.7; Supplement at 2.</w:t>
      </w:r>
    </w:p>
  </w:footnote>
  <w:footnote w:id="15">
    <w:p w:rsidR="002C4B51" w:rsidRPr="00E86AB5" w:rsidP="00E86AB5" w14:paraId="2DDB0195" w14:textId="31637137">
      <w:pPr>
        <w:spacing w:after="120"/>
        <w:rPr>
          <w:sz w:val="20"/>
        </w:rPr>
      </w:pPr>
      <w:r w:rsidRPr="00E86AB5">
        <w:rPr>
          <w:rStyle w:val="FootnoteReference"/>
          <w:sz w:val="20"/>
        </w:rPr>
        <w:footnoteRef/>
      </w:r>
      <w:r w:rsidRPr="00E86AB5">
        <w:rPr>
          <w:sz w:val="20"/>
        </w:rPr>
        <w:t xml:space="preserve"> Application at 4; Supplement at 2.</w:t>
      </w:r>
    </w:p>
  </w:footnote>
  <w:footnote w:id="16">
    <w:p w:rsidR="00317B49" w:rsidRPr="00E86AB5" w:rsidP="00E86AB5" w14:paraId="62055958" w14:textId="6B854DB1">
      <w:pPr>
        <w:spacing w:after="120"/>
        <w:rPr>
          <w:sz w:val="20"/>
        </w:rPr>
      </w:pPr>
      <w:r w:rsidRPr="00E86AB5">
        <w:rPr>
          <w:rStyle w:val="FootnoteReference"/>
          <w:sz w:val="20"/>
        </w:rPr>
        <w:footnoteRef/>
      </w:r>
      <w:r w:rsidRPr="00E86AB5">
        <w:rPr>
          <w:sz w:val="20"/>
        </w:rPr>
        <w:t xml:space="preserve"> </w:t>
      </w:r>
      <w:r w:rsidR="0089369B">
        <w:rPr>
          <w:sz w:val="20"/>
        </w:rPr>
        <w:t xml:space="preserve">Application </w:t>
      </w:r>
      <w:r w:rsidRPr="00E86AB5">
        <w:rPr>
          <w:sz w:val="20"/>
        </w:rPr>
        <w:t>at 9-11</w:t>
      </w:r>
      <w:r w:rsidRPr="00E86AB5" w:rsidR="00816223">
        <w:rPr>
          <w:sz w:val="20"/>
        </w:rPr>
        <w:t>; Supplement at 3</w:t>
      </w:r>
      <w:r w:rsidRPr="00E86AB5">
        <w:rPr>
          <w:sz w:val="20"/>
        </w:rPr>
        <w:t>.</w:t>
      </w:r>
    </w:p>
  </w:footnote>
  <w:footnote w:id="17">
    <w:p w:rsidR="0054495E" w:rsidRPr="00E86AB5" w:rsidP="00E86AB5" w14:paraId="038C824B" w14:textId="1F18E73B">
      <w:pPr>
        <w:spacing w:after="120"/>
        <w:rPr>
          <w:sz w:val="20"/>
        </w:rPr>
      </w:pPr>
      <w:r w:rsidRPr="00E86AB5">
        <w:rPr>
          <w:rStyle w:val="FootnoteReference"/>
          <w:sz w:val="20"/>
        </w:rPr>
        <w:footnoteRef/>
      </w:r>
      <w:r w:rsidRPr="00E86AB5">
        <w:rPr>
          <w:sz w:val="20"/>
        </w:rPr>
        <w:t xml:space="preserve"> Application at 9-11; Supplement at </w:t>
      </w:r>
      <w:r w:rsidR="0089369B">
        <w:rPr>
          <w:sz w:val="20"/>
        </w:rPr>
        <w:t>1-</w:t>
      </w:r>
      <w:r w:rsidRPr="00E86AB5" w:rsidR="00E86AB5">
        <w:rPr>
          <w:sz w:val="20"/>
        </w:rPr>
        <w:t>3</w:t>
      </w:r>
      <w:r w:rsidRPr="00E86AB5">
        <w:rPr>
          <w:sz w:val="20"/>
        </w:rPr>
        <w:t>.</w:t>
      </w:r>
    </w:p>
  </w:footnote>
  <w:footnote w:id="18">
    <w:p w:rsidR="0054495E" w:rsidRPr="00E86AB5" w:rsidP="00E86AB5" w14:paraId="3FD1C621" w14:textId="299F58A5">
      <w:pPr>
        <w:spacing w:after="120"/>
        <w:rPr>
          <w:sz w:val="20"/>
        </w:rPr>
      </w:pPr>
      <w:r w:rsidRPr="00E86AB5">
        <w:rPr>
          <w:rStyle w:val="FootnoteReference"/>
          <w:sz w:val="20"/>
        </w:rPr>
        <w:footnoteRef/>
      </w:r>
      <w:r w:rsidRPr="00E86AB5">
        <w:rPr>
          <w:sz w:val="20"/>
        </w:rPr>
        <w:t xml:space="preserve"> Application at 8.</w:t>
      </w:r>
    </w:p>
  </w:footnote>
  <w:footnote w:id="19">
    <w:p w:rsidR="00816223" w:rsidRPr="00E86AB5" w:rsidP="00E86AB5" w14:paraId="5F7D2D8D" w14:textId="160A9930">
      <w:pPr>
        <w:spacing w:after="120"/>
        <w:rPr>
          <w:sz w:val="20"/>
        </w:rPr>
      </w:pPr>
      <w:r w:rsidRPr="00E86AB5">
        <w:rPr>
          <w:rStyle w:val="FootnoteReference"/>
          <w:sz w:val="20"/>
        </w:rPr>
        <w:footnoteRef/>
      </w:r>
      <w:r w:rsidRPr="00E86AB5">
        <w:rPr>
          <w:sz w:val="20"/>
        </w:rPr>
        <w:t xml:space="preserve"> Supplement at 1.</w:t>
      </w:r>
    </w:p>
  </w:footnote>
  <w:footnote w:id="20">
    <w:p w:rsidR="00E86AB5" w:rsidRPr="00E86AB5" w:rsidP="00E86AB5" w14:paraId="4927500A" w14:textId="4318DF1C">
      <w:pPr>
        <w:spacing w:after="120"/>
        <w:rPr>
          <w:sz w:val="20"/>
        </w:rPr>
      </w:pPr>
      <w:r w:rsidRPr="00E86AB5">
        <w:rPr>
          <w:rStyle w:val="FootnoteReference"/>
          <w:sz w:val="20"/>
        </w:rPr>
        <w:footnoteRef/>
      </w:r>
      <w:r w:rsidRPr="00E86AB5">
        <w:rPr>
          <w:sz w:val="20"/>
        </w:rPr>
        <w:t xml:space="preserve"> Application at 11.</w:t>
      </w:r>
    </w:p>
  </w:footnote>
  <w:footnote w:id="21">
    <w:p w:rsidR="0067552D" w:rsidRPr="00E86AB5" w:rsidP="0067552D" w14:paraId="26A9D575" w14:textId="05CA75E9">
      <w:pPr>
        <w:pStyle w:val="FootnoteText"/>
        <w:spacing w:after="120"/>
        <w:rPr>
          <w:sz w:val="20"/>
        </w:rPr>
      </w:pPr>
      <w:r w:rsidRPr="00E86AB5">
        <w:rPr>
          <w:rStyle w:val="FootnoteReference"/>
          <w:sz w:val="20"/>
        </w:rPr>
        <w:footnoteRef/>
      </w:r>
      <w:r w:rsidRPr="00E86AB5">
        <w:rPr>
          <w:sz w:val="20"/>
        </w:rPr>
        <w:t xml:space="preserve"> </w:t>
      </w:r>
      <w:r w:rsidRPr="00E86AB5">
        <w:rPr>
          <w:i/>
          <w:iCs/>
          <w:sz w:val="20"/>
        </w:rPr>
        <w:t xml:space="preserve">See </w:t>
      </w:r>
      <w:r w:rsidRPr="00E86AB5">
        <w:rPr>
          <w:sz w:val="20"/>
        </w:rPr>
        <w:t>47 CFR § 63.03(c)(1)(v)</w:t>
      </w:r>
      <w:r w:rsidRPr="00E86AB5">
        <w:rPr>
          <w:sz w:val="20"/>
        </w:rPr>
        <w:t xml:space="preserve">; </w:t>
      </w:r>
      <w:r w:rsidRPr="00E86AB5">
        <w:rPr>
          <w:i/>
          <w:iCs/>
          <w:sz w:val="20"/>
        </w:rPr>
        <w:t>Telecommunications Carriers Eligible for Universal Service Support; Connect America Fund</w:t>
      </w:r>
      <w:r w:rsidRPr="00E86AB5">
        <w:rPr>
          <w:sz w:val="20"/>
        </w:rPr>
        <w:t>, WC Docket Nos. 09-197, 10-90, Order, DA 21-663, para. 30 (WCB 2021) (stating that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47 CFR §§ 63.03-04)</w:t>
      </w:r>
      <w:r w:rsidRPr="00E86AB5">
        <w:rPr>
          <w:color w:val="020100"/>
          <w:sz w:val="20"/>
        </w:rPr>
        <w:t>.</w:t>
      </w:r>
    </w:p>
    <w:p w:rsidR="00816223" w:rsidRPr="00E86AB5" w:rsidP="00816223" w14:paraId="52AF1718" w14:textId="5C6E9E07">
      <w:pPr>
        <w:pStyle w:val="FootnoteText"/>
        <w:rPr>
          <w:sz w:val="20"/>
        </w:rPr>
      </w:pPr>
      <w:r w:rsidRPr="00E86AB5">
        <w:rPr>
          <w:sz w:val="20"/>
        </w:rPr>
        <w:t>.</w:t>
      </w:r>
    </w:p>
  </w:footnote>
  <w:footnote w:id="22">
    <w:p w:rsidR="007C6774" w:rsidRPr="00E86AB5" w:rsidP="007C6774" w14:paraId="63B97F64" w14:textId="77777777">
      <w:pPr>
        <w:pStyle w:val="FootnoteText"/>
        <w:spacing w:after="120"/>
        <w:rPr>
          <w:sz w:val="20"/>
        </w:rPr>
      </w:pPr>
      <w:r w:rsidRPr="00E86AB5">
        <w:rPr>
          <w:rStyle w:val="FootnoteReference"/>
          <w:sz w:val="20"/>
        </w:rPr>
        <w:footnoteRef/>
      </w:r>
      <w:r w:rsidRPr="00E86AB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E86AB5">
        <w:rPr>
          <w:i/>
          <w:iCs/>
          <w:sz w:val="20"/>
        </w:rPr>
        <w:t>See FCC Announces Closure of FCC Headquarters Open Window and Change in Hand-Delivery Policy</w:t>
      </w:r>
      <w:r w:rsidRPr="00E86AB5">
        <w:rPr>
          <w:sz w:val="20"/>
        </w:rPr>
        <w:t xml:space="preserve">, Public Notice, 35 FCC Rcd 2788 (Mar. 19, 2020), </w:t>
      </w:r>
      <w:hyperlink r:id="rId1" w:history="1">
        <w:r w:rsidRPr="00E86AB5">
          <w:rPr>
            <w:rStyle w:val="Hyperlink"/>
            <w:sz w:val="20"/>
          </w:rPr>
          <w:t>https://www.fcc.gov/document/fcc-closes-headquarters-open-window-and-changes-hand-delivery-policy</w:t>
        </w:r>
      </w:hyperlink>
      <w:r w:rsidRPr="00E86AB5">
        <w:rPr>
          <w:rStyle w:val="Hyperlink"/>
          <w:color w:val="auto"/>
          <w:sz w:val="20"/>
          <w:u w:val="none"/>
        </w:rPr>
        <w:t>.</w:t>
      </w:r>
    </w:p>
  </w:footnote>
  <w:footnote w:id="23">
    <w:p w:rsidR="005D4020" w:rsidRPr="00351689" w:rsidP="00B52C8F" w14:paraId="3269BE40"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12" w:name="_Hlk83199899"/>
      <w:r w:rsidRPr="00F71244">
        <w:rPr>
          <w:sz w:val="20"/>
        </w:rPr>
        <w:t>§</w:t>
      </w:r>
      <w:bookmarkEnd w:id="12"/>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571557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0A41E0" w14:textId="77777777">
                <w:pPr>
                  <w:rPr>
                    <w:rFonts w:ascii="Arial" w:hAnsi="Arial"/>
                    <w:b/>
                  </w:rPr>
                </w:pPr>
                <w:r>
                  <w:rPr>
                    <w:rFonts w:ascii="Arial" w:hAnsi="Arial"/>
                    <w:b/>
                  </w:rPr>
                  <w:t>Federal Communications Commission</w:t>
                </w:r>
              </w:p>
              <w:p w:rsidR="005D4020" w14:paraId="378DEF57" w14:textId="77777777">
                <w:pPr>
                  <w:rPr>
                    <w:rFonts w:ascii="Arial" w:hAnsi="Arial"/>
                    <w:b/>
                  </w:rPr>
                </w:pPr>
                <w:r>
                  <w:rPr>
                    <w:rFonts w:ascii="Arial" w:hAnsi="Arial"/>
                    <w:b/>
                  </w:rPr>
                  <w:t>45 L St., N.E.</w:t>
                </w:r>
              </w:p>
              <w:p w:rsidR="005D4020" w14:paraId="5B23A29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7E7FA9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4BB595A" w14:textId="77777777">
                <w:pPr>
                  <w:spacing w:before="40"/>
                  <w:jc w:val="right"/>
                  <w:rPr>
                    <w:rFonts w:ascii="Arial" w:hAnsi="Arial"/>
                    <w:b/>
                    <w:sz w:val="16"/>
                  </w:rPr>
                </w:pPr>
                <w:r>
                  <w:rPr>
                    <w:rFonts w:ascii="Arial" w:hAnsi="Arial"/>
                    <w:b/>
                    <w:sz w:val="16"/>
                  </w:rPr>
                  <w:t>News Media Information 202 / 418-0500</w:t>
                </w:r>
              </w:p>
              <w:p w:rsidR="005D4020" w14:paraId="525FD61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A53A99" w14:textId="77777777">
                <w:pPr>
                  <w:jc w:val="right"/>
                  <w:rPr>
                    <w:rFonts w:ascii="Arial" w:hAnsi="Arial"/>
                    <w:b/>
                    <w:sz w:val="16"/>
                  </w:rPr>
                </w:pPr>
              </w:p>
              <w:p w:rsidR="005D4020" w14:paraId="7AC5DE4A" w14:textId="77777777">
                <w:pPr>
                  <w:jc w:val="right"/>
                </w:pPr>
              </w:p>
            </w:txbxContent>
          </v:textbox>
        </v:shape>
      </w:pict>
    </w:r>
  </w:p>
  <w:p w:rsidR="005D4020" w14:paraId="5985363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E0E833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2922"/>
    <w:rsid w:val="00024494"/>
    <w:rsid w:val="00025A42"/>
    <w:rsid w:val="00026F70"/>
    <w:rsid w:val="00027342"/>
    <w:rsid w:val="000330E3"/>
    <w:rsid w:val="000344DA"/>
    <w:rsid w:val="00035419"/>
    <w:rsid w:val="00035F32"/>
    <w:rsid w:val="00040610"/>
    <w:rsid w:val="00040BA0"/>
    <w:rsid w:val="00040DAF"/>
    <w:rsid w:val="00041B38"/>
    <w:rsid w:val="00041BDA"/>
    <w:rsid w:val="00041C01"/>
    <w:rsid w:val="000443A2"/>
    <w:rsid w:val="0004575B"/>
    <w:rsid w:val="00050A3A"/>
    <w:rsid w:val="000518C8"/>
    <w:rsid w:val="00052263"/>
    <w:rsid w:val="000534AC"/>
    <w:rsid w:val="000552F7"/>
    <w:rsid w:val="000563FA"/>
    <w:rsid w:val="000575E7"/>
    <w:rsid w:val="00057881"/>
    <w:rsid w:val="00057E12"/>
    <w:rsid w:val="000629CF"/>
    <w:rsid w:val="000639C7"/>
    <w:rsid w:val="00063CA5"/>
    <w:rsid w:val="00064770"/>
    <w:rsid w:val="00064C7D"/>
    <w:rsid w:val="000656F9"/>
    <w:rsid w:val="0006624C"/>
    <w:rsid w:val="00066D12"/>
    <w:rsid w:val="00066F9D"/>
    <w:rsid w:val="00071365"/>
    <w:rsid w:val="00073173"/>
    <w:rsid w:val="000735C8"/>
    <w:rsid w:val="00073FA1"/>
    <w:rsid w:val="00075D57"/>
    <w:rsid w:val="00080F60"/>
    <w:rsid w:val="0008381D"/>
    <w:rsid w:val="000861C2"/>
    <w:rsid w:val="00086D16"/>
    <w:rsid w:val="00086D74"/>
    <w:rsid w:val="00087205"/>
    <w:rsid w:val="000874BE"/>
    <w:rsid w:val="0008758B"/>
    <w:rsid w:val="00091A3E"/>
    <w:rsid w:val="00092A4E"/>
    <w:rsid w:val="00093D99"/>
    <w:rsid w:val="000946FB"/>
    <w:rsid w:val="0009512D"/>
    <w:rsid w:val="0009534A"/>
    <w:rsid w:val="00097AB0"/>
    <w:rsid w:val="000A0A5A"/>
    <w:rsid w:val="000A24AA"/>
    <w:rsid w:val="000A4F8C"/>
    <w:rsid w:val="000B1C31"/>
    <w:rsid w:val="000B210F"/>
    <w:rsid w:val="000B3146"/>
    <w:rsid w:val="000B48A6"/>
    <w:rsid w:val="000B4EDD"/>
    <w:rsid w:val="000B5635"/>
    <w:rsid w:val="000B6839"/>
    <w:rsid w:val="000C1684"/>
    <w:rsid w:val="000C7CA4"/>
    <w:rsid w:val="000D15E4"/>
    <w:rsid w:val="000D371E"/>
    <w:rsid w:val="000D3A8B"/>
    <w:rsid w:val="000D3C50"/>
    <w:rsid w:val="000D7E4D"/>
    <w:rsid w:val="000E0084"/>
    <w:rsid w:val="000E01DF"/>
    <w:rsid w:val="000E14B7"/>
    <w:rsid w:val="000E35A7"/>
    <w:rsid w:val="000E3BD4"/>
    <w:rsid w:val="000E538C"/>
    <w:rsid w:val="000E5955"/>
    <w:rsid w:val="000E7B60"/>
    <w:rsid w:val="000F02F7"/>
    <w:rsid w:val="000F233E"/>
    <w:rsid w:val="000F3498"/>
    <w:rsid w:val="000F467E"/>
    <w:rsid w:val="000F5E94"/>
    <w:rsid w:val="00100ED3"/>
    <w:rsid w:val="001019E2"/>
    <w:rsid w:val="00101D0B"/>
    <w:rsid w:val="00103EE8"/>
    <w:rsid w:val="00110761"/>
    <w:rsid w:val="0011311D"/>
    <w:rsid w:val="001149F9"/>
    <w:rsid w:val="001150BA"/>
    <w:rsid w:val="00117529"/>
    <w:rsid w:val="001226CB"/>
    <w:rsid w:val="0012329A"/>
    <w:rsid w:val="0012437D"/>
    <w:rsid w:val="00126DDB"/>
    <w:rsid w:val="00131952"/>
    <w:rsid w:val="0013309A"/>
    <w:rsid w:val="0013405D"/>
    <w:rsid w:val="00134FFC"/>
    <w:rsid w:val="001356E5"/>
    <w:rsid w:val="001374F3"/>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287F"/>
    <w:rsid w:val="00187617"/>
    <w:rsid w:val="00190D2B"/>
    <w:rsid w:val="00194E1E"/>
    <w:rsid w:val="0019727C"/>
    <w:rsid w:val="001A00A7"/>
    <w:rsid w:val="001A261E"/>
    <w:rsid w:val="001A2DFA"/>
    <w:rsid w:val="001A3813"/>
    <w:rsid w:val="001A3E67"/>
    <w:rsid w:val="001A47EC"/>
    <w:rsid w:val="001A5568"/>
    <w:rsid w:val="001A7565"/>
    <w:rsid w:val="001B2B0C"/>
    <w:rsid w:val="001B2C26"/>
    <w:rsid w:val="001B2E57"/>
    <w:rsid w:val="001B4C2F"/>
    <w:rsid w:val="001B5D21"/>
    <w:rsid w:val="001B69F9"/>
    <w:rsid w:val="001B6EFA"/>
    <w:rsid w:val="001C3A0E"/>
    <w:rsid w:val="001C3C98"/>
    <w:rsid w:val="001C4997"/>
    <w:rsid w:val="001C5D07"/>
    <w:rsid w:val="001C62E7"/>
    <w:rsid w:val="001C78FB"/>
    <w:rsid w:val="001D10A0"/>
    <w:rsid w:val="001D3A95"/>
    <w:rsid w:val="001D4302"/>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CCF"/>
    <w:rsid w:val="00221E35"/>
    <w:rsid w:val="002223D3"/>
    <w:rsid w:val="00222993"/>
    <w:rsid w:val="00222D16"/>
    <w:rsid w:val="0022329B"/>
    <w:rsid w:val="002233EF"/>
    <w:rsid w:val="0022344E"/>
    <w:rsid w:val="00223E8C"/>
    <w:rsid w:val="0022449B"/>
    <w:rsid w:val="00225F62"/>
    <w:rsid w:val="002308A9"/>
    <w:rsid w:val="00230D61"/>
    <w:rsid w:val="00233782"/>
    <w:rsid w:val="00240B49"/>
    <w:rsid w:val="00241CB2"/>
    <w:rsid w:val="0024326F"/>
    <w:rsid w:val="0024496D"/>
    <w:rsid w:val="0024736A"/>
    <w:rsid w:val="0025247F"/>
    <w:rsid w:val="00253247"/>
    <w:rsid w:val="002567A3"/>
    <w:rsid w:val="002606A8"/>
    <w:rsid w:val="0026090D"/>
    <w:rsid w:val="002620B5"/>
    <w:rsid w:val="00262C25"/>
    <w:rsid w:val="00262E65"/>
    <w:rsid w:val="002634E5"/>
    <w:rsid w:val="002646E7"/>
    <w:rsid w:val="00266135"/>
    <w:rsid w:val="002666BC"/>
    <w:rsid w:val="00266D63"/>
    <w:rsid w:val="00267BF2"/>
    <w:rsid w:val="00272142"/>
    <w:rsid w:val="002726B0"/>
    <w:rsid w:val="0027576A"/>
    <w:rsid w:val="002771C7"/>
    <w:rsid w:val="0028149F"/>
    <w:rsid w:val="00283536"/>
    <w:rsid w:val="0028397D"/>
    <w:rsid w:val="00283C07"/>
    <w:rsid w:val="0028555C"/>
    <w:rsid w:val="00287432"/>
    <w:rsid w:val="00290DDD"/>
    <w:rsid w:val="002914B9"/>
    <w:rsid w:val="00292E36"/>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C4B51"/>
    <w:rsid w:val="002D09E2"/>
    <w:rsid w:val="002D11BE"/>
    <w:rsid w:val="002D4A00"/>
    <w:rsid w:val="002D4CB4"/>
    <w:rsid w:val="002D65CC"/>
    <w:rsid w:val="002D6F61"/>
    <w:rsid w:val="002E0BAF"/>
    <w:rsid w:val="002E2A6F"/>
    <w:rsid w:val="002E363F"/>
    <w:rsid w:val="002E4894"/>
    <w:rsid w:val="002F082B"/>
    <w:rsid w:val="002F4D9F"/>
    <w:rsid w:val="002F4E17"/>
    <w:rsid w:val="002F528E"/>
    <w:rsid w:val="002F6D28"/>
    <w:rsid w:val="003003FD"/>
    <w:rsid w:val="0030523C"/>
    <w:rsid w:val="00305D86"/>
    <w:rsid w:val="00306AAD"/>
    <w:rsid w:val="0031156F"/>
    <w:rsid w:val="00312CE1"/>
    <w:rsid w:val="00313546"/>
    <w:rsid w:val="003158F3"/>
    <w:rsid w:val="00315D50"/>
    <w:rsid w:val="00315FCD"/>
    <w:rsid w:val="0031636F"/>
    <w:rsid w:val="00317B49"/>
    <w:rsid w:val="00321F97"/>
    <w:rsid w:val="00325988"/>
    <w:rsid w:val="0032625B"/>
    <w:rsid w:val="003330D8"/>
    <w:rsid w:val="00334E6C"/>
    <w:rsid w:val="0033631D"/>
    <w:rsid w:val="00337A1F"/>
    <w:rsid w:val="00337E04"/>
    <w:rsid w:val="00337F0B"/>
    <w:rsid w:val="00340881"/>
    <w:rsid w:val="003421DB"/>
    <w:rsid w:val="00345CA2"/>
    <w:rsid w:val="003479C9"/>
    <w:rsid w:val="00351689"/>
    <w:rsid w:val="00351B30"/>
    <w:rsid w:val="00351D1D"/>
    <w:rsid w:val="00353779"/>
    <w:rsid w:val="00353CB5"/>
    <w:rsid w:val="003632CF"/>
    <w:rsid w:val="00364590"/>
    <w:rsid w:val="00365194"/>
    <w:rsid w:val="00367E50"/>
    <w:rsid w:val="00370A7F"/>
    <w:rsid w:val="00371142"/>
    <w:rsid w:val="00371AAB"/>
    <w:rsid w:val="00371B64"/>
    <w:rsid w:val="00371FEF"/>
    <w:rsid w:val="00372CA2"/>
    <w:rsid w:val="003768D4"/>
    <w:rsid w:val="0037705C"/>
    <w:rsid w:val="00377CB8"/>
    <w:rsid w:val="003811C7"/>
    <w:rsid w:val="003817EB"/>
    <w:rsid w:val="00384632"/>
    <w:rsid w:val="003855A0"/>
    <w:rsid w:val="00387294"/>
    <w:rsid w:val="003879D0"/>
    <w:rsid w:val="00387BBE"/>
    <w:rsid w:val="003907EB"/>
    <w:rsid w:val="0039175A"/>
    <w:rsid w:val="00395294"/>
    <w:rsid w:val="00395A7A"/>
    <w:rsid w:val="00396D92"/>
    <w:rsid w:val="003A0227"/>
    <w:rsid w:val="003A0E99"/>
    <w:rsid w:val="003A18A0"/>
    <w:rsid w:val="003A1D67"/>
    <w:rsid w:val="003A1DFF"/>
    <w:rsid w:val="003A2957"/>
    <w:rsid w:val="003A2BEF"/>
    <w:rsid w:val="003A2CE0"/>
    <w:rsid w:val="003A3EB7"/>
    <w:rsid w:val="003A580D"/>
    <w:rsid w:val="003A6EFA"/>
    <w:rsid w:val="003A7B39"/>
    <w:rsid w:val="003B066D"/>
    <w:rsid w:val="003B43C3"/>
    <w:rsid w:val="003B58CC"/>
    <w:rsid w:val="003B5CEE"/>
    <w:rsid w:val="003C02DD"/>
    <w:rsid w:val="003C23FE"/>
    <w:rsid w:val="003C4A02"/>
    <w:rsid w:val="003C7229"/>
    <w:rsid w:val="003C7261"/>
    <w:rsid w:val="003D0E88"/>
    <w:rsid w:val="003D0F8F"/>
    <w:rsid w:val="003D14F4"/>
    <w:rsid w:val="003D4F94"/>
    <w:rsid w:val="003E1784"/>
    <w:rsid w:val="003E187A"/>
    <w:rsid w:val="003E32AC"/>
    <w:rsid w:val="003E3AD7"/>
    <w:rsid w:val="003E5630"/>
    <w:rsid w:val="003E58EC"/>
    <w:rsid w:val="003E6571"/>
    <w:rsid w:val="003F0ECD"/>
    <w:rsid w:val="003F16BE"/>
    <w:rsid w:val="003F1D04"/>
    <w:rsid w:val="003F2CD4"/>
    <w:rsid w:val="003F696D"/>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0B36"/>
    <w:rsid w:val="00452843"/>
    <w:rsid w:val="00453399"/>
    <w:rsid w:val="0045389F"/>
    <w:rsid w:val="0045717F"/>
    <w:rsid w:val="00460914"/>
    <w:rsid w:val="004609A4"/>
    <w:rsid w:val="00461DA7"/>
    <w:rsid w:val="00462D8F"/>
    <w:rsid w:val="004649E9"/>
    <w:rsid w:val="00464E8A"/>
    <w:rsid w:val="00466B9F"/>
    <w:rsid w:val="00466D8A"/>
    <w:rsid w:val="00471328"/>
    <w:rsid w:val="00473955"/>
    <w:rsid w:val="00476938"/>
    <w:rsid w:val="00476EFB"/>
    <w:rsid w:val="004808FC"/>
    <w:rsid w:val="00481D3B"/>
    <w:rsid w:val="00482EB0"/>
    <w:rsid w:val="00483B1B"/>
    <w:rsid w:val="00484483"/>
    <w:rsid w:val="00485D13"/>
    <w:rsid w:val="004913FF"/>
    <w:rsid w:val="00492290"/>
    <w:rsid w:val="00492A28"/>
    <w:rsid w:val="004951AE"/>
    <w:rsid w:val="00496253"/>
    <w:rsid w:val="004962B9"/>
    <w:rsid w:val="004A4D05"/>
    <w:rsid w:val="004A51C9"/>
    <w:rsid w:val="004A684C"/>
    <w:rsid w:val="004A7357"/>
    <w:rsid w:val="004A7EA0"/>
    <w:rsid w:val="004B4999"/>
    <w:rsid w:val="004B49CC"/>
    <w:rsid w:val="004B666C"/>
    <w:rsid w:val="004C071B"/>
    <w:rsid w:val="004C0C77"/>
    <w:rsid w:val="004C0CEF"/>
    <w:rsid w:val="004C16DE"/>
    <w:rsid w:val="004C1A64"/>
    <w:rsid w:val="004C1E92"/>
    <w:rsid w:val="004C219F"/>
    <w:rsid w:val="004C22B8"/>
    <w:rsid w:val="004C2516"/>
    <w:rsid w:val="004C393A"/>
    <w:rsid w:val="004C3DB0"/>
    <w:rsid w:val="004C4D62"/>
    <w:rsid w:val="004C712F"/>
    <w:rsid w:val="004D4610"/>
    <w:rsid w:val="004D53C3"/>
    <w:rsid w:val="004D5A7C"/>
    <w:rsid w:val="004D67B7"/>
    <w:rsid w:val="004D74A5"/>
    <w:rsid w:val="004D761B"/>
    <w:rsid w:val="004D7912"/>
    <w:rsid w:val="004E00F1"/>
    <w:rsid w:val="004E5AE8"/>
    <w:rsid w:val="004E6AC6"/>
    <w:rsid w:val="004E735B"/>
    <w:rsid w:val="004E74EE"/>
    <w:rsid w:val="004F2447"/>
    <w:rsid w:val="004F2887"/>
    <w:rsid w:val="004F3603"/>
    <w:rsid w:val="004F3CEC"/>
    <w:rsid w:val="004F4DC1"/>
    <w:rsid w:val="004F4FA1"/>
    <w:rsid w:val="004F6114"/>
    <w:rsid w:val="004F686B"/>
    <w:rsid w:val="004F6F64"/>
    <w:rsid w:val="004F7F3A"/>
    <w:rsid w:val="00501221"/>
    <w:rsid w:val="00501D17"/>
    <w:rsid w:val="00501F06"/>
    <w:rsid w:val="00504BF5"/>
    <w:rsid w:val="00505DA1"/>
    <w:rsid w:val="00507B82"/>
    <w:rsid w:val="005107DF"/>
    <w:rsid w:val="00510B3F"/>
    <w:rsid w:val="00512767"/>
    <w:rsid w:val="00520D29"/>
    <w:rsid w:val="005226C6"/>
    <w:rsid w:val="00524D79"/>
    <w:rsid w:val="00526561"/>
    <w:rsid w:val="00526C79"/>
    <w:rsid w:val="00527193"/>
    <w:rsid w:val="005273AB"/>
    <w:rsid w:val="005320B5"/>
    <w:rsid w:val="005326BF"/>
    <w:rsid w:val="00532A5C"/>
    <w:rsid w:val="00532A67"/>
    <w:rsid w:val="00533917"/>
    <w:rsid w:val="00535877"/>
    <w:rsid w:val="0053596D"/>
    <w:rsid w:val="00536ED2"/>
    <w:rsid w:val="00543EFC"/>
    <w:rsid w:val="0054495E"/>
    <w:rsid w:val="00545D2F"/>
    <w:rsid w:val="005473A6"/>
    <w:rsid w:val="005505CE"/>
    <w:rsid w:val="00551202"/>
    <w:rsid w:val="00551ADB"/>
    <w:rsid w:val="005524B6"/>
    <w:rsid w:val="0055660D"/>
    <w:rsid w:val="0055684E"/>
    <w:rsid w:val="00557B2D"/>
    <w:rsid w:val="00560013"/>
    <w:rsid w:val="005600A5"/>
    <w:rsid w:val="0056058F"/>
    <w:rsid w:val="0056467B"/>
    <w:rsid w:val="00567286"/>
    <w:rsid w:val="0056753D"/>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A6DB6"/>
    <w:rsid w:val="005B2105"/>
    <w:rsid w:val="005B2E8A"/>
    <w:rsid w:val="005B376F"/>
    <w:rsid w:val="005B4CA6"/>
    <w:rsid w:val="005B500E"/>
    <w:rsid w:val="005B5186"/>
    <w:rsid w:val="005B57F1"/>
    <w:rsid w:val="005C0AE1"/>
    <w:rsid w:val="005C0E44"/>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5344"/>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2AF4"/>
    <w:rsid w:val="00625B38"/>
    <w:rsid w:val="00626819"/>
    <w:rsid w:val="00626D16"/>
    <w:rsid w:val="0063162B"/>
    <w:rsid w:val="00633290"/>
    <w:rsid w:val="00634D23"/>
    <w:rsid w:val="00635062"/>
    <w:rsid w:val="00636679"/>
    <w:rsid w:val="0063770C"/>
    <w:rsid w:val="006378A6"/>
    <w:rsid w:val="00637ECE"/>
    <w:rsid w:val="00641E1F"/>
    <w:rsid w:val="006420D0"/>
    <w:rsid w:val="00642643"/>
    <w:rsid w:val="00642F32"/>
    <w:rsid w:val="00647C67"/>
    <w:rsid w:val="00647C99"/>
    <w:rsid w:val="00650544"/>
    <w:rsid w:val="0065288F"/>
    <w:rsid w:val="00653610"/>
    <w:rsid w:val="00654B1F"/>
    <w:rsid w:val="00656369"/>
    <w:rsid w:val="00656777"/>
    <w:rsid w:val="0065693D"/>
    <w:rsid w:val="00661A83"/>
    <w:rsid w:val="00662D4F"/>
    <w:rsid w:val="00663300"/>
    <w:rsid w:val="00663975"/>
    <w:rsid w:val="006703D5"/>
    <w:rsid w:val="0067115F"/>
    <w:rsid w:val="00671BA9"/>
    <w:rsid w:val="0067335F"/>
    <w:rsid w:val="00673AC5"/>
    <w:rsid w:val="0067552D"/>
    <w:rsid w:val="00676321"/>
    <w:rsid w:val="006768CC"/>
    <w:rsid w:val="00677101"/>
    <w:rsid w:val="00677DF3"/>
    <w:rsid w:val="0068067C"/>
    <w:rsid w:val="00680868"/>
    <w:rsid w:val="00680A98"/>
    <w:rsid w:val="00684AB3"/>
    <w:rsid w:val="00684EC6"/>
    <w:rsid w:val="006876EF"/>
    <w:rsid w:val="006902CD"/>
    <w:rsid w:val="00690EA9"/>
    <w:rsid w:val="00691832"/>
    <w:rsid w:val="00691F85"/>
    <w:rsid w:val="00693C2C"/>
    <w:rsid w:val="006945FA"/>
    <w:rsid w:val="00695785"/>
    <w:rsid w:val="00696B6E"/>
    <w:rsid w:val="00697832"/>
    <w:rsid w:val="00697AFE"/>
    <w:rsid w:val="006A0DB5"/>
    <w:rsid w:val="006A156E"/>
    <w:rsid w:val="006A19A2"/>
    <w:rsid w:val="006A1C8E"/>
    <w:rsid w:val="006A1F64"/>
    <w:rsid w:val="006A5657"/>
    <w:rsid w:val="006B0FB5"/>
    <w:rsid w:val="006B3003"/>
    <w:rsid w:val="006B3480"/>
    <w:rsid w:val="006B36F1"/>
    <w:rsid w:val="006B3829"/>
    <w:rsid w:val="006B5C06"/>
    <w:rsid w:val="006B6400"/>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6F94"/>
    <w:rsid w:val="006E7452"/>
    <w:rsid w:val="006F2F1F"/>
    <w:rsid w:val="006F3441"/>
    <w:rsid w:val="006F4360"/>
    <w:rsid w:val="006F4B1B"/>
    <w:rsid w:val="006F4D60"/>
    <w:rsid w:val="006F586C"/>
    <w:rsid w:val="00702B72"/>
    <w:rsid w:val="00703543"/>
    <w:rsid w:val="0070514A"/>
    <w:rsid w:val="007052BE"/>
    <w:rsid w:val="007067E2"/>
    <w:rsid w:val="00706D49"/>
    <w:rsid w:val="0071041E"/>
    <w:rsid w:val="00710B3F"/>
    <w:rsid w:val="00710BAB"/>
    <w:rsid w:val="007124C8"/>
    <w:rsid w:val="00712BB0"/>
    <w:rsid w:val="00714800"/>
    <w:rsid w:val="00714887"/>
    <w:rsid w:val="00721062"/>
    <w:rsid w:val="00721165"/>
    <w:rsid w:val="007218B2"/>
    <w:rsid w:val="00723C50"/>
    <w:rsid w:val="00724722"/>
    <w:rsid w:val="00733B9B"/>
    <w:rsid w:val="007349C4"/>
    <w:rsid w:val="00735895"/>
    <w:rsid w:val="007413DA"/>
    <w:rsid w:val="00741682"/>
    <w:rsid w:val="00741EF8"/>
    <w:rsid w:val="0074294F"/>
    <w:rsid w:val="00744022"/>
    <w:rsid w:val="0074436A"/>
    <w:rsid w:val="007451E0"/>
    <w:rsid w:val="00746FDA"/>
    <w:rsid w:val="00750AC0"/>
    <w:rsid w:val="00752564"/>
    <w:rsid w:val="0075291B"/>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87E1F"/>
    <w:rsid w:val="007904D9"/>
    <w:rsid w:val="007915C7"/>
    <w:rsid w:val="0079343D"/>
    <w:rsid w:val="00795D2F"/>
    <w:rsid w:val="007961F5"/>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6774"/>
    <w:rsid w:val="007C7788"/>
    <w:rsid w:val="007D03E3"/>
    <w:rsid w:val="007D06B3"/>
    <w:rsid w:val="007D16B0"/>
    <w:rsid w:val="007D2657"/>
    <w:rsid w:val="007D2E71"/>
    <w:rsid w:val="007D3B8F"/>
    <w:rsid w:val="007E0464"/>
    <w:rsid w:val="007E051A"/>
    <w:rsid w:val="007E3E12"/>
    <w:rsid w:val="007E44C2"/>
    <w:rsid w:val="007E47B5"/>
    <w:rsid w:val="007E4E07"/>
    <w:rsid w:val="007E64BB"/>
    <w:rsid w:val="007F1BC8"/>
    <w:rsid w:val="007F23AB"/>
    <w:rsid w:val="007F2C43"/>
    <w:rsid w:val="007F36CA"/>
    <w:rsid w:val="007F5BFC"/>
    <w:rsid w:val="007F6D3E"/>
    <w:rsid w:val="0080023C"/>
    <w:rsid w:val="0080055D"/>
    <w:rsid w:val="00801A6E"/>
    <w:rsid w:val="0080285A"/>
    <w:rsid w:val="00803625"/>
    <w:rsid w:val="00804B53"/>
    <w:rsid w:val="008052CD"/>
    <w:rsid w:val="00805DF1"/>
    <w:rsid w:val="00806538"/>
    <w:rsid w:val="00807040"/>
    <w:rsid w:val="008105F4"/>
    <w:rsid w:val="0081066B"/>
    <w:rsid w:val="0081108D"/>
    <w:rsid w:val="00813C6D"/>
    <w:rsid w:val="0081531F"/>
    <w:rsid w:val="00816223"/>
    <w:rsid w:val="00817CEC"/>
    <w:rsid w:val="00821491"/>
    <w:rsid w:val="00824E65"/>
    <w:rsid w:val="00830915"/>
    <w:rsid w:val="00831D30"/>
    <w:rsid w:val="0083237E"/>
    <w:rsid w:val="0083473B"/>
    <w:rsid w:val="00835307"/>
    <w:rsid w:val="0083618B"/>
    <w:rsid w:val="0084125A"/>
    <w:rsid w:val="008440EE"/>
    <w:rsid w:val="0084563E"/>
    <w:rsid w:val="0084778A"/>
    <w:rsid w:val="0084778C"/>
    <w:rsid w:val="00850A62"/>
    <w:rsid w:val="0085101A"/>
    <w:rsid w:val="00851095"/>
    <w:rsid w:val="00851890"/>
    <w:rsid w:val="00853114"/>
    <w:rsid w:val="008531EF"/>
    <w:rsid w:val="0085536D"/>
    <w:rsid w:val="0085579D"/>
    <w:rsid w:val="00856014"/>
    <w:rsid w:val="0085683B"/>
    <w:rsid w:val="00856944"/>
    <w:rsid w:val="0086028D"/>
    <w:rsid w:val="0086691C"/>
    <w:rsid w:val="008675C7"/>
    <w:rsid w:val="00873C90"/>
    <w:rsid w:val="0087554B"/>
    <w:rsid w:val="00875725"/>
    <w:rsid w:val="00876374"/>
    <w:rsid w:val="00876629"/>
    <w:rsid w:val="0087685F"/>
    <w:rsid w:val="00877062"/>
    <w:rsid w:val="00877B26"/>
    <w:rsid w:val="00877D35"/>
    <w:rsid w:val="00880FF4"/>
    <w:rsid w:val="00883F28"/>
    <w:rsid w:val="008850A3"/>
    <w:rsid w:val="00893308"/>
    <w:rsid w:val="0089369B"/>
    <w:rsid w:val="00895561"/>
    <w:rsid w:val="00895EC3"/>
    <w:rsid w:val="008A25FE"/>
    <w:rsid w:val="008A5AB2"/>
    <w:rsid w:val="008A65A6"/>
    <w:rsid w:val="008A6CDA"/>
    <w:rsid w:val="008A792A"/>
    <w:rsid w:val="008A793A"/>
    <w:rsid w:val="008B3267"/>
    <w:rsid w:val="008B3835"/>
    <w:rsid w:val="008B3E07"/>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2D2E"/>
    <w:rsid w:val="008E3218"/>
    <w:rsid w:val="008E416A"/>
    <w:rsid w:val="008E6985"/>
    <w:rsid w:val="008E7227"/>
    <w:rsid w:val="008F1B26"/>
    <w:rsid w:val="008F1B9F"/>
    <w:rsid w:val="008F438E"/>
    <w:rsid w:val="008F43EC"/>
    <w:rsid w:val="008F6981"/>
    <w:rsid w:val="0090059F"/>
    <w:rsid w:val="00903154"/>
    <w:rsid w:val="00903330"/>
    <w:rsid w:val="00903586"/>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4E85"/>
    <w:rsid w:val="009375A4"/>
    <w:rsid w:val="00940CB6"/>
    <w:rsid w:val="0094117D"/>
    <w:rsid w:val="0094457C"/>
    <w:rsid w:val="00950639"/>
    <w:rsid w:val="00952A95"/>
    <w:rsid w:val="0095318C"/>
    <w:rsid w:val="0095345C"/>
    <w:rsid w:val="00954DE1"/>
    <w:rsid w:val="009558A7"/>
    <w:rsid w:val="00956255"/>
    <w:rsid w:val="00956DAA"/>
    <w:rsid w:val="00957B02"/>
    <w:rsid w:val="00960857"/>
    <w:rsid w:val="0096245B"/>
    <w:rsid w:val="00963F91"/>
    <w:rsid w:val="00966264"/>
    <w:rsid w:val="0096671D"/>
    <w:rsid w:val="0097049D"/>
    <w:rsid w:val="00970801"/>
    <w:rsid w:val="0097409F"/>
    <w:rsid w:val="0097560B"/>
    <w:rsid w:val="00976531"/>
    <w:rsid w:val="00976736"/>
    <w:rsid w:val="0097746C"/>
    <w:rsid w:val="00977B5C"/>
    <w:rsid w:val="0098015F"/>
    <w:rsid w:val="00980592"/>
    <w:rsid w:val="00980EF3"/>
    <w:rsid w:val="0098160B"/>
    <w:rsid w:val="00981905"/>
    <w:rsid w:val="00984175"/>
    <w:rsid w:val="0098437F"/>
    <w:rsid w:val="00990455"/>
    <w:rsid w:val="00992859"/>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F33"/>
    <w:rsid w:val="009C209E"/>
    <w:rsid w:val="009C2C26"/>
    <w:rsid w:val="009C3304"/>
    <w:rsid w:val="009C3EC2"/>
    <w:rsid w:val="009C4B1E"/>
    <w:rsid w:val="009C5CEB"/>
    <w:rsid w:val="009C7BE4"/>
    <w:rsid w:val="009D25CE"/>
    <w:rsid w:val="009D3B7E"/>
    <w:rsid w:val="009D53A5"/>
    <w:rsid w:val="009E0F86"/>
    <w:rsid w:val="009E1797"/>
    <w:rsid w:val="009E312D"/>
    <w:rsid w:val="009E32BA"/>
    <w:rsid w:val="009E4467"/>
    <w:rsid w:val="009E4EC3"/>
    <w:rsid w:val="009E7532"/>
    <w:rsid w:val="009F124A"/>
    <w:rsid w:val="009F4216"/>
    <w:rsid w:val="009F4470"/>
    <w:rsid w:val="009F4826"/>
    <w:rsid w:val="009F52E2"/>
    <w:rsid w:val="00A00CAA"/>
    <w:rsid w:val="00A01C9F"/>
    <w:rsid w:val="00A02787"/>
    <w:rsid w:val="00A07D0B"/>
    <w:rsid w:val="00A07DE6"/>
    <w:rsid w:val="00A11865"/>
    <w:rsid w:val="00A132F3"/>
    <w:rsid w:val="00A1382A"/>
    <w:rsid w:val="00A13E18"/>
    <w:rsid w:val="00A13EAA"/>
    <w:rsid w:val="00A14FAC"/>
    <w:rsid w:val="00A15248"/>
    <w:rsid w:val="00A229F0"/>
    <w:rsid w:val="00A25AB6"/>
    <w:rsid w:val="00A25C41"/>
    <w:rsid w:val="00A30C04"/>
    <w:rsid w:val="00A326BD"/>
    <w:rsid w:val="00A33AF8"/>
    <w:rsid w:val="00A3522C"/>
    <w:rsid w:val="00A3545A"/>
    <w:rsid w:val="00A36359"/>
    <w:rsid w:val="00A36DEA"/>
    <w:rsid w:val="00A37CD0"/>
    <w:rsid w:val="00A4148C"/>
    <w:rsid w:val="00A4540E"/>
    <w:rsid w:val="00A47815"/>
    <w:rsid w:val="00A54F94"/>
    <w:rsid w:val="00A55BA1"/>
    <w:rsid w:val="00A55F2F"/>
    <w:rsid w:val="00A569E4"/>
    <w:rsid w:val="00A64552"/>
    <w:rsid w:val="00A64935"/>
    <w:rsid w:val="00A77271"/>
    <w:rsid w:val="00A778FF"/>
    <w:rsid w:val="00A77B50"/>
    <w:rsid w:val="00A8041F"/>
    <w:rsid w:val="00A824AF"/>
    <w:rsid w:val="00A83FF7"/>
    <w:rsid w:val="00A8490B"/>
    <w:rsid w:val="00A85921"/>
    <w:rsid w:val="00A92C9E"/>
    <w:rsid w:val="00A93650"/>
    <w:rsid w:val="00A964BE"/>
    <w:rsid w:val="00A9705F"/>
    <w:rsid w:val="00AA1CE3"/>
    <w:rsid w:val="00AA4037"/>
    <w:rsid w:val="00AA461C"/>
    <w:rsid w:val="00AA50FB"/>
    <w:rsid w:val="00AA662F"/>
    <w:rsid w:val="00AA75F4"/>
    <w:rsid w:val="00AA79C4"/>
    <w:rsid w:val="00AB0A34"/>
    <w:rsid w:val="00AB2A9E"/>
    <w:rsid w:val="00AB582C"/>
    <w:rsid w:val="00AB670F"/>
    <w:rsid w:val="00AB6787"/>
    <w:rsid w:val="00AB7376"/>
    <w:rsid w:val="00AC0E74"/>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3ABF"/>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9A5"/>
    <w:rsid w:val="00B66A71"/>
    <w:rsid w:val="00B71C43"/>
    <w:rsid w:val="00B72F45"/>
    <w:rsid w:val="00B73211"/>
    <w:rsid w:val="00B73AED"/>
    <w:rsid w:val="00B760D7"/>
    <w:rsid w:val="00B766F5"/>
    <w:rsid w:val="00B82819"/>
    <w:rsid w:val="00B83A8F"/>
    <w:rsid w:val="00B853D5"/>
    <w:rsid w:val="00B856DD"/>
    <w:rsid w:val="00B86022"/>
    <w:rsid w:val="00B908C9"/>
    <w:rsid w:val="00B91444"/>
    <w:rsid w:val="00B934A6"/>
    <w:rsid w:val="00B9373D"/>
    <w:rsid w:val="00B93BD0"/>
    <w:rsid w:val="00B958E7"/>
    <w:rsid w:val="00B97F9B"/>
    <w:rsid w:val="00BA25F6"/>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6C8"/>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05CA"/>
    <w:rsid w:val="00C4446E"/>
    <w:rsid w:val="00C457A2"/>
    <w:rsid w:val="00C4607F"/>
    <w:rsid w:val="00C53A53"/>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3503"/>
    <w:rsid w:val="00C9414E"/>
    <w:rsid w:val="00C950B4"/>
    <w:rsid w:val="00C952C6"/>
    <w:rsid w:val="00C95E2A"/>
    <w:rsid w:val="00CA3212"/>
    <w:rsid w:val="00CA3644"/>
    <w:rsid w:val="00CA5169"/>
    <w:rsid w:val="00CB078D"/>
    <w:rsid w:val="00CB08EA"/>
    <w:rsid w:val="00CB2908"/>
    <w:rsid w:val="00CB399E"/>
    <w:rsid w:val="00CB5D7D"/>
    <w:rsid w:val="00CC009E"/>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19FE"/>
    <w:rsid w:val="00CF6960"/>
    <w:rsid w:val="00D00C86"/>
    <w:rsid w:val="00D02269"/>
    <w:rsid w:val="00D04963"/>
    <w:rsid w:val="00D04DB0"/>
    <w:rsid w:val="00D04EFD"/>
    <w:rsid w:val="00D05475"/>
    <w:rsid w:val="00D111DF"/>
    <w:rsid w:val="00D130E3"/>
    <w:rsid w:val="00D13A95"/>
    <w:rsid w:val="00D15176"/>
    <w:rsid w:val="00D209FB"/>
    <w:rsid w:val="00D22738"/>
    <w:rsid w:val="00D23CB9"/>
    <w:rsid w:val="00D252B2"/>
    <w:rsid w:val="00D27078"/>
    <w:rsid w:val="00D302A2"/>
    <w:rsid w:val="00D30DAA"/>
    <w:rsid w:val="00D313A3"/>
    <w:rsid w:val="00D343D8"/>
    <w:rsid w:val="00D347E0"/>
    <w:rsid w:val="00D34AD8"/>
    <w:rsid w:val="00D354C2"/>
    <w:rsid w:val="00D359B7"/>
    <w:rsid w:val="00D41FCC"/>
    <w:rsid w:val="00D42333"/>
    <w:rsid w:val="00D42D5A"/>
    <w:rsid w:val="00D4304C"/>
    <w:rsid w:val="00D443D8"/>
    <w:rsid w:val="00D4618E"/>
    <w:rsid w:val="00D46E32"/>
    <w:rsid w:val="00D47918"/>
    <w:rsid w:val="00D531D5"/>
    <w:rsid w:val="00D539C6"/>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D75"/>
    <w:rsid w:val="00D767D0"/>
    <w:rsid w:val="00D77850"/>
    <w:rsid w:val="00D815EA"/>
    <w:rsid w:val="00D81CDC"/>
    <w:rsid w:val="00D84FE2"/>
    <w:rsid w:val="00D84FE8"/>
    <w:rsid w:val="00D8568B"/>
    <w:rsid w:val="00D85A2E"/>
    <w:rsid w:val="00D866F3"/>
    <w:rsid w:val="00D87DEB"/>
    <w:rsid w:val="00D918DB"/>
    <w:rsid w:val="00D937FF"/>
    <w:rsid w:val="00D94C3B"/>
    <w:rsid w:val="00D94FDC"/>
    <w:rsid w:val="00D95C45"/>
    <w:rsid w:val="00D9655B"/>
    <w:rsid w:val="00DA1392"/>
    <w:rsid w:val="00DA2683"/>
    <w:rsid w:val="00DA26DF"/>
    <w:rsid w:val="00DA2A23"/>
    <w:rsid w:val="00DA2C92"/>
    <w:rsid w:val="00DA5700"/>
    <w:rsid w:val="00DB154D"/>
    <w:rsid w:val="00DB15FB"/>
    <w:rsid w:val="00DB3B5F"/>
    <w:rsid w:val="00DB44F3"/>
    <w:rsid w:val="00DB59FD"/>
    <w:rsid w:val="00DB6614"/>
    <w:rsid w:val="00DC097A"/>
    <w:rsid w:val="00DC136C"/>
    <w:rsid w:val="00DC3A1A"/>
    <w:rsid w:val="00DC441A"/>
    <w:rsid w:val="00DC44A0"/>
    <w:rsid w:val="00DC5921"/>
    <w:rsid w:val="00DC5BDD"/>
    <w:rsid w:val="00DC5E24"/>
    <w:rsid w:val="00DC6304"/>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A42"/>
    <w:rsid w:val="00DE684E"/>
    <w:rsid w:val="00DE6E3F"/>
    <w:rsid w:val="00DE79C9"/>
    <w:rsid w:val="00DE7D59"/>
    <w:rsid w:val="00DF18C1"/>
    <w:rsid w:val="00DF1AD9"/>
    <w:rsid w:val="00DF21C9"/>
    <w:rsid w:val="00DF3927"/>
    <w:rsid w:val="00DF3C71"/>
    <w:rsid w:val="00DF538D"/>
    <w:rsid w:val="00DF6BB3"/>
    <w:rsid w:val="00DF755E"/>
    <w:rsid w:val="00DF7567"/>
    <w:rsid w:val="00E01584"/>
    <w:rsid w:val="00E040D8"/>
    <w:rsid w:val="00E042F4"/>
    <w:rsid w:val="00E04732"/>
    <w:rsid w:val="00E0490E"/>
    <w:rsid w:val="00E05B9F"/>
    <w:rsid w:val="00E100F3"/>
    <w:rsid w:val="00E10C0C"/>
    <w:rsid w:val="00E11A1D"/>
    <w:rsid w:val="00E13333"/>
    <w:rsid w:val="00E16D19"/>
    <w:rsid w:val="00E201EE"/>
    <w:rsid w:val="00E20DF3"/>
    <w:rsid w:val="00E21D52"/>
    <w:rsid w:val="00E21D8E"/>
    <w:rsid w:val="00E22E53"/>
    <w:rsid w:val="00E23AF4"/>
    <w:rsid w:val="00E27089"/>
    <w:rsid w:val="00E27AAE"/>
    <w:rsid w:val="00E30C1D"/>
    <w:rsid w:val="00E31619"/>
    <w:rsid w:val="00E34FAC"/>
    <w:rsid w:val="00E358AC"/>
    <w:rsid w:val="00E36408"/>
    <w:rsid w:val="00E36A37"/>
    <w:rsid w:val="00E40225"/>
    <w:rsid w:val="00E40A6F"/>
    <w:rsid w:val="00E417E3"/>
    <w:rsid w:val="00E43799"/>
    <w:rsid w:val="00E43A72"/>
    <w:rsid w:val="00E43F64"/>
    <w:rsid w:val="00E44FE7"/>
    <w:rsid w:val="00E54722"/>
    <w:rsid w:val="00E547F0"/>
    <w:rsid w:val="00E55A96"/>
    <w:rsid w:val="00E577F2"/>
    <w:rsid w:val="00E60D00"/>
    <w:rsid w:val="00E6304E"/>
    <w:rsid w:val="00E63C52"/>
    <w:rsid w:val="00E6613C"/>
    <w:rsid w:val="00E6637B"/>
    <w:rsid w:val="00E67D1E"/>
    <w:rsid w:val="00E7033D"/>
    <w:rsid w:val="00E72AC8"/>
    <w:rsid w:val="00E75584"/>
    <w:rsid w:val="00E77B59"/>
    <w:rsid w:val="00E80ED9"/>
    <w:rsid w:val="00E817B9"/>
    <w:rsid w:val="00E8298A"/>
    <w:rsid w:val="00E83332"/>
    <w:rsid w:val="00E84DF2"/>
    <w:rsid w:val="00E84F99"/>
    <w:rsid w:val="00E86AB5"/>
    <w:rsid w:val="00E86FCB"/>
    <w:rsid w:val="00E87A1A"/>
    <w:rsid w:val="00E90A56"/>
    <w:rsid w:val="00E92F16"/>
    <w:rsid w:val="00E945E7"/>
    <w:rsid w:val="00E95F43"/>
    <w:rsid w:val="00E96201"/>
    <w:rsid w:val="00E96CDA"/>
    <w:rsid w:val="00E97D2F"/>
    <w:rsid w:val="00EA27A2"/>
    <w:rsid w:val="00EA28AA"/>
    <w:rsid w:val="00EA38D5"/>
    <w:rsid w:val="00EA393F"/>
    <w:rsid w:val="00EA5DC9"/>
    <w:rsid w:val="00EA62B1"/>
    <w:rsid w:val="00EA7EFB"/>
    <w:rsid w:val="00EB0DD8"/>
    <w:rsid w:val="00EB2E3F"/>
    <w:rsid w:val="00EB30DB"/>
    <w:rsid w:val="00EB4B17"/>
    <w:rsid w:val="00EB7EF3"/>
    <w:rsid w:val="00EC068E"/>
    <w:rsid w:val="00EC0FDA"/>
    <w:rsid w:val="00EC3BF9"/>
    <w:rsid w:val="00EC3CCE"/>
    <w:rsid w:val="00EC4D3D"/>
    <w:rsid w:val="00EC53D2"/>
    <w:rsid w:val="00EC60BB"/>
    <w:rsid w:val="00EC66CA"/>
    <w:rsid w:val="00EC7ADB"/>
    <w:rsid w:val="00ED01C1"/>
    <w:rsid w:val="00ED2A13"/>
    <w:rsid w:val="00ED30EF"/>
    <w:rsid w:val="00ED40B2"/>
    <w:rsid w:val="00ED4E9F"/>
    <w:rsid w:val="00ED4F73"/>
    <w:rsid w:val="00ED6A08"/>
    <w:rsid w:val="00EE0450"/>
    <w:rsid w:val="00EE37C8"/>
    <w:rsid w:val="00EE7A85"/>
    <w:rsid w:val="00EF45D4"/>
    <w:rsid w:val="00EF59CB"/>
    <w:rsid w:val="00F016FA"/>
    <w:rsid w:val="00F02173"/>
    <w:rsid w:val="00F03319"/>
    <w:rsid w:val="00F048D9"/>
    <w:rsid w:val="00F04E22"/>
    <w:rsid w:val="00F05755"/>
    <w:rsid w:val="00F07AB9"/>
    <w:rsid w:val="00F125FF"/>
    <w:rsid w:val="00F12CF0"/>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4BB2"/>
    <w:rsid w:val="00F5712B"/>
    <w:rsid w:val="00F57A04"/>
    <w:rsid w:val="00F644CD"/>
    <w:rsid w:val="00F64611"/>
    <w:rsid w:val="00F65523"/>
    <w:rsid w:val="00F6664A"/>
    <w:rsid w:val="00F7052D"/>
    <w:rsid w:val="00F71244"/>
    <w:rsid w:val="00F737C1"/>
    <w:rsid w:val="00F768B9"/>
    <w:rsid w:val="00F80D9C"/>
    <w:rsid w:val="00F825B6"/>
    <w:rsid w:val="00F83728"/>
    <w:rsid w:val="00F83DB6"/>
    <w:rsid w:val="00F85C74"/>
    <w:rsid w:val="00F9045E"/>
    <w:rsid w:val="00F9268E"/>
    <w:rsid w:val="00F92697"/>
    <w:rsid w:val="00F92D90"/>
    <w:rsid w:val="00F962E5"/>
    <w:rsid w:val="00FA06A9"/>
    <w:rsid w:val="00FA093F"/>
    <w:rsid w:val="00FA0AE0"/>
    <w:rsid w:val="00FA3E37"/>
    <w:rsid w:val="00FA546C"/>
    <w:rsid w:val="00FA66CB"/>
    <w:rsid w:val="00FA76F1"/>
    <w:rsid w:val="00FB15A3"/>
    <w:rsid w:val="00FB2497"/>
    <w:rsid w:val="00FB4B5C"/>
    <w:rsid w:val="00FB5D4F"/>
    <w:rsid w:val="00FB729A"/>
    <w:rsid w:val="00FC11BE"/>
    <w:rsid w:val="00FC3E30"/>
    <w:rsid w:val="00FC4B01"/>
    <w:rsid w:val="00FC55AB"/>
    <w:rsid w:val="00FC687B"/>
    <w:rsid w:val="00FC726E"/>
    <w:rsid w:val="00FC74B1"/>
    <w:rsid w:val="00FD107E"/>
    <w:rsid w:val="00FD3C2E"/>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6F25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17">
    <w:name w:val="Unresolved Mention17"/>
    <w:rsid w:val="00FB5D4F"/>
    <w:rPr>
      <w:color w:val="605E5C"/>
      <w:shd w:val="clear" w:color="auto" w:fill="E1DFDD"/>
    </w:rPr>
  </w:style>
  <w:style w:type="character" w:customStyle="1" w:styleId="UnresolvedMention">
    <w:name w:val="Unresolved Mention"/>
    <w:rsid w:val="00E8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