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6C2633"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C2633" w:rsidP="006C2633" w14:paraId="5929A502" w14:textId="7FE24434">
      <w:pPr>
        <w:jc w:val="center"/>
        <w:rPr>
          <w:b/>
          <w:szCs w:val="22"/>
        </w:rPr>
      </w:pPr>
      <w:r w:rsidRPr="006D5400">
        <w:rPr>
          <w:b/>
          <w:szCs w:val="22"/>
        </w:rPr>
        <w:t>Washington, D.C. 20554</w:t>
      </w:r>
    </w:p>
    <w:p w:rsidR="00313EF3" w:rsidRPr="006D5400" w14:paraId="2DAC268D" w14:textId="77777777">
      <w:pPr>
        <w:tabs>
          <w:tab w:val="left" w:pos="-720"/>
        </w:tabs>
        <w:suppressAutoHyphens/>
        <w:spacing w:line="227" w:lineRule="auto"/>
        <w:rPr>
          <w:spacing w:val="-2"/>
          <w:szCs w:val="22"/>
        </w:rPr>
      </w:pPr>
    </w:p>
    <w:tbl>
      <w:tblPr>
        <w:tblW w:w="9632" w:type="dxa"/>
        <w:tblLayout w:type="fixed"/>
        <w:tblLook w:val="0000"/>
      </w:tblPr>
      <w:tblGrid>
        <w:gridCol w:w="4726"/>
        <w:gridCol w:w="632"/>
        <w:gridCol w:w="4274"/>
      </w:tblGrid>
      <w:tr w14:paraId="030B9D5D" w14:textId="77777777" w:rsidTr="007D108F">
        <w:tblPrEx>
          <w:tblW w:w="9632" w:type="dxa"/>
          <w:tblLayout w:type="fixed"/>
          <w:tblLook w:val="0000"/>
        </w:tblPrEx>
        <w:trPr>
          <w:trHeight w:val="1586"/>
        </w:trPr>
        <w:tc>
          <w:tcPr>
            <w:tcW w:w="4726"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2DF24938">
            <w:pPr>
              <w:tabs>
                <w:tab w:val="center" w:pos="4680"/>
              </w:tabs>
              <w:suppressAutoHyphens/>
              <w:rPr>
                <w:szCs w:val="22"/>
              </w:rPr>
            </w:pPr>
            <w:r>
              <w:rPr>
                <w:szCs w:val="22"/>
              </w:rPr>
              <w:t>Clear Rate Communications</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2"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E84E6A" w:rsidRPr="006D5400" w14:paraId="3DD607C9" w14:textId="77777777">
            <w:pPr>
              <w:tabs>
                <w:tab w:val="center" w:pos="4680"/>
              </w:tabs>
              <w:suppressAutoHyphens/>
              <w:rPr>
                <w:b/>
                <w:spacing w:val="-2"/>
                <w:szCs w:val="22"/>
              </w:rPr>
            </w:pPr>
          </w:p>
        </w:tc>
        <w:tc>
          <w:tcPr>
            <w:tcW w:w="4274"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0E4B4A83">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3F3C18">
              <w:rPr>
                <w:szCs w:val="22"/>
              </w:rPr>
              <w:t>6</w:t>
            </w:r>
            <w:r w:rsidR="00623597">
              <w:rPr>
                <w:szCs w:val="22"/>
              </w:rPr>
              <w:t>488650</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7D108F"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770DF1F3">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BA39DF">
        <w:rPr>
          <w:b/>
          <w:spacing w:val="-2"/>
          <w:szCs w:val="22"/>
        </w:rPr>
        <w:t>October 20</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3F3C18">
        <w:rPr>
          <w:b/>
          <w:spacing w:val="-2"/>
          <w:szCs w:val="22"/>
        </w:rPr>
        <w:t>3</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BA39DF">
        <w:rPr>
          <w:b/>
          <w:spacing w:val="-2"/>
          <w:szCs w:val="22"/>
        </w:rPr>
        <w:t>October 24</w:t>
      </w:r>
      <w:r w:rsidRPr="006D5400" w:rsidR="00236AA1">
        <w:rPr>
          <w:b/>
          <w:spacing w:val="-2"/>
          <w:szCs w:val="22"/>
        </w:rPr>
        <w:t xml:space="preserve">, </w:t>
      </w:r>
      <w:r w:rsidRPr="006D5400">
        <w:rPr>
          <w:b/>
          <w:spacing w:val="-2"/>
          <w:szCs w:val="22"/>
        </w:rPr>
        <w:t>20</w:t>
      </w:r>
      <w:r w:rsidR="003A5B5A">
        <w:rPr>
          <w:b/>
          <w:spacing w:val="-2"/>
          <w:szCs w:val="22"/>
        </w:rPr>
        <w:t>2</w:t>
      </w:r>
      <w:r w:rsidR="003F3C18">
        <w:rPr>
          <w:b/>
          <w:spacing w:val="-2"/>
          <w:szCs w:val="22"/>
        </w:rPr>
        <w:t>3</w:t>
      </w:r>
    </w:p>
    <w:p w:rsidR="00313EF3" w:rsidRPr="006D5400" w14:paraId="6B2525FA" w14:textId="77777777">
      <w:pPr>
        <w:rPr>
          <w:szCs w:val="22"/>
        </w:rPr>
      </w:pPr>
    </w:p>
    <w:p w:rsidR="00313EF3" w:rsidRPr="006D5400" w:rsidP="0062716E" w14:paraId="0B2EEA6D" w14:textId="33C07B6A">
      <w:pPr>
        <w:spacing w:after="120"/>
        <w:rPr>
          <w:szCs w:val="22"/>
        </w:rPr>
      </w:pPr>
      <w:r w:rsidRPr="006D5400">
        <w:rPr>
          <w:szCs w:val="22"/>
        </w:rPr>
        <w:t xml:space="preserve">By the </w:t>
      </w:r>
      <w:r w:rsidR="006C2633">
        <w:rPr>
          <w:szCs w:val="22"/>
        </w:rPr>
        <w:t xml:space="preserve">Acting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5E9F3A56">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AF029A">
        <w:rPr>
          <w:szCs w:val="22"/>
        </w:rPr>
        <w:t>Clear Rate</w:t>
      </w:r>
      <w:r w:rsidR="00A425B9">
        <w:rPr>
          <w:szCs w:val="22"/>
        </w:rPr>
        <w:t xml:space="preserve"> Communication</w:t>
      </w:r>
      <w:r w:rsidR="00006447">
        <w:rPr>
          <w:szCs w:val="22"/>
        </w:rPr>
        <w:t>s</w:t>
      </w:r>
      <w:r w:rsidR="00AF029A">
        <w:rPr>
          <w:szCs w:val="22"/>
        </w:rPr>
        <w:t xml:space="preserve"> (Clear Rate)</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F029A">
        <w:rPr>
          <w:szCs w:val="22"/>
        </w:rPr>
        <w:t>Clear Rate</w:t>
      </w:r>
      <w:r w:rsidR="005500D5">
        <w:rPr>
          <w:szCs w:val="22"/>
        </w:rPr>
        <w:t>’</w:t>
      </w:r>
      <w:r w:rsidR="00AF029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5836C7D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Pr>
          <w:szCs w:val="22"/>
        </w:rPr>
        <w:t xml:space="preserve"> </w:t>
      </w:r>
    </w:p>
    <w:p w:rsidR="002C332E" w:rsidRPr="006D5400" w:rsidP="0062716E" w14:paraId="101EE41A" w14:textId="78A48DC0">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 xml:space="preserve">telecommunications </w:t>
      </w:r>
      <w:r w:rsidRPr="006D5400">
        <w:rPr>
          <w:szCs w:val="22"/>
        </w:rPr>
        <w:t>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F029A">
        <w:t>Clear Rate</w:t>
      </w:r>
      <w:r w:rsidR="00C335BA">
        <w:t xml:space="preserve"> of the complaint</w:t>
      </w:r>
      <w:r w:rsidRPr="00142D97" w:rsidR="00C335BA">
        <w:t>.</w:t>
      </w:r>
      <w:r>
        <w:rPr>
          <w:rStyle w:val="FootnoteReference"/>
        </w:rPr>
        <w:footnoteReference w:id="9"/>
      </w:r>
      <w:r w:rsidRPr="00142D97" w:rsidR="00C335BA">
        <w:t xml:space="preserve">  </w:t>
      </w:r>
      <w:r w:rsidR="00AF029A">
        <w:t>Clear Rate</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AF029A">
        <w:t>Clear Rate</w:t>
      </w:r>
      <w:r w:rsidR="00BE0490">
        <w:t xml:space="preserve"> </w:t>
      </w:r>
      <w:r w:rsidR="005500D5">
        <w:t xml:space="preserve">submitted </w:t>
      </w:r>
      <w:r w:rsidR="00BE0490">
        <w:t>with its response and find that</w:t>
      </w:r>
      <w:r w:rsidR="00995AF9">
        <w:t>,</w:t>
      </w:r>
      <w:r w:rsidR="00BE0490">
        <w:t xml:space="preserve"> </w:t>
      </w:r>
      <w:r w:rsidR="00995AF9">
        <w:t>in this case, the TPV</w:t>
      </w:r>
      <w:r w:rsidR="00BA5996">
        <w:t xml:space="preserve">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F029A">
        <w:t>Clear Rate</w:t>
      </w:r>
      <w:r w:rsidR="004142C6">
        <w:t>’</w:t>
      </w:r>
      <w:r w:rsidR="00AF029A">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16405A7D">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F029A">
        <w:rPr>
          <w:szCs w:val="22"/>
        </w:rPr>
        <w:t>Clear Rate</w:t>
      </w:r>
      <w:r w:rsidR="00382B62">
        <w:rPr>
          <w:szCs w:val="22"/>
        </w:rPr>
        <w:t xml:space="preserve"> </w:t>
      </w:r>
      <w:r w:rsidR="006A32D6">
        <w:rPr>
          <w:szCs w:val="22"/>
        </w:rPr>
        <w:t>Communications</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4322F7F5">
      <w:pPr>
        <w:ind w:left="3600" w:right="270" w:firstLine="720"/>
        <w:rPr>
          <w:szCs w:val="22"/>
        </w:rPr>
      </w:pPr>
      <w:r>
        <w:rPr>
          <w:szCs w:val="22"/>
        </w:rPr>
        <w:t>K</w:t>
      </w:r>
      <w:r w:rsidR="00382B62">
        <w:rPr>
          <w:szCs w:val="22"/>
        </w:rPr>
        <w:t>risti Thornton</w:t>
      </w:r>
    </w:p>
    <w:p w:rsidR="00313EF3" w:rsidRPr="006D5400" w:rsidP="001F52FE" w14:paraId="67045F2F" w14:textId="77D112EF">
      <w:pPr>
        <w:ind w:left="3600" w:right="270" w:firstLine="720"/>
        <w:rPr>
          <w:szCs w:val="22"/>
        </w:rPr>
      </w:pPr>
      <w:r>
        <w:rPr>
          <w:szCs w:val="22"/>
        </w:rPr>
        <w:t xml:space="preserve">Acting </w:t>
      </w:r>
      <w:r w:rsidR="0011768C">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28F1F3B5">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3F3C18">
        <w:t>6</w:t>
      </w:r>
      <w:r w:rsidR="00623597">
        <w:t>488650</w:t>
      </w:r>
      <w:r w:rsidR="00A10E59">
        <w:t xml:space="preserve"> (filed </w:t>
      </w:r>
      <w:r w:rsidR="00623597">
        <w:t>Sept. 28</w:t>
      </w:r>
      <w:r w:rsidR="00382B62">
        <w:t>, 202</w:t>
      </w:r>
      <w:r w:rsidR="003F3C18">
        <w:t>3</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0C86FD42">
      <w:pPr>
        <w:pStyle w:val="FootnoteText"/>
        <w:spacing w:after="120"/>
      </w:pPr>
      <w:r>
        <w:rPr>
          <w:rStyle w:val="FootnoteReference"/>
        </w:rPr>
        <w:footnoteRef/>
      </w:r>
      <w:r>
        <w:t xml:space="preserve"> </w:t>
      </w:r>
      <w:r w:rsidRPr="00392549">
        <w:rPr>
          <w:i/>
          <w:iCs/>
        </w:rPr>
        <w:t>See</w:t>
      </w:r>
      <w:r>
        <w:t xml:space="preserve"> Informal Complaint No.</w:t>
      </w:r>
      <w:r w:rsidR="003F3C18">
        <w:t xml:space="preserve"> 6</w:t>
      </w:r>
      <w:r w:rsidR="00623597">
        <w:t>488650 (filed Sept. 28, 2023)</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4A492D" w:rsidRPr="004A492D" w:rsidP="004A492D" w14:paraId="4ECF11F0" w14:textId="145A77E9">
      <w:pPr>
        <w:widowControl/>
        <w:autoSpaceDE w:val="0"/>
        <w:autoSpaceDN w:val="0"/>
        <w:adjustRightInd w:val="0"/>
        <w:spacing w:after="120"/>
        <w:jc w:val="left"/>
        <w:rPr>
          <w:sz w:val="20"/>
        </w:rPr>
      </w:pPr>
      <w:r>
        <w:rPr>
          <w:rStyle w:val="FootnoteReference"/>
        </w:rPr>
        <w:footnoteRef/>
      </w:r>
      <w:r>
        <w:t xml:space="preserve"> </w:t>
      </w:r>
      <w:r w:rsidRPr="00601926">
        <w:rPr>
          <w:i/>
          <w:sz w:val="20"/>
        </w:rPr>
        <w:t>See</w:t>
      </w:r>
      <w:r w:rsidRPr="00601926">
        <w:rPr>
          <w:sz w:val="20"/>
        </w:rPr>
        <w:t xml:space="preserve"> </w:t>
      </w:r>
      <w:r w:rsidRPr="00601926" w:rsidR="00AF029A">
        <w:rPr>
          <w:sz w:val="20"/>
        </w:rPr>
        <w:t>Clear Rate</w:t>
      </w:r>
      <w:r w:rsidRPr="00601926" w:rsidR="004142C6">
        <w:rPr>
          <w:sz w:val="20"/>
        </w:rPr>
        <w:t xml:space="preserve"> </w:t>
      </w:r>
      <w:r w:rsidRPr="00601926">
        <w:rPr>
          <w:sz w:val="20"/>
        </w:rPr>
        <w:t xml:space="preserve">Response to Informal Complaint No. </w:t>
      </w:r>
      <w:r w:rsidRPr="00601926" w:rsidR="007E4791">
        <w:rPr>
          <w:sz w:val="20"/>
        </w:rPr>
        <w:t>6</w:t>
      </w:r>
      <w:r w:rsidRPr="00601926" w:rsidR="00601926">
        <w:rPr>
          <w:sz w:val="20"/>
        </w:rPr>
        <w:t>488650</w:t>
      </w:r>
      <w:r w:rsidRPr="00601926">
        <w:rPr>
          <w:sz w:val="20"/>
        </w:rPr>
        <w:t xml:space="preserve"> (filed </w:t>
      </w:r>
      <w:r w:rsidRPr="00601926" w:rsidR="00601926">
        <w:rPr>
          <w:sz w:val="20"/>
        </w:rPr>
        <w:t>Oct.</w:t>
      </w:r>
      <w:r w:rsidRPr="00601926" w:rsidR="007E4791">
        <w:rPr>
          <w:sz w:val="20"/>
        </w:rPr>
        <w:t xml:space="preserve"> </w:t>
      </w:r>
      <w:r w:rsidRPr="00601926" w:rsidR="00601926">
        <w:rPr>
          <w:sz w:val="20"/>
        </w:rPr>
        <w:t>4</w:t>
      </w:r>
      <w:r w:rsidRPr="00601926" w:rsidR="007E4791">
        <w:rPr>
          <w:sz w:val="20"/>
        </w:rPr>
        <w:t>,</w:t>
      </w:r>
      <w:r w:rsidRPr="00601926" w:rsidR="00382B62">
        <w:rPr>
          <w:sz w:val="20"/>
        </w:rPr>
        <w:t xml:space="preserve"> 202</w:t>
      </w:r>
      <w:r w:rsidRPr="00601926" w:rsidR="007E4791">
        <w:rPr>
          <w:sz w:val="20"/>
        </w:rPr>
        <w:t>3</w:t>
      </w:r>
      <w:r w:rsidRPr="00601926">
        <w:rPr>
          <w:sz w:val="20"/>
        </w:rPr>
        <w:t>)</w:t>
      </w:r>
      <w:r w:rsidRPr="00601926" w:rsidR="0091435F">
        <w:rPr>
          <w:sz w:val="20"/>
        </w:rPr>
        <w:t xml:space="preserve"> (</w:t>
      </w:r>
      <w:r w:rsidRPr="00601926" w:rsidR="0091435F">
        <w:rPr>
          <w:i/>
          <w:iCs/>
          <w:sz w:val="20"/>
        </w:rPr>
        <w:t>Clear Rate Response</w:t>
      </w:r>
      <w:r w:rsidRPr="00601926" w:rsidR="0091435F">
        <w:rPr>
          <w:sz w:val="20"/>
        </w:rPr>
        <w:t>)</w:t>
      </w:r>
      <w:r w:rsidRPr="00601926">
        <w:rPr>
          <w:sz w:val="20"/>
        </w:rPr>
        <w:t>.</w:t>
      </w:r>
      <w:r w:rsidRPr="00601926" w:rsidR="007C3627">
        <w:rPr>
          <w:sz w:val="20"/>
        </w:rPr>
        <w:t xml:space="preserve"> </w:t>
      </w:r>
      <w:r w:rsidRPr="00601926" w:rsidR="00640B55">
        <w:rPr>
          <w:sz w:val="20"/>
        </w:rPr>
        <w:t xml:space="preserve"> </w:t>
      </w:r>
      <w:r w:rsidRPr="00601926" w:rsidR="006C186F">
        <w:rPr>
          <w:sz w:val="20"/>
        </w:rPr>
        <w:t>A</w:t>
      </w:r>
      <w:r w:rsidRPr="00601926" w:rsidR="00640B55">
        <w:rPr>
          <w:sz w:val="20"/>
        </w:rPr>
        <w:t xml:space="preserve">ccording to Clear Rate, </w:t>
      </w:r>
      <w:r w:rsidR="00601926">
        <w:rPr>
          <w:sz w:val="20"/>
        </w:rPr>
        <w:t xml:space="preserve">Complainant </w:t>
      </w:r>
      <w:r w:rsidRPr="00601926" w:rsidR="00601926">
        <w:rPr>
          <w:snapToGrid/>
          <w:kern w:val="0"/>
          <w:sz w:val="20"/>
        </w:rPr>
        <w:t xml:space="preserve">was contacted by </w:t>
      </w:r>
      <w:r>
        <w:rPr>
          <w:snapToGrid/>
          <w:kern w:val="0"/>
          <w:sz w:val="20"/>
        </w:rPr>
        <w:t>its</w:t>
      </w:r>
      <w:r w:rsidRPr="00601926" w:rsidR="00601926">
        <w:rPr>
          <w:snapToGrid/>
          <w:kern w:val="0"/>
          <w:sz w:val="20"/>
        </w:rPr>
        <w:t xml:space="preserve"> sales representative and offered Clear Rate</w:t>
      </w:r>
      <w:r>
        <w:rPr>
          <w:snapToGrid/>
          <w:kern w:val="0"/>
          <w:sz w:val="20"/>
        </w:rPr>
        <w:t>’s</w:t>
      </w:r>
      <w:r w:rsidRPr="00601926" w:rsidR="00601926">
        <w:rPr>
          <w:snapToGrid/>
          <w:kern w:val="0"/>
          <w:sz w:val="20"/>
        </w:rPr>
        <w:t xml:space="preserve"> National Unlimited Plan</w:t>
      </w:r>
      <w:r>
        <w:rPr>
          <w:snapToGrid/>
          <w:kern w:val="0"/>
          <w:sz w:val="20"/>
        </w:rPr>
        <w:t xml:space="preserve">.  </w:t>
      </w:r>
      <w:r w:rsidRPr="004A492D">
        <w:rPr>
          <w:snapToGrid/>
          <w:kern w:val="0"/>
          <w:sz w:val="20"/>
        </w:rPr>
        <w:t xml:space="preserve">Clear Rate states that </w:t>
      </w:r>
      <w:r w:rsidRPr="004A492D" w:rsidR="00601926">
        <w:rPr>
          <w:snapToGrid/>
          <w:kern w:val="0"/>
          <w:sz w:val="20"/>
        </w:rPr>
        <w:t xml:space="preserve">Complainant </w:t>
      </w:r>
      <w:r w:rsidRPr="004A492D">
        <w:rPr>
          <w:snapToGrid/>
          <w:kern w:val="0"/>
          <w:sz w:val="20"/>
        </w:rPr>
        <w:t xml:space="preserve">authorized the carrier switch and </w:t>
      </w:r>
      <w:r w:rsidRPr="004A492D" w:rsidR="00601926">
        <w:rPr>
          <w:snapToGrid/>
          <w:kern w:val="0"/>
          <w:sz w:val="20"/>
        </w:rPr>
        <w:t>agreed</w:t>
      </w:r>
      <w:r w:rsidRPr="004A492D">
        <w:rPr>
          <w:snapToGrid/>
          <w:kern w:val="0"/>
          <w:sz w:val="20"/>
        </w:rPr>
        <w:t xml:space="preserve"> </w:t>
      </w:r>
      <w:r w:rsidRPr="004A492D" w:rsidR="00601926">
        <w:rPr>
          <w:snapToGrid/>
          <w:kern w:val="0"/>
          <w:sz w:val="20"/>
        </w:rPr>
        <w:t>to a one-year</w:t>
      </w:r>
      <w:r w:rsidRPr="004A492D">
        <w:rPr>
          <w:snapToGrid/>
          <w:kern w:val="0"/>
          <w:sz w:val="20"/>
        </w:rPr>
        <w:t xml:space="preserve"> </w:t>
      </w:r>
      <w:r w:rsidRPr="004A492D" w:rsidR="00601926">
        <w:rPr>
          <w:snapToGrid/>
          <w:kern w:val="0"/>
          <w:sz w:val="20"/>
        </w:rPr>
        <w:t>commitment</w:t>
      </w:r>
      <w:r>
        <w:rPr>
          <w:snapToGrid/>
          <w:kern w:val="0"/>
          <w:sz w:val="20"/>
        </w:rPr>
        <w:t>.</w:t>
      </w:r>
      <w:r w:rsidRPr="004A492D" w:rsidR="006B5712">
        <w:rPr>
          <w:sz w:val="20"/>
        </w:rPr>
        <w:t xml:space="preserve">  </w:t>
      </w:r>
      <w:r w:rsidRPr="004A492D" w:rsidR="006B5712">
        <w:rPr>
          <w:i/>
          <w:iCs/>
          <w:sz w:val="20"/>
        </w:rPr>
        <w:t>See</w:t>
      </w:r>
      <w:r>
        <w:rPr>
          <w:i/>
          <w:iCs/>
          <w:sz w:val="20"/>
        </w:rPr>
        <w:t xml:space="preserve"> Clear Rate Response</w:t>
      </w:r>
      <w:r>
        <w:rPr>
          <w:sz w:val="20"/>
        </w:rPr>
        <w:t xml:space="preserve"> at </w:t>
      </w:r>
      <w:r w:rsidR="00995AF9">
        <w:rPr>
          <w:sz w:val="20"/>
        </w:rPr>
        <w:t xml:space="preserve">1; </w:t>
      </w:r>
      <w:r w:rsidR="00995AF9">
        <w:rPr>
          <w:i/>
          <w:iCs/>
          <w:sz w:val="20"/>
        </w:rPr>
        <w:t>see a</w:t>
      </w:r>
      <w:r w:rsidRPr="004A492D" w:rsidR="006B5712">
        <w:rPr>
          <w:i/>
          <w:iCs/>
          <w:sz w:val="20"/>
        </w:rPr>
        <w:t xml:space="preserve">lso </w:t>
      </w:r>
      <w:r w:rsidR="00995AF9">
        <w:rPr>
          <w:sz w:val="20"/>
        </w:rPr>
        <w:t xml:space="preserve">Updated </w:t>
      </w:r>
      <w:r w:rsidRPr="004A492D" w:rsidR="006B5712">
        <w:rPr>
          <w:sz w:val="20"/>
        </w:rPr>
        <w:t>Clear Rate</w:t>
      </w:r>
      <w:r w:rsidR="00995AF9">
        <w:rPr>
          <w:sz w:val="20"/>
        </w:rPr>
        <w:t xml:space="preserve"> Response to Informal Complaint No. 6488650</w:t>
      </w:r>
      <w:r w:rsidRPr="004A492D" w:rsidR="006B5712">
        <w:rPr>
          <w:sz w:val="20"/>
        </w:rPr>
        <w:t xml:space="preserve"> (filed Oct. 20, 2023)</w:t>
      </w:r>
      <w:r w:rsidR="00995AF9">
        <w:rPr>
          <w:sz w:val="20"/>
        </w:rPr>
        <w:t xml:space="preserve"> (noting that </w:t>
      </w:r>
      <w:r w:rsidRPr="004A492D" w:rsidR="00911C43">
        <w:rPr>
          <w:sz w:val="20"/>
        </w:rPr>
        <w:t>Complainant’s</w:t>
      </w:r>
      <w:r w:rsidRPr="004A492D" w:rsidR="00640B55">
        <w:rPr>
          <w:sz w:val="20"/>
        </w:rPr>
        <w:t xml:space="preserve"> account was still active </w:t>
      </w:r>
      <w:r w:rsidRPr="004A492D" w:rsidR="00911C43">
        <w:rPr>
          <w:sz w:val="20"/>
        </w:rPr>
        <w:t>with a past due balance</w:t>
      </w:r>
      <w:r w:rsidR="00995AF9">
        <w:rPr>
          <w:sz w:val="20"/>
        </w:rPr>
        <w:t>)</w:t>
      </w:r>
      <w:r w:rsidRPr="004A492D">
        <w:rPr>
          <w:sz w:val="20"/>
        </w:rPr>
        <w:t>.</w:t>
      </w:r>
    </w:p>
  </w:footnote>
  <w:footnote w:id="11">
    <w:p w:rsidR="00BE0490" w:rsidP="004A492D" w14:paraId="79D6156B" w14:textId="495B74C7">
      <w:pPr>
        <w:pStyle w:val="FootnoteText"/>
        <w:spacing w:after="120"/>
      </w:pPr>
      <w:r>
        <w:rPr>
          <w:rStyle w:val="FootnoteReference"/>
        </w:rPr>
        <w:footnoteRef/>
      </w:r>
      <w:r>
        <w:t xml:space="preserve"> </w:t>
      </w:r>
      <w:r w:rsidRPr="00194FBA">
        <w:rPr>
          <w:i/>
        </w:rPr>
        <w:t>See</w:t>
      </w:r>
      <w:r w:rsidRPr="00194FBA">
        <w:t xml:space="preserve"> 47 CFR §</w:t>
      </w:r>
      <w:r w:rsidR="007A2583">
        <w:t xml:space="preserve"> 64.1120</w:t>
      </w:r>
      <w:r w:rsidR="00F52B44">
        <w:t>(c)(3)(iii)</w:t>
      </w:r>
      <w:r w:rsidRPr="00194FBA">
        <w:t xml:space="preserve">.  </w:t>
      </w:r>
    </w:p>
  </w:footnote>
  <w:footnote w:id="12">
    <w:p w:rsidR="00EC4494" w:rsidP="004142C6" w14:paraId="30975A84" w14:textId="0DADED99">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w:t>
      </w:r>
      <w:r w:rsidR="00230726">
        <w:t>the</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65C15C4B">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3F3C18">
      <w:rPr>
        <w:b/>
        <w:spacing w:val="-2"/>
      </w:rPr>
      <w:t>3</w:t>
    </w:r>
    <w:r>
      <w:rPr>
        <w:b/>
        <w:spacing w:val="-2"/>
      </w:rPr>
      <w:t>-</w:t>
    </w:r>
    <w:r w:rsidR="00BA39DF">
      <w:rPr>
        <w:b/>
        <w:spacing w:val="-2"/>
      </w:rPr>
      <w:t>1004</w:t>
    </w:r>
  </w:p>
  <w:p w:rsidR="00EC4494" w14:paraId="357893A2" w14:textId="46BC78C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867513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34123152">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3F3C18">
      <w:t>3</w:t>
    </w:r>
    <w:r>
      <w:t>-</w:t>
    </w:r>
    <w:r w:rsidR="00BA39DF">
      <w:t>1004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06447"/>
    <w:rsid w:val="000228F2"/>
    <w:rsid w:val="00023C8E"/>
    <w:rsid w:val="0002797A"/>
    <w:rsid w:val="00034B5F"/>
    <w:rsid w:val="000436C2"/>
    <w:rsid w:val="0005108E"/>
    <w:rsid w:val="000609D0"/>
    <w:rsid w:val="000715F6"/>
    <w:rsid w:val="00097F5C"/>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4FBA"/>
    <w:rsid w:val="00195161"/>
    <w:rsid w:val="001A0861"/>
    <w:rsid w:val="001A7A2C"/>
    <w:rsid w:val="001C36B6"/>
    <w:rsid w:val="001C67AE"/>
    <w:rsid w:val="001E4CAB"/>
    <w:rsid w:val="001E68F1"/>
    <w:rsid w:val="001F2E5C"/>
    <w:rsid w:val="001F4128"/>
    <w:rsid w:val="001F52FE"/>
    <w:rsid w:val="001F6CF2"/>
    <w:rsid w:val="002137D1"/>
    <w:rsid w:val="0021434E"/>
    <w:rsid w:val="00230726"/>
    <w:rsid w:val="002354D5"/>
    <w:rsid w:val="002357D3"/>
    <w:rsid w:val="00236AA1"/>
    <w:rsid w:val="00236EDD"/>
    <w:rsid w:val="00237BAA"/>
    <w:rsid w:val="002431FD"/>
    <w:rsid w:val="002439C1"/>
    <w:rsid w:val="002479AB"/>
    <w:rsid w:val="00265A91"/>
    <w:rsid w:val="00283DF4"/>
    <w:rsid w:val="002960A7"/>
    <w:rsid w:val="002A3B0B"/>
    <w:rsid w:val="002C332E"/>
    <w:rsid w:val="002F4B88"/>
    <w:rsid w:val="003069E5"/>
    <w:rsid w:val="00307BB1"/>
    <w:rsid w:val="00310BAA"/>
    <w:rsid w:val="00313EF3"/>
    <w:rsid w:val="0031706B"/>
    <w:rsid w:val="00336CDA"/>
    <w:rsid w:val="003427C1"/>
    <w:rsid w:val="00353700"/>
    <w:rsid w:val="00360D54"/>
    <w:rsid w:val="00382B62"/>
    <w:rsid w:val="00385691"/>
    <w:rsid w:val="00392549"/>
    <w:rsid w:val="00395744"/>
    <w:rsid w:val="003A0E84"/>
    <w:rsid w:val="003A1EBA"/>
    <w:rsid w:val="003A5B5A"/>
    <w:rsid w:val="003C5092"/>
    <w:rsid w:val="003D32F8"/>
    <w:rsid w:val="003D5C00"/>
    <w:rsid w:val="003E5B69"/>
    <w:rsid w:val="003F3C18"/>
    <w:rsid w:val="003F7602"/>
    <w:rsid w:val="003F7D44"/>
    <w:rsid w:val="004142C6"/>
    <w:rsid w:val="00422B9B"/>
    <w:rsid w:val="004335FC"/>
    <w:rsid w:val="00454DF3"/>
    <w:rsid w:val="0047594E"/>
    <w:rsid w:val="004914A3"/>
    <w:rsid w:val="004A1686"/>
    <w:rsid w:val="004A400A"/>
    <w:rsid w:val="004A492D"/>
    <w:rsid w:val="004B2B90"/>
    <w:rsid w:val="004C3A89"/>
    <w:rsid w:val="004C3D84"/>
    <w:rsid w:val="004C7040"/>
    <w:rsid w:val="00510F6C"/>
    <w:rsid w:val="005265B9"/>
    <w:rsid w:val="005500D5"/>
    <w:rsid w:val="005561FD"/>
    <w:rsid w:val="00563A90"/>
    <w:rsid w:val="00566D7F"/>
    <w:rsid w:val="005772B2"/>
    <w:rsid w:val="00586E06"/>
    <w:rsid w:val="005A187A"/>
    <w:rsid w:val="005A6A46"/>
    <w:rsid w:val="005B2F11"/>
    <w:rsid w:val="005B796C"/>
    <w:rsid w:val="005C203E"/>
    <w:rsid w:val="005C4098"/>
    <w:rsid w:val="005D03A5"/>
    <w:rsid w:val="005D78D7"/>
    <w:rsid w:val="005E78CA"/>
    <w:rsid w:val="00601926"/>
    <w:rsid w:val="00606537"/>
    <w:rsid w:val="00622CD2"/>
    <w:rsid w:val="00623597"/>
    <w:rsid w:val="00623693"/>
    <w:rsid w:val="00623E7A"/>
    <w:rsid w:val="0062716E"/>
    <w:rsid w:val="0063192B"/>
    <w:rsid w:val="00640B55"/>
    <w:rsid w:val="00676CB9"/>
    <w:rsid w:val="00685FD6"/>
    <w:rsid w:val="00693AC8"/>
    <w:rsid w:val="00697A80"/>
    <w:rsid w:val="006A32D6"/>
    <w:rsid w:val="006A670F"/>
    <w:rsid w:val="006B0F44"/>
    <w:rsid w:val="006B5712"/>
    <w:rsid w:val="006C1015"/>
    <w:rsid w:val="006C186F"/>
    <w:rsid w:val="006C2633"/>
    <w:rsid w:val="006D5400"/>
    <w:rsid w:val="006E4C47"/>
    <w:rsid w:val="00727230"/>
    <w:rsid w:val="007368C0"/>
    <w:rsid w:val="0074254C"/>
    <w:rsid w:val="00750DAE"/>
    <w:rsid w:val="007546EE"/>
    <w:rsid w:val="00774600"/>
    <w:rsid w:val="00775878"/>
    <w:rsid w:val="00780927"/>
    <w:rsid w:val="007831C1"/>
    <w:rsid w:val="00795CE2"/>
    <w:rsid w:val="007A2583"/>
    <w:rsid w:val="007B65C8"/>
    <w:rsid w:val="007B67D3"/>
    <w:rsid w:val="007C3627"/>
    <w:rsid w:val="007D108F"/>
    <w:rsid w:val="007D2B0E"/>
    <w:rsid w:val="007D7FBB"/>
    <w:rsid w:val="007E0B90"/>
    <w:rsid w:val="007E4791"/>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1C43"/>
    <w:rsid w:val="0091268B"/>
    <w:rsid w:val="0091435F"/>
    <w:rsid w:val="00916312"/>
    <w:rsid w:val="00927544"/>
    <w:rsid w:val="00941EA5"/>
    <w:rsid w:val="0097045E"/>
    <w:rsid w:val="0097482E"/>
    <w:rsid w:val="00983C4E"/>
    <w:rsid w:val="00995AF9"/>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369D"/>
    <w:rsid w:val="00AD583F"/>
    <w:rsid w:val="00AE2D7C"/>
    <w:rsid w:val="00AF029A"/>
    <w:rsid w:val="00B0254C"/>
    <w:rsid w:val="00B030B5"/>
    <w:rsid w:val="00B10BFE"/>
    <w:rsid w:val="00B25D8D"/>
    <w:rsid w:val="00B329ED"/>
    <w:rsid w:val="00B3588A"/>
    <w:rsid w:val="00B46EF1"/>
    <w:rsid w:val="00B46FCC"/>
    <w:rsid w:val="00B47339"/>
    <w:rsid w:val="00B53C69"/>
    <w:rsid w:val="00B6689F"/>
    <w:rsid w:val="00B70B4C"/>
    <w:rsid w:val="00B80F4E"/>
    <w:rsid w:val="00BA0244"/>
    <w:rsid w:val="00BA39DF"/>
    <w:rsid w:val="00BA5996"/>
    <w:rsid w:val="00BC643E"/>
    <w:rsid w:val="00BD2451"/>
    <w:rsid w:val="00BE0490"/>
    <w:rsid w:val="00C04D95"/>
    <w:rsid w:val="00C12167"/>
    <w:rsid w:val="00C335BA"/>
    <w:rsid w:val="00C3654F"/>
    <w:rsid w:val="00C403BC"/>
    <w:rsid w:val="00C447BD"/>
    <w:rsid w:val="00C5129C"/>
    <w:rsid w:val="00C53380"/>
    <w:rsid w:val="00C81A17"/>
    <w:rsid w:val="00C96705"/>
    <w:rsid w:val="00CA4206"/>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20D3"/>
    <w:rsid w:val="00EB38E9"/>
    <w:rsid w:val="00EC408A"/>
    <w:rsid w:val="00EC4494"/>
    <w:rsid w:val="00EC75FC"/>
    <w:rsid w:val="00EF15C3"/>
    <w:rsid w:val="00F416D5"/>
    <w:rsid w:val="00F52B44"/>
    <w:rsid w:val="00F711B1"/>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1F64D1"/>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