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D4527" w:rsidRPr="000D1983" w:rsidP="000B2737" w14:paraId="7230B99F" w14:textId="436D0A77">
      <w:pPr>
        <w:rPr>
          <w:sz w:val="22"/>
          <w:szCs w:val="22"/>
        </w:rPr>
      </w:pPr>
      <w:r>
        <w:rPr>
          <w:sz w:val="22"/>
          <w:szCs w:val="22"/>
        </w:rPr>
        <w:t xml:space="preserve"> </w:t>
      </w:r>
      <w:r w:rsidRPr="003A5CFC" w:rsidR="00770B8D">
        <w:tab/>
      </w:r>
      <w:r w:rsidRPr="003A5CFC" w:rsidR="00770B8D">
        <w:tab/>
      </w:r>
      <w:r w:rsidRPr="003A5CFC" w:rsidR="00770B8D">
        <w:tab/>
      </w:r>
      <w:r w:rsidRPr="003A5CFC" w:rsidR="00770B8D">
        <w:tab/>
      </w:r>
      <w:r w:rsidRPr="003A5CFC" w:rsidR="00770B8D">
        <w:tab/>
        <w:t xml:space="preserve">  </w:t>
      </w:r>
      <w:r w:rsidRPr="003A5CFC" w:rsidR="00770B8D">
        <w:tab/>
      </w:r>
    </w:p>
    <w:p w:rsidR="00753C4F" w:rsidP="000B2737" w14:paraId="00D75860" w14:textId="6555E289">
      <w:r>
        <w:tab/>
      </w:r>
      <w:r>
        <w:tab/>
      </w:r>
      <w:r>
        <w:tab/>
      </w:r>
      <w:r>
        <w:tab/>
      </w:r>
      <w:r>
        <w:tab/>
      </w:r>
      <w:r>
        <w:tab/>
      </w:r>
      <w:r>
        <w:tab/>
      </w:r>
      <w:r>
        <w:tab/>
      </w:r>
      <w:r>
        <w:tab/>
      </w:r>
      <w:r>
        <w:t>DA 23-</w:t>
      </w:r>
      <w:r w:rsidR="00C94FAE">
        <w:t>1013</w:t>
      </w:r>
    </w:p>
    <w:p w:rsidR="00770B8D" w:rsidRPr="006670CD" w:rsidP="00753C4F" w14:paraId="524DEB24" w14:textId="6C868CE0">
      <w:pPr>
        <w:ind w:left="5760" w:firstLine="720"/>
        <w:rPr>
          <w:i/>
        </w:rPr>
      </w:pPr>
      <w:r w:rsidRPr="006670CD">
        <w:rPr>
          <w:i/>
        </w:rPr>
        <w:t>In Reply Refer to:</w:t>
      </w:r>
    </w:p>
    <w:p w:rsidR="0000445D" w14:paraId="1242B0F4" w14:textId="4222B6B7">
      <w:r w:rsidRPr="003A5CFC">
        <w:rPr>
          <w:i/>
        </w:rPr>
        <w:tab/>
      </w:r>
      <w:r w:rsidRPr="003A5CFC">
        <w:rPr>
          <w:i/>
        </w:rPr>
        <w:tab/>
      </w:r>
      <w:r w:rsidRPr="003A5CFC">
        <w:tab/>
      </w:r>
      <w:r w:rsidRPr="003A5CFC">
        <w:tab/>
      </w:r>
      <w:r w:rsidRPr="003A5CFC">
        <w:tab/>
      </w:r>
      <w:r w:rsidRPr="003A5CFC">
        <w:tab/>
      </w:r>
      <w:r w:rsidRPr="003A5CFC">
        <w:tab/>
      </w:r>
      <w:r w:rsidRPr="003A5CFC">
        <w:tab/>
        <w:t xml:space="preserve">             </w:t>
      </w:r>
      <w:r w:rsidRPr="003A5CFC">
        <w:tab/>
        <w:t>1800B3-</w:t>
      </w:r>
      <w:r w:rsidR="00B5479C">
        <w:t>CEG</w:t>
      </w:r>
      <w:r w:rsidRPr="003A5CFC" w:rsidR="0086076A">
        <w:t xml:space="preserve"> </w:t>
      </w:r>
    </w:p>
    <w:p w:rsidR="00753C4F" w:rsidRPr="003A5CFC" w14:paraId="5AC3B9D3" w14:textId="5BDD4EB7">
      <w:r>
        <w:tab/>
      </w:r>
      <w:r>
        <w:tab/>
      </w:r>
      <w:r>
        <w:tab/>
      </w:r>
      <w:r>
        <w:tab/>
      </w:r>
      <w:r>
        <w:tab/>
      </w:r>
      <w:r>
        <w:tab/>
      </w:r>
      <w:r>
        <w:tab/>
      </w:r>
      <w:r>
        <w:tab/>
      </w:r>
      <w:r>
        <w:tab/>
      </w:r>
      <w:r w:rsidR="00C94FAE">
        <w:t>October 26, 2023</w:t>
      </w:r>
    </w:p>
    <w:p w:rsidR="00C51284" w:rsidRPr="00C51284" w:rsidP="00C51284" w14:paraId="238B3132" w14:textId="5E8365DB">
      <w:r>
        <w:tab/>
      </w:r>
      <w:r w:rsidR="00770B8D">
        <w:tab/>
      </w:r>
      <w:r w:rsidR="00770B8D">
        <w:tab/>
      </w:r>
      <w:r w:rsidR="00770B8D">
        <w:tab/>
      </w:r>
      <w:r w:rsidR="00770B8D">
        <w:tab/>
      </w:r>
      <w:r w:rsidR="00770B8D">
        <w:tab/>
      </w:r>
      <w:r w:rsidR="00045DEF">
        <w:tab/>
      </w:r>
      <w:r w:rsidR="00045DEF">
        <w:tab/>
      </w:r>
      <w:r w:rsidR="00045DEF">
        <w:tab/>
      </w:r>
      <w:r w:rsidR="00045DEF">
        <w:tab/>
      </w:r>
    </w:p>
    <w:p w:rsidR="001F2620" w:rsidP="001F2620" w14:paraId="55F53910" w14:textId="77777777">
      <w:pPr>
        <w:tabs>
          <w:tab w:val="left" w:pos="0"/>
        </w:tabs>
        <w:suppressAutoHyphens/>
        <w:ind w:left="5040" w:hanging="5040"/>
        <w:rPr>
          <w:sz w:val="22"/>
          <w:szCs w:val="22"/>
        </w:rPr>
      </w:pPr>
      <w:r>
        <w:rPr>
          <w:sz w:val="22"/>
          <w:szCs w:val="22"/>
        </w:rPr>
        <w:t>Piedmont Communications, Inc.</w:t>
      </w:r>
    </w:p>
    <w:p w:rsidR="001F2620" w:rsidP="001F2620" w14:paraId="3B9AF0FB" w14:textId="77777777">
      <w:pPr>
        <w:tabs>
          <w:tab w:val="left" w:pos="0"/>
        </w:tabs>
        <w:suppressAutoHyphens/>
        <w:ind w:left="5040" w:hanging="5040"/>
        <w:rPr>
          <w:sz w:val="22"/>
          <w:szCs w:val="22"/>
        </w:rPr>
      </w:pPr>
      <w:r>
        <w:rPr>
          <w:sz w:val="22"/>
          <w:szCs w:val="22"/>
        </w:rPr>
        <w:t>c/o Patrick Cross, Esq.</w:t>
      </w:r>
    </w:p>
    <w:p w:rsidR="001F2620" w:rsidP="001F2620" w14:paraId="421BA2AD" w14:textId="77777777">
      <w:pPr>
        <w:tabs>
          <w:tab w:val="left" w:pos="0"/>
        </w:tabs>
        <w:suppressAutoHyphens/>
        <w:ind w:left="5040" w:hanging="5040"/>
        <w:rPr>
          <w:sz w:val="22"/>
          <w:szCs w:val="22"/>
        </w:rPr>
      </w:pPr>
      <w:r>
        <w:rPr>
          <w:sz w:val="22"/>
          <w:szCs w:val="22"/>
        </w:rPr>
        <w:t>Brooks, Pierce, McLendon, Humphrey &amp; Leonard, LLP</w:t>
      </w:r>
    </w:p>
    <w:p w:rsidR="001F2620" w:rsidP="001F2620" w14:paraId="393CAA5A" w14:textId="77777777">
      <w:pPr>
        <w:tabs>
          <w:tab w:val="left" w:pos="0"/>
        </w:tabs>
        <w:suppressAutoHyphens/>
        <w:ind w:left="5040" w:hanging="5040"/>
        <w:rPr>
          <w:sz w:val="22"/>
          <w:szCs w:val="22"/>
        </w:rPr>
      </w:pPr>
      <w:r>
        <w:rPr>
          <w:sz w:val="22"/>
          <w:szCs w:val="22"/>
        </w:rPr>
        <w:t>150 Fayetteville St Ste 1700</w:t>
      </w:r>
    </w:p>
    <w:p w:rsidR="001F2620" w:rsidP="001F2620" w14:paraId="676020ED" w14:textId="77777777">
      <w:pPr>
        <w:tabs>
          <w:tab w:val="left" w:pos="0"/>
        </w:tabs>
        <w:suppressAutoHyphens/>
        <w:ind w:left="5040" w:hanging="5040"/>
        <w:rPr>
          <w:sz w:val="22"/>
          <w:szCs w:val="22"/>
        </w:rPr>
      </w:pPr>
      <w:r>
        <w:rPr>
          <w:sz w:val="22"/>
          <w:szCs w:val="22"/>
        </w:rPr>
        <w:t>Raleigh, NC 27601</w:t>
      </w:r>
    </w:p>
    <w:p w:rsidR="001F2620" w:rsidP="001F2620" w14:paraId="6DDC02F4" w14:textId="77777777">
      <w:pPr>
        <w:tabs>
          <w:tab w:val="left" w:pos="0"/>
        </w:tabs>
        <w:suppressAutoHyphens/>
        <w:ind w:left="5040" w:hanging="5040"/>
        <w:rPr>
          <w:sz w:val="22"/>
          <w:szCs w:val="22"/>
        </w:rPr>
      </w:pPr>
      <w:r>
        <w:rPr>
          <w:sz w:val="22"/>
          <w:szCs w:val="22"/>
        </w:rPr>
        <w:t>pcross@brookspierce.com</w:t>
      </w:r>
    </w:p>
    <w:p w:rsidR="001F2620" w:rsidRPr="00E6665D" w:rsidP="001F2620" w14:paraId="2C6A4932" w14:textId="77777777">
      <w:pPr>
        <w:tabs>
          <w:tab w:val="left" w:pos="0"/>
        </w:tabs>
        <w:suppressAutoHyphens/>
        <w:ind w:left="5040" w:hanging="5040"/>
        <w:rPr>
          <w:sz w:val="22"/>
          <w:szCs w:val="22"/>
        </w:rPr>
      </w:pPr>
    </w:p>
    <w:p w:rsidR="001F2620" w:rsidP="001F2620" w14:paraId="0486D511" w14:textId="77777777">
      <w:pPr>
        <w:tabs>
          <w:tab w:val="left" w:pos="0"/>
        </w:tabs>
        <w:suppressAutoHyphens/>
        <w:ind w:left="5040" w:hanging="5040"/>
        <w:rPr>
          <w:sz w:val="22"/>
          <w:szCs w:val="22"/>
        </w:rPr>
      </w:pPr>
      <w:r>
        <w:rPr>
          <w:sz w:val="22"/>
          <w:szCs w:val="22"/>
        </w:rPr>
        <w:t>Tidewater Communications, LLC</w:t>
      </w:r>
    </w:p>
    <w:p w:rsidR="001F2620" w:rsidP="001F2620" w14:paraId="43A88EBE" w14:textId="77777777">
      <w:pPr>
        <w:tabs>
          <w:tab w:val="left" w:pos="0"/>
        </w:tabs>
        <w:suppressAutoHyphens/>
        <w:ind w:left="5040" w:hanging="5040"/>
        <w:rPr>
          <w:sz w:val="22"/>
          <w:szCs w:val="22"/>
        </w:rPr>
      </w:pPr>
      <w:r>
        <w:rPr>
          <w:sz w:val="22"/>
          <w:szCs w:val="22"/>
        </w:rPr>
        <w:t>c/o Gary S. Smithwick, Esq.</w:t>
      </w:r>
    </w:p>
    <w:p w:rsidR="001F2620" w:rsidP="001F2620" w14:paraId="3478F740" w14:textId="77777777">
      <w:pPr>
        <w:tabs>
          <w:tab w:val="left" w:pos="0"/>
        </w:tabs>
        <w:suppressAutoHyphens/>
        <w:ind w:left="5040" w:hanging="5040"/>
        <w:rPr>
          <w:sz w:val="22"/>
          <w:szCs w:val="22"/>
        </w:rPr>
      </w:pPr>
      <w:r>
        <w:rPr>
          <w:sz w:val="22"/>
          <w:szCs w:val="22"/>
        </w:rPr>
        <w:t xml:space="preserve">Smithwick &amp; </w:t>
      </w:r>
      <w:r>
        <w:rPr>
          <w:sz w:val="22"/>
          <w:szCs w:val="22"/>
        </w:rPr>
        <w:t>Belendiuk</w:t>
      </w:r>
      <w:r>
        <w:rPr>
          <w:sz w:val="22"/>
          <w:szCs w:val="22"/>
        </w:rPr>
        <w:t>, P.C.</w:t>
      </w:r>
    </w:p>
    <w:p w:rsidR="001F2620" w:rsidP="001F2620" w14:paraId="1FB21F21" w14:textId="77777777">
      <w:pPr>
        <w:tabs>
          <w:tab w:val="left" w:pos="0"/>
        </w:tabs>
        <w:suppressAutoHyphens/>
        <w:ind w:left="5040" w:hanging="5040"/>
        <w:rPr>
          <w:sz w:val="22"/>
          <w:szCs w:val="22"/>
        </w:rPr>
      </w:pPr>
      <w:r>
        <w:rPr>
          <w:sz w:val="22"/>
          <w:szCs w:val="22"/>
        </w:rPr>
        <w:t>5028 Wisconsin Ave NW Ste 301</w:t>
      </w:r>
    </w:p>
    <w:p w:rsidR="001F2620" w:rsidP="001F2620" w14:paraId="0F60F667" w14:textId="77777777">
      <w:pPr>
        <w:tabs>
          <w:tab w:val="left" w:pos="0"/>
        </w:tabs>
        <w:suppressAutoHyphens/>
        <w:ind w:left="5040" w:hanging="5040"/>
        <w:rPr>
          <w:sz w:val="22"/>
          <w:szCs w:val="22"/>
        </w:rPr>
      </w:pPr>
      <w:r>
        <w:rPr>
          <w:sz w:val="22"/>
          <w:szCs w:val="22"/>
        </w:rPr>
        <w:t>Washington, DC 20016</w:t>
      </w:r>
    </w:p>
    <w:p w:rsidR="001F2620" w:rsidP="001F2620" w14:paraId="15D996DA" w14:textId="77777777">
      <w:pPr>
        <w:tabs>
          <w:tab w:val="left" w:pos="0"/>
        </w:tabs>
        <w:suppressAutoHyphens/>
        <w:ind w:left="5040" w:hanging="5040"/>
        <w:rPr>
          <w:sz w:val="22"/>
          <w:szCs w:val="22"/>
        </w:rPr>
      </w:pPr>
      <w:r>
        <w:rPr>
          <w:sz w:val="22"/>
          <w:szCs w:val="22"/>
        </w:rPr>
        <w:t>gsmithwick@fccworld.com</w:t>
      </w:r>
    </w:p>
    <w:p w:rsidR="001F2620" w:rsidRPr="005675BC" w:rsidP="001F2620" w14:paraId="577CDCF8" w14:textId="77777777">
      <w:pPr>
        <w:tabs>
          <w:tab w:val="left" w:pos="0"/>
        </w:tabs>
        <w:suppressAutoHyphens/>
        <w:ind w:left="5040" w:hanging="5040"/>
        <w:rPr>
          <w:b/>
          <w:sz w:val="22"/>
          <w:szCs w:val="22"/>
        </w:rPr>
      </w:pPr>
      <w:r w:rsidRPr="005675BC">
        <w:rPr>
          <w:sz w:val="22"/>
          <w:szCs w:val="22"/>
        </w:rPr>
        <w:t xml:space="preserve">                                                                              In re:</w:t>
      </w:r>
      <w:r w:rsidRPr="005675BC">
        <w:rPr>
          <w:sz w:val="22"/>
          <w:szCs w:val="22"/>
        </w:rPr>
        <w:tab/>
      </w:r>
      <w:r>
        <w:rPr>
          <w:b/>
          <w:sz w:val="22"/>
          <w:szCs w:val="22"/>
        </w:rPr>
        <w:t>W288ED, Charlottesville, VA</w:t>
      </w:r>
    </w:p>
    <w:p w:rsidR="001F2620" w:rsidRPr="005675BC" w:rsidP="001F2620" w14:paraId="6C3603A3" w14:textId="2825474A">
      <w:pPr>
        <w:tabs>
          <w:tab w:val="left" w:pos="0"/>
        </w:tabs>
        <w:suppressAutoHyphens/>
        <w:ind w:left="5040" w:hanging="5040"/>
        <w:rPr>
          <w:color w:val="000000"/>
          <w:sz w:val="22"/>
          <w:szCs w:val="22"/>
        </w:rPr>
      </w:pPr>
      <w:r w:rsidRPr="005675BC">
        <w:rPr>
          <w:sz w:val="22"/>
          <w:szCs w:val="22"/>
        </w:rPr>
        <w:tab/>
        <w:t>Facility ID No.</w:t>
      </w:r>
      <w:r>
        <w:rPr>
          <w:color w:val="000000"/>
          <w:sz w:val="22"/>
          <w:szCs w:val="22"/>
        </w:rPr>
        <w:t xml:space="preserve"> 148345</w:t>
      </w:r>
    </w:p>
    <w:p w:rsidR="001F2620" w:rsidP="001F2620" w14:paraId="6F36737B" w14:textId="77777777">
      <w:pPr>
        <w:tabs>
          <w:tab w:val="left" w:pos="0"/>
        </w:tabs>
        <w:suppressAutoHyphens/>
        <w:spacing w:after="120"/>
        <w:ind w:left="5040" w:hanging="5040"/>
        <w:rPr>
          <w:color w:val="000000"/>
          <w:sz w:val="22"/>
          <w:szCs w:val="22"/>
        </w:rPr>
      </w:pPr>
      <w:r>
        <w:rPr>
          <w:color w:val="000000"/>
          <w:sz w:val="22"/>
          <w:szCs w:val="22"/>
        </w:rPr>
        <w:tab/>
      </w:r>
      <w:bookmarkStart w:id="0" w:name="_Hlk146267365"/>
      <w:r>
        <w:rPr>
          <w:color w:val="000000"/>
          <w:sz w:val="22"/>
          <w:szCs w:val="22"/>
        </w:rPr>
        <w:t>Application File No. 202787</w:t>
      </w:r>
    </w:p>
    <w:p w:rsidR="001F2620" w:rsidRPr="005675BC" w:rsidP="001F2620" w14:paraId="16F92BD9" w14:textId="77777777">
      <w:pPr>
        <w:tabs>
          <w:tab w:val="left" w:pos="0"/>
        </w:tabs>
        <w:suppressAutoHyphens/>
        <w:spacing w:after="120"/>
        <w:ind w:left="5040"/>
        <w:outlineLvl w:val="0"/>
        <w:rPr>
          <w:b/>
          <w:i/>
          <w:color w:val="000000"/>
          <w:sz w:val="22"/>
          <w:szCs w:val="22"/>
        </w:rPr>
      </w:pPr>
      <w:r>
        <w:rPr>
          <w:b/>
          <w:color w:val="000000"/>
          <w:sz w:val="22"/>
          <w:szCs w:val="22"/>
        </w:rPr>
        <w:t>Informal Objection</w:t>
      </w:r>
    </w:p>
    <w:p w:rsidR="001F2620" w:rsidRPr="005675BC" w:rsidP="001F2620" w14:paraId="7013E88A" w14:textId="77777777">
      <w:pPr>
        <w:tabs>
          <w:tab w:val="left" w:pos="0"/>
        </w:tabs>
        <w:suppressAutoHyphens/>
        <w:spacing w:after="120"/>
        <w:outlineLvl w:val="0"/>
        <w:rPr>
          <w:b/>
          <w:color w:val="000000"/>
          <w:sz w:val="22"/>
          <w:szCs w:val="22"/>
        </w:rPr>
      </w:pPr>
      <w:r w:rsidRPr="005675BC">
        <w:rPr>
          <w:color w:val="000000"/>
          <w:sz w:val="22"/>
          <w:szCs w:val="22"/>
        </w:rPr>
        <w:t>Dear</w:t>
      </w:r>
      <w:r>
        <w:rPr>
          <w:color w:val="000000"/>
          <w:sz w:val="22"/>
          <w:szCs w:val="22"/>
        </w:rPr>
        <w:t xml:space="preserve"> Applicant and Objector</w:t>
      </w:r>
      <w:r w:rsidRPr="005675BC">
        <w:rPr>
          <w:color w:val="000000"/>
          <w:sz w:val="22"/>
          <w:szCs w:val="22"/>
        </w:rPr>
        <w:t xml:space="preserve">: </w:t>
      </w:r>
    </w:p>
    <w:p w:rsidR="001F2620" w:rsidP="001F2620" w14:paraId="46CCE5A0" w14:textId="77777777">
      <w:pPr>
        <w:widowControl w:val="0"/>
        <w:spacing w:after="120"/>
        <w:ind w:right="-360" w:firstLine="720"/>
        <w:rPr>
          <w:color w:val="000000"/>
          <w:sz w:val="22"/>
          <w:szCs w:val="22"/>
        </w:rPr>
      </w:pPr>
      <w:r w:rsidRPr="005675BC">
        <w:rPr>
          <w:color w:val="000000"/>
          <w:sz w:val="22"/>
          <w:szCs w:val="22"/>
        </w:rPr>
        <w:t xml:space="preserve">We have before us </w:t>
      </w:r>
      <w:r>
        <w:rPr>
          <w:color w:val="000000"/>
          <w:sz w:val="22"/>
          <w:szCs w:val="22"/>
        </w:rPr>
        <w:t>the above-referenced application (Modification Application) for a minor modification to FM translator station W288ED, Charlottesville, Virginia (Station) filed on October 24, 2022, by Piedmont Communications, Inc. (Piedmont).</w:t>
      </w:r>
      <w:r>
        <w:rPr>
          <w:rStyle w:val="FootnoteReference"/>
          <w:color w:val="000000"/>
          <w:sz w:val="22"/>
          <w:szCs w:val="22"/>
        </w:rPr>
        <w:footnoteReference w:id="3"/>
      </w:r>
      <w:r>
        <w:rPr>
          <w:color w:val="000000"/>
          <w:sz w:val="22"/>
          <w:szCs w:val="22"/>
        </w:rPr>
        <w:t xml:space="preserve">  We also have an informal objection (Informal Objection) to the Modification Application filed by Tidewater Communications, LLC (Tidewater) on November 2, 2022,</w:t>
      </w:r>
      <w:r>
        <w:rPr>
          <w:rStyle w:val="FootnoteReference"/>
          <w:color w:val="000000"/>
          <w:sz w:val="22"/>
          <w:szCs w:val="22"/>
        </w:rPr>
        <w:footnoteReference w:id="4"/>
      </w:r>
      <w:r>
        <w:rPr>
          <w:color w:val="000000"/>
          <w:sz w:val="22"/>
          <w:szCs w:val="22"/>
        </w:rPr>
        <w:t xml:space="preserve"> and related pleadings.</w:t>
      </w:r>
      <w:r>
        <w:rPr>
          <w:rStyle w:val="FootnoteReference"/>
          <w:color w:val="000000"/>
          <w:sz w:val="22"/>
          <w:szCs w:val="22"/>
        </w:rPr>
        <w:footnoteReference w:id="5"/>
      </w:r>
      <w:r>
        <w:rPr>
          <w:color w:val="000000"/>
          <w:sz w:val="22"/>
          <w:szCs w:val="22"/>
        </w:rPr>
        <w:t xml:space="preserve">  </w:t>
      </w:r>
      <w:bookmarkEnd w:id="0"/>
      <w:r w:rsidRPr="005675BC">
        <w:rPr>
          <w:color w:val="000000"/>
          <w:sz w:val="22"/>
          <w:szCs w:val="22"/>
        </w:rPr>
        <w:t>For the reasons stated below, we</w:t>
      </w:r>
      <w:r>
        <w:rPr>
          <w:color w:val="000000"/>
          <w:sz w:val="22"/>
          <w:szCs w:val="22"/>
        </w:rPr>
        <w:t xml:space="preserve"> deny the Informal Objection and grant the Modification Application.</w:t>
      </w:r>
    </w:p>
    <w:p w:rsidR="001F2620" w:rsidP="001F2620" w14:paraId="3D920FC1" w14:textId="2FB03FC6">
      <w:pPr>
        <w:spacing w:after="120"/>
        <w:ind w:firstLine="720"/>
        <w:rPr>
          <w:bCs/>
          <w:color w:val="000000"/>
          <w:sz w:val="22"/>
          <w:szCs w:val="22"/>
        </w:rPr>
      </w:pPr>
      <w:r>
        <w:rPr>
          <w:b/>
          <w:color w:val="000000"/>
          <w:sz w:val="22"/>
          <w:szCs w:val="22"/>
        </w:rPr>
        <w:t xml:space="preserve">Background.  </w:t>
      </w:r>
      <w:r w:rsidRPr="00985AD3">
        <w:rPr>
          <w:bCs/>
          <w:color w:val="000000"/>
          <w:sz w:val="22"/>
          <w:szCs w:val="22"/>
        </w:rPr>
        <w:t>O</w:t>
      </w:r>
      <w:r>
        <w:rPr>
          <w:bCs/>
          <w:color w:val="000000"/>
          <w:sz w:val="22"/>
          <w:szCs w:val="22"/>
        </w:rPr>
        <w:t>n March 28, 2019, the Bureau granted Clear Channel’s application for a new FM translator station in Charlottesville, Viriginia (Construction Permit).</w:t>
      </w:r>
      <w:r>
        <w:rPr>
          <w:rStyle w:val="FootnoteReference"/>
          <w:bCs/>
          <w:color w:val="000000"/>
          <w:sz w:val="22"/>
          <w:szCs w:val="22"/>
        </w:rPr>
        <w:footnoteReference w:id="6"/>
      </w:r>
      <w:r>
        <w:rPr>
          <w:bCs/>
          <w:color w:val="000000"/>
          <w:sz w:val="22"/>
          <w:szCs w:val="22"/>
        </w:rPr>
        <w:t xml:space="preserve">  On May 20, 2020, Clear Channel </w:t>
      </w:r>
      <w:r>
        <w:rPr>
          <w:bCs/>
          <w:color w:val="000000"/>
          <w:sz w:val="22"/>
          <w:szCs w:val="22"/>
        </w:rPr>
        <w:t>entered into an agreement with Piedmont to exchange the Construction Permit for Piedmont’s licensed translator W262CC, Tallahassee, Florida (Exchange Agreement).</w:t>
      </w:r>
      <w:r>
        <w:rPr>
          <w:rStyle w:val="FootnoteReference"/>
          <w:bCs/>
          <w:color w:val="000000"/>
          <w:sz w:val="22"/>
          <w:szCs w:val="22"/>
        </w:rPr>
        <w:footnoteReference w:id="7"/>
      </w:r>
      <w:r>
        <w:rPr>
          <w:bCs/>
          <w:color w:val="000000"/>
          <w:sz w:val="22"/>
          <w:szCs w:val="22"/>
        </w:rPr>
        <w:t xml:space="preserve">  On October 6, 2021, Clear Channel filed an application to assign the Construction Permit to Piedmont (Assignment Application).</w:t>
      </w:r>
      <w:r>
        <w:rPr>
          <w:rStyle w:val="FootnoteReference"/>
          <w:bCs/>
          <w:color w:val="000000"/>
          <w:sz w:val="22"/>
          <w:szCs w:val="22"/>
        </w:rPr>
        <w:footnoteReference w:id="8"/>
      </w:r>
      <w:r>
        <w:rPr>
          <w:bCs/>
          <w:color w:val="000000"/>
          <w:sz w:val="22"/>
          <w:szCs w:val="22"/>
        </w:rPr>
        <w:t xml:space="preserve">  On November 18, 2021, in response to a petition to deny the Assignment Application filed by Tidewater,</w:t>
      </w:r>
      <w:r>
        <w:rPr>
          <w:rStyle w:val="FootnoteReference"/>
          <w:bCs/>
          <w:color w:val="000000"/>
          <w:sz w:val="22"/>
          <w:szCs w:val="22"/>
        </w:rPr>
        <w:footnoteReference w:id="9"/>
      </w:r>
      <w:r>
        <w:rPr>
          <w:bCs/>
          <w:color w:val="000000"/>
          <w:sz w:val="22"/>
          <w:szCs w:val="22"/>
        </w:rPr>
        <w:t xml:space="preserve"> Clear Channel amended the Construction Permit to specify a site on the outskirts of Charlottesville</w:t>
      </w:r>
      <w:r w:rsidR="00B87F23">
        <w:rPr>
          <w:bCs/>
          <w:color w:val="000000"/>
          <w:sz w:val="22"/>
          <w:szCs w:val="22"/>
        </w:rPr>
        <w:t>.</w:t>
      </w:r>
      <w:r>
        <w:rPr>
          <w:rStyle w:val="FootnoteReference"/>
          <w:bCs/>
          <w:color w:val="000000"/>
          <w:sz w:val="22"/>
          <w:szCs w:val="22"/>
        </w:rPr>
        <w:footnoteReference w:id="10"/>
      </w:r>
      <w:r>
        <w:rPr>
          <w:bCs/>
          <w:color w:val="000000"/>
          <w:sz w:val="22"/>
          <w:szCs w:val="22"/>
        </w:rPr>
        <w:t xml:space="preserve">  On February 25, 2022, Clear Channel filed another modification application, this time for a site about 16 miles north of Charlottesville on a tower owned by Piedmont (Licensed Site).</w:t>
      </w:r>
      <w:r>
        <w:rPr>
          <w:rStyle w:val="FootnoteReference"/>
          <w:bCs/>
          <w:color w:val="000000"/>
          <w:sz w:val="22"/>
          <w:szCs w:val="22"/>
        </w:rPr>
        <w:footnoteReference w:id="11"/>
      </w:r>
      <w:r>
        <w:rPr>
          <w:bCs/>
          <w:color w:val="000000"/>
          <w:sz w:val="22"/>
          <w:szCs w:val="22"/>
        </w:rPr>
        <w:t xml:space="preserve">  On March 25, 2022, three days before the Construction Permit was due to expire, Clear Channel filed a timely application for license to cover (License Application), which was granted on April 12, 2022 (Station License).</w:t>
      </w:r>
      <w:r>
        <w:rPr>
          <w:rStyle w:val="FootnoteReference"/>
          <w:bCs/>
          <w:color w:val="000000"/>
          <w:sz w:val="22"/>
          <w:szCs w:val="22"/>
        </w:rPr>
        <w:footnoteReference w:id="12"/>
      </w:r>
      <w:r>
        <w:rPr>
          <w:bCs/>
          <w:color w:val="000000"/>
          <w:sz w:val="22"/>
          <w:szCs w:val="22"/>
        </w:rPr>
        <w:t xml:space="preserve">  On June 6, 2022, the Bureau denied the Assignment Petition and granted the Assignment Application.</w:t>
      </w:r>
      <w:r>
        <w:rPr>
          <w:rStyle w:val="FootnoteReference"/>
          <w:bCs/>
          <w:color w:val="000000"/>
          <w:sz w:val="22"/>
          <w:szCs w:val="22"/>
        </w:rPr>
        <w:footnoteReference w:id="13"/>
      </w:r>
      <w:r>
        <w:rPr>
          <w:bCs/>
          <w:color w:val="000000"/>
          <w:sz w:val="22"/>
          <w:szCs w:val="22"/>
        </w:rPr>
        <w:t xml:space="preserve">  On July 27, 2022, Clear Channel and Piedmont consummated the assignment of the Station.</w:t>
      </w:r>
      <w:r>
        <w:rPr>
          <w:rStyle w:val="FootnoteReference"/>
          <w:bCs/>
          <w:color w:val="000000"/>
          <w:sz w:val="22"/>
          <w:szCs w:val="22"/>
        </w:rPr>
        <w:footnoteReference w:id="14"/>
      </w:r>
      <w:r>
        <w:rPr>
          <w:bCs/>
          <w:color w:val="000000"/>
          <w:sz w:val="22"/>
          <w:szCs w:val="22"/>
        </w:rPr>
        <w:t xml:space="preserve">  </w:t>
      </w:r>
    </w:p>
    <w:p w:rsidR="001F2620" w:rsidRPr="00F06347" w:rsidP="001F2620" w14:paraId="277336C8" w14:textId="1291B54A">
      <w:pPr>
        <w:spacing w:after="120"/>
        <w:ind w:firstLine="720"/>
        <w:rPr>
          <w:bCs/>
          <w:color w:val="000000"/>
          <w:sz w:val="22"/>
          <w:szCs w:val="22"/>
        </w:rPr>
      </w:pPr>
      <w:r>
        <w:rPr>
          <w:bCs/>
          <w:color w:val="000000"/>
          <w:sz w:val="22"/>
          <w:szCs w:val="22"/>
        </w:rPr>
        <w:t xml:space="preserve">On August 2, 2022, Piedmont requested special temporary authority (STA) to take the Station, which was then rebroadcasting primary station </w:t>
      </w:r>
      <w:r>
        <w:rPr>
          <w:color w:val="000000"/>
          <w:sz w:val="22"/>
          <w:szCs w:val="22"/>
        </w:rPr>
        <w:t xml:space="preserve">WKTR(AM), Earlysville, Virginia, licensed to CSN International, Inc., as a fill-in translator, </w:t>
      </w:r>
      <w:r>
        <w:rPr>
          <w:bCs/>
          <w:color w:val="000000"/>
          <w:sz w:val="22"/>
          <w:szCs w:val="22"/>
        </w:rPr>
        <w:t>silent “in light of anticipated programming and operational changes.”</w:t>
      </w:r>
      <w:r>
        <w:rPr>
          <w:rStyle w:val="FootnoteReference"/>
          <w:bCs/>
          <w:color w:val="000000"/>
          <w:sz w:val="22"/>
          <w:szCs w:val="22"/>
        </w:rPr>
        <w:footnoteReference w:id="15"/>
      </w:r>
      <w:r>
        <w:rPr>
          <w:color w:val="000000"/>
          <w:sz w:val="22"/>
          <w:szCs w:val="22"/>
        </w:rPr>
        <w:t xml:space="preserve">  </w:t>
      </w:r>
      <w:r>
        <w:rPr>
          <w:bCs/>
          <w:color w:val="000000"/>
          <w:sz w:val="22"/>
          <w:szCs w:val="22"/>
        </w:rPr>
        <w:t xml:space="preserve">On October 24, 2022, Piedmont filed the Modification Application, specifying new primary station </w:t>
      </w:r>
      <w:r>
        <w:rPr>
          <w:color w:val="000000"/>
          <w:sz w:val="22"/>
          <w:szCs w:val="22"/>
        </w:rPr>
        <w:t>WVCV(AM), Orange, Virginia,</w:t>
      </w:r>
      <w:r w:rsidR="00A52355">
        <w:rPr>
          <w:color w:val="000000"/>
          <w:sz w:val="22"/>
          <w:szCs w:val="22"/>
        </w:rPr>
        <w:t xml:space="preserve"> licensed to La </w:t>
      </w:r>
      <w:r w:rsidR="00A52355">
        <w:rPr>
          <w:color w:val="000000"/>
          <w:sz w:val="22"/>
          <w:szCs w:val="22"/>
        </w:rPr>
        <w:t>Promesa</w:t>
      </w:r>
      <w:r w:rsidR="00A52355">
        <w:rPr>
          <w:color w:val="000000"/>
          <w:sz w:val="22"/>
          <w:szCs w:val="22"/>
        </w:rPr>
        <w:t xml:space="preserve"> Foundation,</w:t>
      </w:r>
      <w:r>
        <w:rPr>
          <w:color w:val="000000"/>
          <w:sz w:val="22"/>
          <w:szCs w:val="22"/>
        </w:rPr>
        <w:t xml:space="preserve"> </w:t>
      </w:r>
      <w:r>
        <w:rPr>
          <w:bCs/>
          <w:color w:val="000000"/>
          <w:sz w:val="22"/>
          <w:szCs w:val="22"/>
        </w:rPr>
        <w:t>with a transmitter site in Charlottesville that would be “closer in proximity to the location specified in the underlying original [Construction Permit] granted to [Clear Channel].”</w:t>
      </w:r>
      <w:r>
        <w:rPr>
          <w:rStyle w:val="FootnoteReference"/>
          <w:bCs/>
          <w:color w:val="000000"/>
          <w:sz w:val="22"/>
          <w:szCs w:val="22"/>
        </w:rPr>
        <w:footnoteReference w:id="16"/>
      </w:r>
      <w:r>
        <w:rPr>
          <w:bCs/>
          <w:color w:val="000000"/>
          <w:sz w:val="22"/>
          <w:szCs w:val="22"/>
        </w:rPr>
        <w:t xml:space="preserve">  On </w:t>
      </w:r>
      <w:r>
        <w:rPr>
          <w:color w:val="000000"/>
          <w:sz w:val="22"/>
          <w:szCs w:val="22"/>
        </w:rPr>
        <w:t>November 2, 2022, Tidewater filed the Informal Objection.  On November 4, 2022, Piedmont resumed operation of the Station</w:t>
      </w:r>
      <w:r w:rsidR="004E6B0F">
        <w:rPr>
          <w:color w:val="000000"/>
          <w:sz w:val="22"/>
          <w:szCs w:val="22"/>
        </w:rPr>
        <w:t xml:space="preserve"> from its licensed location</w:t>
      </w:r>
      <w:r>
        <w:rPr>
          <w:color w:val="000000"/>
          <w:sz w:val="22"/>
          <w:szCs w:val="22"/>
        </w:rPr>
        <w:t>.</w:t>
      </w:r>
      <w:r>
        <w:rPr>
          <w:rStyle w:val="FootnoteReference"/>
          <w:sz w:val="22"/>
          <w:szCs w:val="22"/>
        </w:rPr>
        <w:footnoteReference w:id="17"/>
      </w:r>
    </w:p>
    <w:p w:rsidR="001F2620" w:rsidRPr="0005732C" w:rsidP="001F2620" w14:paraId="0A095E11" w14:textId="77777777">
      <w:pPr>
        <w:spacing w:after="120"/>
        <w:ind w:firstLine="720"/>
        <w:rPr>
          <w:bCs/>
          <w:color w:val="000000"/>
          <w:sz w:val="22"/>
          <w:szCs w:val="22"/>
        </w:rPr>
      </w:pPr>
      <w:r>
        <w:rPr>
          <w:bCs/>
          <w:color w:val="000000"/>
          <w:sz w:val="22"/>
          <w:szCs w:val="22"/>
        </w:rPr>
        <w:t>In the Informal Objection, Tidewater contends that, by taking the Station silent in August 2022, Piedmont violated a condition of the Station License, which states that “grant of this license application is conditioned on the continuous operation of the licensed facility for the twelve-month period following grant . . . unless the licensee rebuts the resulting presumption that the authorized facilities were temporarily constructed” (License Condition).</w:t>
      </w:r>
      <w:r>
        <w:rPr>
          <w:rStyle w:val="FootnoteReference"/>
          <w:bCs/>
          <w:color w:val="000000"/>
          <w:sz w:val="22"/>
          <w:szCs w:val="22"/>
        </w:rPr>
        <w:footnoteReference w:id="18"/>
      </w:r>
      <w:r>
        <w:rPr>
          <w:bCs/>
          <w:color w:val="000000"/>
          <w:sz w:val="22"/>
          <w:szCs w:val="22"/>
        </w:rPr>
        <w:t xml:space="preserve">  Tidewater argues that in order to rebut this presumption, Piedmont must demonstrate that the Station had operated continuously during its first year of operation </w:t>
      </w:r>
      <w:r>
        <w:rPr>
          <w:bCs/>
          <w:color w:val="000000"/>
          <w:sz w:val="22"/>
          <w:szCs w:val="22"/>
        </w:rPr>
        <w:t>and therefore concede that it had misrepresented its silence in the Silent STA Request.</w:t>
      </w:r>
      <w:r>
        <w:rPr>
          <w:rStyle w:val="FootnoteReference"/>
          <w:bCs/>
          <w:color w:val="000000"/>
          <w:sz w:val="22"/>
          <w:szCs w:val="22"/>
        </w:rPr>
        <w:footnoteReference w:id="19"/>
      </w:r>
      <w:r>
        <w:rPr>
          <w:bCs/>
          <w:color w:val="000000"/>
          <w:sz w:val="22"/>
          <w:szCs w:val="22"/>
        </w:rPr>
        <w:t xml:space="preserve">  Moreover, according to Tidewater, “circumstantial evidence” indicates that the construction was temporary—specifically, the fact that the License Application was filed just three days before the expiration of the Construction Permit and that Piedmont took the Station silent soon after assuming ownership of the Station four months later.</w:t>
      </w:r>
      <w:r>
        <w:rPr>
          <w:rStyle w:val="FootnoteReference"/>
          <w:bCs/>
          <w:color w:val="000000"/>
          <w:sz w:val="22"/>
          <w:szCs w:val="22"/>
        </w:rPr>
        <w:footnoteReference w:id="20"/>
      </w:r>
      <w:r>
        <w:rPr>
          <w:bCs/>
          <w:color w:val="000000"/>
          <w:sz w:val="22"/>
          <w:szCs w:val="22"/>
        </w:rPr>
        <w:t xml:space="preserve">  Finally, Tidewater argues that Piedmont is “translator hopping” in violation of </w:t>
      </w:r>
      <w:r w:rsidRPr="00944FD0">
        <w:rPr>
          <w:bCs/>
          <w:color w:val="000000"/>
          <w:sz w:val="22"/>
          <w:szCs w:val="22"/>
        </w:rPr>
        <w:t xml:space="preserve">the policy </w:t>
      </w:r>
      <w:r>
        <w:rPr>
          <w:bCs/>
          <w:color w:val="000000"/>
          <w:sz w:val="22"/>
          <w:szCs w:val="22"/>
        </w:rPr>
        <w:t xml:space="preserve">set out in </w:t>
      </w:r>
      <w:r>
        <w:rPr>
          <w:bCs/>
          <w:i/>
          <w:iCs/>
          <w:color w:val="000000"/>
          <w:sz w:val="22"/>
          <w:szCs w:val="22"/>
        </w:rPr>
        <w:t xml:space="preserve">Mattoon </w:t>
      </w:r>
      <w:r>
        <w:rPr>
          <w:bCs/>
          <w:color w:val="000000"/>
          <w:sz w:val="22"/>
          <w:szCs w:val="22"/>
        </w:rPr>
        <w:t>and subsequent cases</w:t>
      </w:r>
      <w:r w:rsidRPr="00944FD0">
        <w:rPr>
          <w:bCs/>
          <w:color w:val="000000"/>
          <w:sz w:val="22"/>
          <w:szCs w:val="22"/>
        </w:rPr>
        <w:t>.</w:t>
      </w:r>
      <w:r>
        <w:rPr>
          <w:rStyle w:val="FootnoteReference"/>
          <w:bCs/>
          <w:color w:val="000000"/>
          <w:sz w:val="22"/>
          <w:szCs w:val="22"/>
        </w:rPr>
        <w:footnoteReference w:id="21"/>
      </w:r>
      <w:r>
        <w:rPr>
          <w:bCs/>
          <w:color w:val="000000"/>
          <w:sz w:val="22"/>
          <w:szCs w:val="22"/>
        </w:rPr>
        <w:t xml:space="preserve"> </w:t>
      </w:r>
    </w:p>
    <w:p w:rsidR="001F2620" w:rsidP="001F2620" w14:paraId="246A69A0" w14:textId="77777777">
      <w:pPr>
        <w:spacing w:after="120"/>
        <w:ind w:firstLine="720"/>
        <w:rPr>
          <w:sz w:val="22"/>
          <w:szCs w:val="22"/>
        </w:rPr>
      </w:pPr>
      <w:r>
        <w:rPr>
          <w:sz w:val="22"/>
          <w:szCs w:val="22"/>
        </w:rPr>
        <w:t>In the Piedmont Opposition, Piedmont submits its rebuttal to the presumption of temporary construction triggered by the Silent STA Request.  Specifically, Piedmont argues that the Station’s licensed facility is not temporary because it is built on an existing tower, owned by Piedmont, registered more than 30 years ago, and the longtime site of a full service AM station.</w:t>
      </w:r>
      <w:r>
        <w:rPr>
          <w:rStyle w:val="FootnoteReference"/>
          <w:sz w:val="22"/>
          <w:szCs w:val="22"/>
        </w:rPr>
        <w:footnoteReference w:id="22"/>
      </w:r>
      <w:r>
        <w:rPr>
          <w:sz w:val="22"/>
          <w:szCs w:val="22"/>
        </w:rPr>
        <w:t xml:space="preserve">  This tower, Piedmont states, is “permanently installed, supported by guy wires, and has a permanent source of power.”</w:t>
      </w:r>
      <w:r>
        <w:rPr>
          <w:rStyle w:val="FootnoteReference"/>
          <w:sz w:val="22"/>
          <w:szCs w:val="22"/>
        </w:rPr>
        <w:footnoteReference w:id="23"/>
      </w:r>
      <w:r>
        <w:rPr>
          <w:sz w:val="22"/>
          <w:szCs w:val="22"/>
        </w:rPr>
        <w:t xml:space="preserve">  It also submits dated photos of the Station’s construction, emails from the relevant timeframe, a dated invoice from the installation contractor, and a sworn declaration from </w:t>
      </w:r>
      <w:r w:rsidRPr="00484014">
        <w:rPr>
          <w:sz w:val="22"/>
          <w:szCs w:val="22"/>
        </w:rPr>
        <w:t>consulting engineer Alan E. Williams</w:t>
      </w:r>
      <w:r>
        <w:rPr>
          <w:sz w:val="22"/>
          <w:szCs w:val="22"/>
        </w:rPr>
        <w:t xml:space="preserve"> stating that he personally witnessed</w:t>
      </w:r>
      <w:r w:rsidRPr="00484014">
        <w:rPr>
          <w:sz w:val="22"/>
          <w:szCs w:val="22"/>
        </w:rPr>
        <w:t xml:space="preserve"> </w:t>
      </w:r>
      <w:r>
        <w:rPr>
          <w:sz w:val="22"/>
          <w:szCs w:val="22"/>
        </w:rPr>
        <w:t>the Station’s timely construction at the authorized site</w:t>
      </w:r>
      <w:r w:rsidRPr="00484014">
        <w:rPr>
          <w:sz w:val="22"/>
          <w:szCs w:val="22"/>
        </w:rPr>
        <w:t>.</w:t>
      </w:r>
      <w:r w:rsidRPr="00890E8C">
        <w:rPr>
          <w:rStyle w:val="FootnoteReference"/>
          <w:sz w:val="22"/>
          <w:szCs w:val="22"/>
        </w:rPr>
        <w:t xml:space="preserve"> </w:t>
      </w:r>
      <w:r>
        <w:rPr>
          <w:rStyle w:val="FootnoteReference"/>
          <w:sz w:val="22"/>
          <w:szCs w:val="22"/>
        </w:rPr>
        <w:footnoteReference w:id="24"/>
      </w:r>
      <w:r>
        <w:rPr>
          <w:sz w:val="22"/>
          <w:szCs w:val="22"/>
        </w:rPr>
        <w:t xml:space="preserve">  Piedmont argues that it would “defy logic and be counter to Piedmont’s interests to have consummated a transaction for facilities that had not been and remained constructed in line with [Clear Channel’s] certifications.”</w:t>
      </w:r>
      <w:r>
        <w:rPr>
          <w:rStyle w:val="FootnoteReference"/>
          <w:sz w:val="22"/>
          <w:szCs w:val="22"/>
        </w:rPr>
        <w:footnoteReference w:id="25"/>
      </w:r>
      <w:r>
        <w:rPr>
          <w:sz w:val="22"/>
          <w:szCs w:val="22"/>
        </w:rPr>
        <w:t xml:space="preserve">  It also argues that the grant of the Silent STA Request—now final—is “fatal” to the argument that it violated a condition of its license.</w:t>
      </w:r>
      <w:r>
        <w:rPr>
          <w:rStyle w:val="FootnoteReference"/>
          <w:sz w:val="22"/>
          <w:szCs w:val="22"/>
        </w:rPr>
        <w:footnoteReference w:id="26"/>
      </w:r>
      <w:r>
        <w:rPr>
          <w:sz w:val="22"/>
          <w:szCs w:val="22"/>
        </w:rPr>
        <w:t xml:space="preserve">  </w:t>
      </w:r>
    </w:p>
    <w:p w:rsidR="001F2620" w:rsidP="001F2620" w14:paraId="2162E27D" w14:textId="77777777">
      <w:pPr>
        <w:spacing w:after="120"/>
        <w:ind w:firstLine="720"/>
        <w:rPr>
          <w:sz w:val="22"/>
          <w:szCs w:val="22"/>
        </w:rPr>
      </w:pPr>
      <w:r>
        <w:rPr>
          <w:sz w:val="22"/>
          <w:szCs w:val="22"/>
        </w:rPr>
        <w:t>In the Reply, Tidewater argues that any period of silence during the first year of operation not only triggers the presumption but also forecloses rebuttal: “The temporary nature of the [Station]’s operation is based not on whether the tower . . . is a permanent structure, but rather on the violation of the License Condition, whereby operations were suspended just 6 days after Piedmont acquired the [Station].”</w:t>
      </w:r>
      <w:r>
        <w:rPr>
          <w:rStyle w:val="FootnoteReference"/>
          <w:sz w:val="22"/>
          <w:szCs w:val="22"/>
        </w:rPr>
        <w:footnoteReference w:id="27"/>
      </w:r>
      <w:r>
        <w:rPr>
          <w:sz w:val="22"/>
          <w:szCs w:val="22"/>
        </w:rPr>
        <w:t xml:space="preserve">  Acknowledging that the physical facilities were not temporary, Tidewater argues that this is just “one factor” in determining whether the facilities were temporarily constructed--“a more important factor is whether Piedmont </w:t>
      </w:r>
      <w:r w:rsidRPr="00E51A46">
        <w:rPr>
          <w:i/>
          <w:iCs/>
          <w:sz w:val="22"/>
          <w:szCs w:val="22"/>
        </w:rPr>
        <w:t>intended</w:t>
      </w:r>
      <w:r>
        <w:rPr>
          <w:sz w:val="22"/>
          <w:szCs w:val="22"/>
        </w:rPr>
        <w:t xml:space="preserve"> for the use of the [facilities] to be temporary.”</w:t>
      </w:r>
      <w:r>
        <w:rPr>
          <w:rStyle w:val="FootnoteReference"/>
          <w:sz w:val="22"/>
          <w:szCs w:val="22"/>
        </w:rPr>
        <w:footnoteReference w:id="28"/>
      </w:r>
      <w:r>
        <w:rPr>
          <w:sz w:val="22"/>
          <w:szCs w:val="22"/>
        </w:rPr>
        <w:t xml:space="preserve">  Such an intention, according to Tidewater, is evidenced by the Silent STA Request and Modification Application proposing to move the facilities back to Charlottesville.</w:t>
      </w:r>
      <w:r>
        <w:rPr>
          <w:rStyle w:val="FootnoteReference"/>
          <w:sz w:val="22"/>
          <w:szCs w:val="22"/>
        </w:rPr>
        <w:footnoteReference w:id="29"/>
      </w:r>
      <w:r>
        <w:rPr>
          <w:sz w:val="22"/>
          <w:szCs w:val="22"/>
        </w:rPr>
        <w:t xml:space="preserve">   Finally, Tidewater argues that “the existence of the silent </w:t>
      </w:r>
      <w:r>
        <w:rPr>
          <w:sz w:val="22"/>
          <w:szCs w:val="22"/>
        </w:rPr>
        <w:t>STA has no bearing on the effectiveness of the License Condition mandating continuous operation for one year.”</w:t>
      </w:r>
      <w:r>
        <w:rPr>
          <w:rStyle w:val="FootnoteReference"/>
          <w:sz w:val="22"/>
          <w:szCs w:val="22"/>
        </w:rPr>
        <w:footnoteReference w:id="30"/>
      </w:r>
      <w:r>
        <w:rPr>
          <w:sz w:val="22"/>
          <w:szCs w:val="22"/>
        </w:rPr>
        <w:t xml:space="preserve">  For these reasons, Tidewater urges that the grant of the Construction Permit be rescinded.</w:t>
      </w:r>
      <w:r>
        <w:rPr>
          <w:rStyle w:val="FootnoteReference"/>
          <w:sz w:val="22"/>
          <w:szCs w:val="22"/>
        </w:rPr>
        <w:footnoteReference w:id="31"/>
      </w:r>
      <w:r>
        <w:rPr>
          <w:sz w:val="22"/>
          <w:szCs w:val="22"/>
        </w:rPr>
        <w:t xml:space="preserve">  </w:t>
      </w:r>
    </w:p>
    <w:p w:rsidR="001F2620" w:rsidP="001F2620" w14:paraId="69979433" w14:textId="77777777">
      <w:pPr>
        <w:spacing w:after="120"/>
        <w:ind w:firstLine="720"/>
        <w:rPr>
          <w:snapToGrid w:val="0"/>
          <w:sz w:val="24"/>
        </w:rPr>
      </w:pPr>
      <w:r w:rsidRPr="005675BC">
        <w:rPr>
          <w:b/>
          <w:color w:val="000000"/>
          <w:spacing w:val="-7"/>
          <w:sz w:val="22"/>
          <w:szCs w:val="22"/>
        </w:rPr>
        <w:t xml:space="preserve">Discussion. </w:t>
      </w:r>
      <w:r w:rsidRPr="005675BC">
        <w:rPr>
          <w:color w:val="000000"/>
          <w:spacing w:val="-7"/>
          <w:sz w:val="22"/>
          <w:szCs w:val="22"/>
        </w:rPr>
        <w:t xml:space="preserve"> </w:t>
      </w:r>
      <w:r w:rsidRPr="009F54B1">
        <w:rPr>
          <w:sz w:val="22"/>
          <w:szCs w:val="22"/>
        </w:rPr>
        <w:t>Informal objections, like petitions to deny, must allege properly supported facts that, if true, would establish a substantial and material question of fact that grant of the application would be inconsistent with the public interest.</w:t>
      </w:r>
      <w:r>
        <w:rPr>
          <w:sz w:val="22"/>
          <w:szCs w:val="22"/>
          <w:vertAlign w:val="superscript"/>
        </w:rPr>
        <w:footnoteReference w:id="32"/>
      </w:r>
      <w:r w:rsidRPr="009F54B1">
        <w:rPr>
          <w:sz w:val="22"/>
          <w:szCs w:val="22"/>
        </w:rPr>
        <w:t xml:space="preserve"> </w:t>
      </w:r>
      <w:r>
        <w:rPr>
          <w:sz w:val="22"/>
          <w:szCs w:val="22"/>
        </w:rPr>
        <w:t xml:space="preserve"> Tidewater has not met this burden.  </w:t>
      </w:r>
    </w:p>
    <w:p w:rsidR="001F2620" w:rsidP="001F2620" w14:paraId="771D4A9B" w14:textId="05F75B22">
      <w:pPr>
        <w:spacing w:after="120"/>
        <w:ind w:firstLine="720"/>
        <w:rPr>
          <w:color w:val="000000"/>
          <w:sz w:val="22"/>
          <w:szCs w:val="22"/>
        </w:rPr>
      </w:pPr>
      <w:r>
        <w:rPr>
          <w:color w:val="000000"/>
          <w:sz w:val="22"/>
          <w:szCs w:val="22"/>
        </w:rPr>
        <w:t>As a threshold matter, we find that both parties misunderstand the effect of the Silent STA Request on the License Condition.  Grant of the Silent STA Request did not eliminate the presumption of temporary construction, as Piedmont contends.  Nor did the Station’s silence create an “open and shut” case of temporary construction, as Tidewater contends.  Rather, a station’s silence in the first twelve months of operation—whether authorized by silent STA</w:t>
      </w:r>
      <w:r w:rsidRPr="000F2904">
        <w:rPr>
          <w:color w:val="000000"/>
          <w:sz w:val="22"/>
          <w:szCs w:val="22"/>
        </w:rPr>
        <w:t xml:space="preserve"> </w:t>
      </w:r>
      <w:r>
        <w:rPr>
          <w:color w:val="000000"/>
          <w:sz w:val="22"/>
          <w:szCs w:val="22"/>
        </w:rPr>
        <w:t>or not—triggers a presumption that the station’s facilities were temporarily constructed.  The licensee may then rebut this presumption with evidence that the facilities were not temporarily constructed, such as</w:t>
      </w:r>
      <w:r w:rsidRPr="00A43187">
        <w:rPr>
          <w:color w:val="000000"/>
          <w:sz w:val="22"/>
          <w:szCs w:val="22"/>
        </w:rPr>
        <w:t xml:space="preserve"> station</w:t>
      </w:r>
      <w:r>
        <w:rPr>
          <w:color w:val="000000"/>
          <w:sz w:val="22"/>
          <w:szCs w:val="22"/>
        </w:rPr>
        <w:t xml:space="preserve"> </w:t>
      </w:r>
      <w:r w:rsidRPr="00A43187">
        <w:rPr>
          <w:color w:val="000000"/>
          <w:sz w:val="22"/>
          <w:szCs w:val="22"/>
        </w:rPr>
        <w:t>logs, utility bills, lease documents, photographs of the installed antenna/transmitter/studio equipment, and</w:t>
      </w:r>
      <w:r>
        <w:rPr>
          <w:color w:val="000000"/>
          <w:sz w:val="22"/>
          <w:szCs w:val="22"/>
        </w:rPr>
        <w:t xml:space="preserve"> </w:t>
      </w:r>
      <w:r w:rsidRPr="00A43187">
        <w:rPr>
          <w:color w:val="000000"/>
          <w:sz w:val="22"/>
          <w:szCs w:val="22"/>
        </w:rPr>
        <w:t>other relevant documentation.</w:t>
      </w:r>
      <w:r w:rsidR="0014260D">
        <w:rPr>
          <w:color w:val="000000"/>
          <w:sz w:val="22"/>
          <w:szCs w:val="22"/>
        </w:rPr>
        <w:t xml:space="preserve"> </w:t>
      </w:r>
      <w:r w:rsidRPr="006D5951" w:rsidR="0014260D">
        <w:rPr>
          <w:color w:val="000000"/>
          <w:sz w:val="22"/>
          <w:szCs w:val="22"/>
        </w:rPr>
        <w:t xml:space="preserve"> </w:t>
      </w:r>
      <w:r w:rsidR="000E34AE">
        <w:rPr>
          <w:color w:val="000000"/>
          <w:sz w:val="22"/>
          <w:szCs w:val="22"/>
        </w:rPr>
        <w:t>W</w:t>
      </w:r>
      <w:r w:rsidR="00B23C92">
        <w:rPr>
          <w:color w:val="000000"/>
          <w:sz w:val="22"/>
          <w:szCs w:val="22"/>
        </w:rPr>
        <w:t xml:space="preserve">e consider each rebuttal </w:t>
      </w:r>
      <w:r w:rsidR="005378FD">
        <w:rPr>
          <w:color w:val="000000"/>
          <w:sz w:val="22"/>
          <w:szCs w:val="22"/>
        </w:rPr>
        <w:t xml:space="preserve">submitted </w:t>
      </w:r>
      <w:r w:rsidR="00B23C92">
        <w:rPr>
          <w:color w:val="000000"/>
          <w:sz w:val="22"/>
          <w:szCs w:val="22"/>
        </w:rPr>
        <w:t xml:space="preserve">on a case-by-case basis, taking into account </w:t>
      </w:r>
      <w:r w:rsidR="00D96770">
        <w:rPr>
          <w:color w:val="000000"/>
          <w:sz w:val="22"/>
          <w:szCs w:val="22"/>
        </w:rPr>
        <w:t>all</w:t>
      </w:r>
      <w:r w:rsidR="00B23C92">
        <w:rPr>
          <w:color w:val="000000"/>
          <w:sz w:val="22"/>
          <w:szCs w:val="22"/>
        </w:rPr>
        <w:t xml:space="preserve"> circumstances</w:t>
      </w:r>
      <w:r w:rsidR="00D96770">
        <w:rPr>
          <w:color w:val="000000"/>
          <w:sz w:val="22"/>
          <w:szCs w:val="22"/>
        </w:rPr>
        <w:t>,</w:t>
      </w:r>
      <w:r w:rsidR="00B23C92">
        <w:rPr>
          <w:color w:val="000000"/>
          <w:sz w:val="22"/>
          <w:szCs w:val="22"/>
        </w:rPr>
        <w:t xml:space="preserve"> including</w:t>
      </w:r>
      <w:r w:rsidR="00B60D0A">
        <w:rPr>
          <w:color w:val="000000"/>
          <w:sz w:val="22"/>
          <w:szCs w:val="22"/>
        </w:rPr>
        <w:t xml:space="preserve"> not only evidence </w:t>
      </w:r>
      <w:r w:rsidR="00010034">
        <w:rPr>
          <w:color w:val="000000"/>
          <w:sz w:val="22"/>
          <w:szCs w:val="22"/>
        </w:rPr>
        <w:t>directed</w:t>
      </w:r>
      <w:r w:rsidR="00B60D0A">
        <w:rPr>
          <w:color w:val="000000"/>
          <w:sz w:val="22"/>
          <w:szCs w:val="22"/>
        </w:rPr>
        <w:t xml:space="preserve"> to the physical construction of the station</w:t>
      </w:r>
      <w:r w:rsidR="00010034">
        <w:rPr>
          <w:color w:val="000000"/>
          <w:sz w:val="22"/>
          <w:szCs w:val="22"/>
        </w:rPr>
        <w:t>,</w:t>
      </w:r>
      <w:r w:rsidR="00B60D0A">
        <w:rPr>
          <w:color w:val="000000"/>
          <w:sz w:val="22"/>
          <w:szCs w:val="22"/>
        </w:rPr>
        <w:t xml:space="preserve"> but also</w:t>
      </w:r>
      <w:r w:rsidR="00B23C92">
        <w:rPr>
          <w:color w:val="000000"/>
          <w:sz w:val="22"/>
          <w:szCs w:val="22"/>
        </w:rPr>
        <w:t xml:space="preserve"> the reason the station went silent and the </w:t>
      </w:r>
      <w:r w:rsidR="00C018B6">
        <w:rPr>
          <w:color w:val="000000"/>
          <w:sz w:val="22"/>
          <w:szCs w:val="22"/>
        </w:rPr>
        <w:t>purpose of</w:t>
      </w:r>
      <w:r w:rsidR="00B23C92">
        <w:rPr>
          <w:color w:val="000000"/>
          <w:sz w:val="22"/>
          <w:szCs w:val="22"/>
        </w:rPr>
        <w:t xml:space="preserve"> the modification. </w:t>
      </w:r>
    </w:p>
    <w:p w:rsidR="001F2620" w:rsidP="001F2620" w14:paraId="39C41398" w14:textId="241B5219">
      <w:pPr>
        <w:spacing w:after="120"/>
        <w:ind w:firstLine="720"/>
        <w:rPr>
          <w:sz w:val="22"/>
          <w:szCs w:val="22"/>
        </w:rPr>
      </w:pPr>
      <w:r>
        <w:rPr>
          <w:color w:val="000000"/>
          <w:sz w:val="22"/>
          <w:szCs w:val="22"/>
        </w:rPr>
        <w:t xml:space="preserve">In this case, we find that Piedmont has presented facts that adequately rebut the presumption of temporary construction.  First, it has demonstrated that the </w:t>
      </w:r>
      <w:r w:rsidR="00E77054">
        <w:rPr>
          <w:color w:val="000000"/>
          <w:sz w:val="22"/>
          <w:szCs w:val="22"/>
        </w:rPr>
        <w:t xml:space="preserve">physical </w:t>
      </w:r>
      <w:r>
        <w:rPr>
          <w:color w:val="000000"/>
          <w:sz w:val="22"/>
          <w:szCs w:val="22"/>
        </w:rPr>
        <w:t>facility</w:t>
      </w:r>
      <w:r w:rsidRPr="006725A9">
        <w:rPr>
          <w:sz w:val="22"/>
          <w:szCs w:val="22"/>
        </w:rPr>
        <w:t xml:space="preserve"> </w:t>
      </w:r>
      <w:r>
        <w:rPr>
          <w:sz w:val="22"/>
          <w:szCs w:val="22"/>
        </w:rPr>
        <w:t xml:space="preserve">was </w:t>
      </w:r>
      <w:r w:rsidR="004E6B0F">
        <w:rPr>
          <w:sz w:val="22"/>
          <w:szCs w:val="22"/>
        </w:rPr>
        <w:t xml:space="preserve">permanently </w:t>
      </w:r>
      <w:r>
        <w:rPr>
          <w:sz w:val="22"/>
          <w:szCs w:val="22"/>
        </w:rPr>
        <w:t>constructed in accordance with the technical parameters of the Construction Permit</w:t>
      </w:r>
      <w:r>
        <w:rPr>
          <w:color w:val="000000"/>
          <w:sz w:val="22"/>
          <w:szCs w:val="22"/>
        </w:rPr>
        <w:t>.</w:t>
      </w:r>
      <w:r>
        <w:rPr>
          <w:rStyle w:val="FootnoteReference"/>
          <w:color w:val="000000"/>
          <w:sz w:val="22"/>
          <w:szCs w:val="22"/>
        </w:rPr>
        <w:footnoteReference w:id="33"/>
      </w:r>
      <w:r>
        <w:rPr>
          <w:color w:val="000000"/>
          <w:sz w:val="22"/>
          <w:szCs w:val="22"/>
        </w:rPr>
        <w:t xml:space="preserve">  The permanent nature of the physical construction is supported by </w:t>
      </w:r>
      <w:r w:rsidR="00C87D2C">
        <w:rPr>
          <w:color w:val="000000"/>
          <w:sz w:val="22"/>
          <w:szCs w:val="22"/>
        </w:rPr>
        <w:t>use of a permanent antenna structure</w:t>
      </w:r>
      <w:r w:rsidR="00CF59DC">
        <w:rPr>
          <w:color w:val="000000"/>
          <w:sz w:val="22"/>
          <w:szCs w:val="22"/>
        </w:rPr>
        <w:t xml:space="preserve"> registered in the Commission’s Antenna Structure Registration (ASR) database</w:t>
      </w:r>
      <w:r w:rsidR="00C87D2C">
        <w:rPr>
          <w:color w:val="000000"/>
          <w:sz w:val="22"/>
          <w:szCs w:val="22"/>
        </w:rPr>
        <w:t xml:space="preserve">, connection to the electrical grid, as well as </w:t>
      </w:r>
      <w:r>
        <w:rPr>
          <w:sz w:val="22"/>
          <w:szCs w:val="22"/>
        </w:rPr>
        <w:t>photos, emails, an invoice</w:t>
      </w:r>
      <w:r w:rsidR="007B5D87">
        <w:rPr>
          <w:sz w:val="22"/>
          <w:szCs w:val="22"/>
        </w:rPr>
        <w:t xml:space="preserve"> for the installation from a third party tower service</w:t>
      </w:r>
      <w:r>
        <w:rPr>
          <w:sz w:val="22"/>
          <w:szCs w:val="22"/>
        </w:rPr>
        <w:t>, and a sworn statement from an engineer with personal knowledge of the installation</w:t>
      </w:r>
      <w:r w:rsidRPr="00484014">
        <w:rPr>
          <w:sz w:val="22"/>
          <w:szCs w:val="22"/>
        </w:rPr>
        <w:t>.</w:t>
      </w:r>
      <w:r>
        <w:rPr>
          <w:rStyle w:val="FootnoteReference"/>
          <w:sz w:val="22"/>
          <w:szCs w:val="22"/>
        </w:rPr>
        <w:footnoteReference w:id="34"/>
      </w:r>
      <w:r>
        <w:rPr>
          <w:sz w:val="22"/>
          <w:szCs w:val="22"/>
        </w:rPr>
        <w:t xml:space="preserve">  Second, after licensing, the Station’s facilities were not dismantled but remained intact and operable,</w:t>
      </w:r>
      <w:r w:rsidRPr="0073503C">
        <w:rPr>
          <w:color w:val="000000"/>
          <w:sz w:val="22"/>
          <w:szCs w:val="22"/>
        </w:rPr>
        <w:t xml:space="preserve"> </w:t>
      </w:r>
      <w:r>
        <w:rPr>
          <w:color w:val="000000"/>
          <w:sz w:val="22"/>
          <w:szCs w:val="22"/>
        </w:rPr>
        <w:t>as evidenced by the resumption of the Station’s operations on November 4, 2022</w:t>
      </w:r>
      <w:r>
        <w:rPr>
          <w:sz w:val="22"/>
          <w:szCs w:val="22"/>
        </w:rPr>
        <w:t>.</w:t>
      </w:r>
      <w:r>
        <w:rPr>
          <w:rStyle w:val="FootnoteReference"/>
          <w:sz w:val="22"/>
          <w:szCs w:val="22"/>
        </w:rPr>
        <w:footnoteReference w:id="35"/>
      </w:r>
      <w:r>
        <w:rPr>
          <w:sz w:val="22"/>
          <w:szCs w:val="22"/>
        </w:rPr>
        <w:t xml:space="preserve">  Third, because Piedmont owned the tower at the Licensed Site, there was no legal </w:t>
      </w:r>
      <w:r w:rsidR="00C87D2C">
        <w:rPr>
          <w:sz w:val="22"/>
          <w:szCs w:val="22"/>
        </w:rPr>
        <w:t xml:space="preserve">or practical </w:t>
      </w:r>
      <w:r>
        <w:rPr>
          <w:sz w:val="22"/>
          <w:szCs w:val="22"/>
        </w:rPr>
        <w:t>impediment to long term operation at that location.</w:t>
      </w:r>
      <w:r>
        <w:rPr>
          <w:rStyle w:val="FootnoteReference"/>
          <w:color w:val="000000"/>
          <w:sz w:val="22"/>
          <w:szCs w:val="22"/>
        </w:rPr>
        <w:footnoteReference w:id="36"/>
      </w:r>
      <w:r>
        <w:rPr>
          <w:sz w:val="22"/>
          <w:szCs w:val="22"/>
        </w:rPr>
        <w:t xml:space="preserve">  </w:t>
      </w:r>
      <w:r w:rsidR="00C87D2C">
        <w:rPr>
          <w:sz w:val="22"/>
          <w:szCs w:val="22"/>
        </w:rPr>
        <w:t xml:space="preserve">Based on </w:t>
      </w:r>
      <w:r>
        <w:rPr>
          <w:sz w:val="22"/>
          <w:szCs w:val="22"/>
        </w:rPr>
        <w:t xml:space="preserve">these circumstances, we conclude that the Station was </w:t>
      </w:r>
      <w:r>
        <w:rPr>
          <w:color w:val="000000"/>
          <w:sz w:val="22"/>
          <w:szCs w:val="22"/>
        </w:rPr>
        <w:t xml:space="preserve">“ready for operation” </w:t>
      </w:r>
      <w:r w:rsidRPr="00BB46EE">
        <w:rPr>
          <w:color w:val="000000"/>
          <w:sz w:val="22"/>
          <w:szCs w:val="22"/>
        </w:rPr>
        <w:t xml:space="preserve">within the meaning of </w:t>
      </w:r>
      <w:r>
        <w:rPr>
          <w:color w:val="000000"/>
          <w:sz w:val="22"/>
          <w:szCs w:val="22"/>
        </w:rPr>
        <w:t>s</w:t>
      </w:r>
      <w:r w:rsidRPr="00BB46EE">
        <w:rPr>
          <w:color w:val="000000"/>
          <w:sz w:val="22"/>
          <w:szCs w:val="22"/>
        </w:rPr>
        <w:t xml:space="preserve">ection </w:t>
      </w:r>
      <w:r w:rsidRPr="00BB46EE">
        <w:rPr>
          <w:color w:val="000000"/>
          <w:sz w:val="22"/>
          <w:szCs w:val="22"/>
        </w:rPr>
        <w:t>319(b)</w:t>
      </w:r>
      <w:r>
        <w:rPr>
          <w:color w:val="000000"/>
          <w:sz w:val="22"/>
          <w:szCs w:val="22"/>
        </w:rPr>
        <w:t xml:space="preserve"> of the Communications Act of 1934, as amended, and the relevant prior decisions regarding temporary construction.</w:t>
      </w:r>
      <w:r>
        <w:rPr>
          <w:rStyle w:val="FootnoteReference"/>
          <w:color w:val="000000"/>
          <w:sz w:val="22"/>
          <w:szCs w:val="22"/>
        </w:rPr>
        <w:footnoteReference w:id="37"/>
      </w:r>
    </w:p>
    <w:p w:rsidR="001F2620" w:rsidP="001F2620" w14:paraId="32308EA7" w14:textId="6F1A41AB">
      <w:pPr>
        <w:spacing w:after="120"/>
        <w:ind w:firstLine="720"/>
        <w:rPr>
          <w:color w:val="000000"/>
          <w:sz w:val="22"/>
          <w:szCs w:val="22"/>
        </w:rPr>
      </w:pPr>
      <w:r>
        <w:rPr>
          <w:sz w:val="22"/>
          <w:szCs w:val="22"/>
        </w:rPr>
        <w:t xml:space="preserve">We also find that </w:t>
      </w:r>
      <w:r w:rsidR="00560A44">
        <w:rPr>
          <w:sz w:val="22"/>
          <w:szCs w:val="22"/>
        </w:rPr>
        <w:t xml:space="preserve">the </w:t>
      </w:r>
      <w:r w:rsidR="00DF5ED5">
        <w:rPr>
          <w:sz w:val="22"/>
          <w:szCs w:val="22"/>
        </w:rPr>
        <w:t xml:space="preserve">reason for </w:t>
      </w:r>
      <w:r w:rsidR="00560A44">
        <w:rPr>
          <w:sz w:val="22"/>
          <w:szCs w:val="22"/>
        </w:rPr>
        <w:t>the Station’s</w:t>
      </w:r>
      <w:r>
        <w:rPr>
          <w:sz w:val="22"/>
          <w:szCs w:val="22"/>
        </w:rPr>
        <w:t xml:space="preserve"> silence </w:t>
      </w:r>
      <w:r w:rsidR="00560A44">
        <w:rPr>
          <w:sz w:val="22"/>
          <w:szCs w:val="22"/>
        </w:rPr>
        <w:t>and proposed relocation w</w:t>
      </w:r>
      <w:r w:rsidR="00AF536E">
        <w:rPr>
          <w:sz w:val="22"/>
          <w:szCs w:val="22"/>
        </w:rPr>
        <w:t>as</w:t>
      </w:r>
      <w:r w:rsidR="00560A44">
        <w:rPr>
          <w:sz w:val="22"/>
          <w:szCs w:val="22"/>
        </w:rPr>
        <w:t xml:space="preserve"> the implementation of </w:t>
      </w:r>
      <w:r w:rsidR="00546410">
        <w:rPr>
          <w:sz w:val="22"/>
          <w:szCs w:val="22"/>
        </w:rPr>
        <w:t xml:space="preserve">a </w:t>
      </w:r>
      <w:r w:rsidR="005265FB">
        <w:rPr>
          <w:sz w:val="22"/>
          <w:szCs w:val="22"/>
        </w:rPr>
        <w:t>legitimate</w:t>
      </w:r>
      <w:r w:rsidR="004E753F">
        <w:rPr>
          <w:sz w:val="22"/>
          <w:szCs w:val="22"/>
        </w:rPr>
        <w:t xml:space="preserve"> and reasonable business plan</w:t>
      </w:r>
      <w:r w:rsidR="0084502C">
        <w:rPr>
          <w:sz w:val="22"/>
          <w:szCs w:val="22"/>
        </w:rPr>
        <w:t xml:space="preserve"> to</w:t>
      </w:r>
      <w:r w:rsidR="00382764">
        <w:rPr>
          <w:sz w:val="22"/>
          <w:szCs w:val="22"/>
        </w:rPr>
        <w:t xml:space="preserve"> transition the </w:t>
      </w:r>
      <w:r w:rsidR="00FF69FF">
        <w:rPr>
          <w:sz w:val="22"/>
          <w:szCs w:val="22"/>
        </w:rPr>
        <w:t>Station from</w:t>
      </w:r>
      <w:r w:rsidR="0084502C">
        <w:rPr>
          <w:sz w:val="22"/>
          <w:szCs w:val="22"/>
        </w:rPr>
        <w:t xml:space="preserve"> rebroadcasting</w:t>
      </w:r>
      <w:r w:rsidR="00FF69FF">
        <w:rPr>
          <w:sz w:val="22"/>
          <w:szCs w:val="22"/>
        </w:rPr>
        <w:t xml:space="preserve"> one primary station to another pursuant to an assignment</w:t>
      </w:r>
      <w:r w:rsidR="0084502C">
        <w:rPr>
          <w:sz w:val="22"/>
          <w:szCs w:val="22"/>
        </w:rPr>
        <w:t xml:space="preserve"> and modify the facility to </w:t>
      </w:r>
      <w:r w:rsidR="00491152">
        <w:rPr>
          <w:sz w:val="22"/>
          <w:szCs w:val="22"/>
        </w:rPr>
        <w:t xml:space="preserve">provide </w:t>
      </w:r>
      <w:r w:rsidR="0046690E">
        <w:rPr>
          <w:sz w:val="22"/>
          <w:szCs w:val="22"/>
        </w:rPr>
        <w:t xml:space="preserve">fill-in service for </w:t>
      </w:r>
      <w:r w:rsidR="0084502C">
        <w:rPr>
          <w:sz w:val="22"/>
          <w:szCs w:val="22"/>
        </w:rPr>
        <w:t>the new primary station’s listeners</w:t>
      </w:r>
      <w:r w:rsidR="00546410">
        <w:rPr>
          <w:sz w:val="22"/>
          <w:szCs w:val="22"/>
        </w:rPr>
        <w:t xml:space="preserve">. </w:t>
      </w:r>
      <w:r w:rsidR="00560A44">
        <w:rPr>
          <w:sz w:val="22"/>
          <w:szCs w:val="22"/>
        </w:rPr>
        <w:t xml:space="preserve"> </w:t>
      </w:r>
      <w:r>
        <w:rPr>
          <w:sz w:val="22"/>
          <w:szCs w:val="22"/>
        </w:rPr>
        <w:t>We reject Tidewater’s argument that either Clear Channel’s intention</w:t>
      </w:r>
      <w:r w:rsidRPr="00287C8F">
        <w:rPr>
          <w:sz w:val="22"/>
          <w:szCs w:val="22"/>
        </w:rPr>
        <w:t xml:space="preserve"> </w:t>
      </w:r>
      <w:r>
        <w:rPr>
          <w:sz w:val="22"/>
          <w:szCs w:val="22"/>
        </w:rPr>
        <w:t xml:space="preserve">to sell the Station after licensing or Piedmont’s intention to relocate the Station after acquiring it, </w:t>
      </w:r>
      <w:r w:rsidR="008F29D9">
        <w:rPr>
          <w:sz w:val="22"/>
          <w:szCs w:val="22"/>
        </w:rPr>
        <w:t>alone</w:t>
      </w:r>
      <w:r>
        <w:rPr>
          <w:sz w:val="22"/>
          <w:szCs w:val="22"/>
        </w:rPr>
        <w:t xml:space="preserve">, establishes that the Station was temporarily constructed.  </w:t>
      </w:r>
      <w:r>
        <w:rPr>
          <w:color w:val="000000"/>
          <w:sz w:val="22"/>
          <w:szCs w:val="22"/>
        </w:rPr>
        <w:t>We have previously stated that “n</w:t>
      </w:r>
      <w:r w:rsidRPr="00E9282E">
        <w:rPr>
          <w:color w:val="000000"/>
          <w:sz w:val="22"/>
          <w:szCs w:val="22"/>
        </w:rPr>
        <w:t xml:space="preserve">othing in the Commission’s decisions in </w:t>
      </w:r>
      <w:r w:rsidRPr="00866418">
        <w:rPr>
          <w:i/>
          <w:iCs/>
          <w:color w:val="000000"/>
          <w:sz w:val="22"/>
          <w:szCs w:val="22"/>
        </w:rPr>
        <w:t>Tango</w:t>
      </w:r>
      <w:r w:rsidRPr="00E9282E">
        <w:rPr>
          <w:color w:val="000000"/>
          <w:sz w:val="22"/>
          <w:szCs w:val="22"/>
        </w:rPr>
        <w:t xml:space="preserve"> and related cases suggests that the Commission intended to disrupt legitimate and reasonable business plans to modify</w:t>
      </w:r>
      <w:r>
        <w:rPr>
          <w:color w:val="000000"/>
          <w:sz w:val="22"/>
          <w:szCs w:val="22"/>
        </w:rPr>
        <w:t xml:space="preserve"> or upgrade</w:t>
      </w:r>
      <w:r w:rsidRPr="00E9282E">
        <w:rPr>
          <w:color w:val="000000"/>
          <w:sz w:val="22"/>
          <w:szCs w:val="22"/>
        </w:rPr>
        <w:t xml:space="preserve"> an existing and operational facility.”</w:t>
      </w:r>
      <w:r>
        <w:rPr>
          <w:rStyle w:val="FootnoteReference"/>
          <w:color w:val="000000"/>
          <w:sz w:val="22"/>
          <w:szCs w:val="22"/>
        </w:rPr>
        <w:footnoteReference w:id="38"/>
      </w:r>
      <w:r w:rsidRPr="00E9282E">
        <w:rPr>
          <w:color w:val="000000"/>
          <w:sz w:val="22"/>
          <w:szCs w:val="22"/>
        </w:rPr>
        <w:t xml:space="preserve"> </w:t>
      </w:r>
      <w:r>
        <w:rPr>
          <w:color w:val="000000"/>
          <w:sz w:val="22"/>
          <w:szCs w:val="22"/>
        </w:rPr>
        <w:t xml:space="preserve"> The temporary construction condition was not intended to impede the transferability of commercial broadcast licenses or prohibit modifications</w:t>
      </w:r>
      <w:r w:rsidR="007C6E4A">
        <w:rPr>
          <w:color w:val="000000"/>
          <w:sz w:val="22"/>
          <w:szCs w:val="22"/>
        </w:rPr>
        <w:t>,</w:t>
      </w:r>
      <w:r w:rsidR="00FE46DF">
        <w:rPr>
          <w:color w:val="000000"/>
          <w:sz w:val="22"/>
          <w:szCs w:val="22"/>
        </w:rPr>
        <w:t xml:space="preserve"> whether foreseen at the time of the transaction or not</w:t>
      </w:r>
      <w:r>
        <w:rPr>
          <w:color w:val="000000"/>
          <w:sz w:val="22"/>
          <w:szCs w:val="22"/>
        </w:rPr>
        <w:t xml:space="preserve">.  In this case, although Piedmont could have avoided the presumption by continuing to rebroadcast its original primary station while preparing </w:t>
      </w:r>
      <w:r w:rsidR="00DF5ED5">
        <w:rPr>
          <w:color w:val="000000"/>
          <w:sz w:val="22"/>
          <w:szCs w:val="22"/>
        </w:rPr>
        <w:t xml:space="preserve">for </w:t>
      </w:r>
      <w:r>
        <w:rPr>
          <w:color w:val="000000"/>
          <w:sz w:val="22"/>
          <w:szCs w:val="22"/>
        </w:rPr>
        <w:t>its facilit</w:t>
      </w:r>
      <w:r w:rsidR="00DF5ED5">
        <w:rPr>
          <w:color w:val="000000"/>
          <w:sz w:val="22"/>
          <w:szCs w:val="22"/>
        </w:rPr>
        <w:t>y modification</w:t>
      </w:r>
      <w:r>
        <w:rPr>
          <w:color w:val="000000"/>
          <w:sz w:val="22"/>
          <w:szCs w:val="22"/>
        </w:rPr>
        <w:t xml:space="preserve">, it was not required to do so if it was </w:t>
      </w:r>
      <w:r w:rsidR="001F5764">
        <w:rPr>
          <w:color w:val="000000"/>
          <w:sz w:val="22"/>
          <w:szCs w:val="22"/>
        </w:rPr>
        <w:t>willing</w:t>
      </w:r>
      <w:r>
        <w:rPr>
          <w:color w:val="000000"/>
          <w:sz w:val="22"/>
          <w:szCs w:val="22"/>
        </w:rPr>
        <w:t xml:space="preserve"> to assume the risk and responsibility of going silent </w:t>
      </w:r>
      <w:r w:rsidR="007271C4">
        <w:rPr>
          <w:color w:val="000000"/>
          <w:sz w:val="22"/>
          <w:szCs w:val="22"/>
        </w:rPr>
        <w:t xml:space="preserve">in order to facilitate an assignment and </w:t>
      </w:r>
      <w:r w:rsidR="006C27B3">
        <w:rPr>
          <w:color w:val="000000"/>
          <w:sz w:val="22"/>
          <w:szCs w:val="22"/>
        </w:rPr>
        <w:t>resulting</w:t>
      </w:r>
      <w:r w:rsidR="007271C4">
        <w:rPr>
          <w:color w:val="000000"/>
          <w:sz w:val="22"/>
          <w:szCs w:val="22"/>
        </w:rPr>
        <w:t xml:space="preserve"> modification </w:t>
      </w:r>
      <w:r w:rsidR="00940610">
        <w:rPr>
          <w:color w:val="000000"/>
          <w:sz w:val="22"/>
          <w:szCs w:val="22"/>
        </w:rPr>
        <w:t xml:space="preserve">to </w:t>
      </w:r>
      <w:r w:rsidR="00B017AD">
        <w:rPr>
          <w:color w:val="000000"/>
          <w:sz w:val="22"/>
          <w:szCs w:val="22"/>
        </w:rPr>
        <w:t xml:space="preserve">the Station to </w:t>
      </w:r>
      <w:r w:rsidR="0084502C">
        <w:rPr>
          <w:color w:val="000000"/>
          <w:sz w:val="22"/>
          <w:szCs w:val="22"/>
        </w:rPr>
        <w:t xml:space="preserve">rebroadcast </w:t>
      </w:r>
      <w:r w:rsidR="00940610">
        <w:rPr>
          <w:color w:val="000000"/>
          <w:sz w:val="22"/>
          <w:szCs w:val="22"/>
        </w:rPr>
        <w:t xml:space="preserve">a new primary station </w:t>
      </w:r>
      <w:r>
        <w:rPr>
          <w:color w:val="000000"/>
          <w:sz w:val="22"/>
          <w:szCs w:val="22"/>
        </w:rPr>
        <w:t>and then rebutting the temporary construction presumption, which it has done.</w:t>
      </w:r>
      <w:r w:rsidR="00355D0B">
        <w:rPr>
          <w:color w:val="000000"/>
          <w:sz w:val="22"/>
          <w:szCs w:val="22"/>
        </w:rPr>
        <w:t xml:space="preserve"> </w:t>
      </w:r>
      <w:r w:rsidR="00AA73D5">
        <w:rPr>
          <w:color w:val="000000"/>
          <w:sz w:val="22"/>
          <w:szCs w:val="22"/>
        </w:rPr>
        <w:t xml:space="preserve"> </w:t>
      </w:r>
    </w:p>
    <w:p w:rsidR="001F2620" w:rsidP="001F2620" w14:paraId="0BDD6DBE" w14:textId="2DEB0B8F">
      <w:pPr>
        <w:spacing w:after="120"/>
        <w:ind w:firstLine="720"/>
        <w:rPr>
          <w:color w:val="000000"/>
          <w:sz w:val="22"/>
          <w:szCs w:val="22"/>
        </w:rPr>
      </w:pPr>
      <w:r>
        <w:rPr>
          <w:color w:val="000000"/>
          <w:sz w:val="22"/>
          <w:szCs w:val="22"/>
        </w:rPr>
        <w:t>We also reject Tidewater’s allegation that the Modification Application was part of a series of translator “hops” intended to circumvent the major change rule.</w:t>
      </w:r>
      <w:r>
        <w:rPr>
          <w:rStyle w:val="FootnoteReference"/>
          <w:color w:val="000000"/>
          <w:sz w:val="22"/>
          <w:szCs w:val="22"/>
        </w:rPr>
        <w:footnoteReference w:id="39"/>
      </w:r>
      <w:r>
        <w:rPr>
          <w:color w:val="000000"/>
          <w:sz w:val="22"/>
          <w:szCs w:val="22"/>
        </w:rPr>
        <w:t xml:space="preserve">  We have held that serial</w:t>
      </w:r>
      <w:r w:rsidRPr="00E6480D">
        <w:rPr>
          <w:color w:val="000000"/>
          <w:sz w:val="22"/>
          <w:szCs w:val="22"/>
        </w:rPr>
        <w:t xml:space="preserve"> modifications</w:t>
      </w:r>
      <w:r>
        <w:rPr>
          <w:color w:val="000000"/>
          <w:sz w:val="22"/>
          <w:szCs w:val="22"/>
        </w:rPr>
        <w:t xml:space="preserve"> </w:t>
      </w:r>
      <w:r w:rsidRPr="00E6480D">
        <w:rPr>
          <w:color w:val="000000"/>
          <w:sz w:val="22"/>
          <w:szCs w:val="22"/>
        </w:rPr>
        <w:t xml:space="preserve">do not implicate </w:t>
      </w:r>
      <w:r>
        <w:rPr>
          <w:color w:val="000000"/>
          <w:sz w:val="22"/>
          <w:szCs w:val="22"/>
        </w:rPr>
        <w:t>abuse of process</w:t>
      </w:r>
      <w:r w:rsidRPr="00E6480D">
        <w:rPr>
          <w:color w:val="000000"/>
          <w:sz w:val="22"/>
          <w:szCs w:val="22"/>
        </w:rPr>
        <w:t xml:space="preserve"> concerns if they ultimately return the relevant station’s facilities to their</w:t>
      </w:r>
      <w:r>
        <w:rPr>
          <w:color w:val="000000"/>
          <w:sz w:val="22"/>
          <w:szCs w:val="22"/>
        </w:rPr>
        <w:t xml:space="preserve"> </w:t>
      </w:r>
      <w:r w:rsidRPr="00E6480D">
        <w:rPr>
          <w:color w:val="000000"/>
          <w:sz w:val="22"/>
          <w:szCs w:val="22"/>
        </w:rPr>
        <w:t>original location</w:t>
      </w:r>
      <w:r>
        <w:rPr>
          <w:color w:val="000000"/>
          <w:sz w:val="22"/>
          <w:szCs w:val="22"/>
        </w:rPr>
        <w:t>, as here</w:t>
      </w:r>
      <w:r w:rsidRPr="00E6480D">
        <w:rPr>
          <w:color w:val="000000"/>
          <w:sz w:val="22"/>
          <w:szCs w:val="22"/>
        </w:rPr>
        <w:t>.</w:t>
      </w:r>
      <w:r>
        <w:rPr>
          <w:rStyle w:val="FootnoteReference"/>
          <w:color w:val="000000"/>
          <w:sz w:val="22"/>
          <w:szCs w:val="22"/>
        </w:rPr>
        <w:footnoteReference w:id="40"/>
      </w:r>
      <w:r w:rsidRPr="00E6480D">
        <w:rPr>
          <w:color w:val="000000"/>
          <w:sz w:val="22"/>
          <w:szCs w:val="22"/>
        </w:rPr>
        <w:t xml:space="preserve"> </w:t>
      </w:r>
      <w:r>
        <w:rPr>
          <w:color w:val="000000"/>
          <w:sz w:val="22"/>
          <w:szCs w:val="22"/>
        </w:rPr>
        <w:t xml:space="preserve"> Moreover, when considering serial translator moves, the Bureau is careful to distinguish between modifications based on legitimate business or interference concerns and deliberate attempts to circumvent the Commission’s rules and policies.</w:t>
      </w:r>
      <w:r>
        <w:rPr>
          <w:rStyle w:val="FootnoteReference"/>
          <w:color w:val="000000"/>
          <w:sz w:val="22"/>
          <w:szCs w:val="22"/>
        </w:rPr>
        <w:footnoteReference w:id="41"/>
      </w:r>
      <w:r>
        <w:rPr>
          <w:color w:val="000000"/>
          <w:sz w:val="22"/>
          <w:szCs w:val="22"/>
        </w:rPr>
        <w:t xml:space="preserve">  </w:t>
      </w:r>
      <w:r w:rsidR="00EB128C">
        <w:rPr>
          <w:color w:val="000000"/>
          <w:sz w:val="22"/>
          <w:szCs w:val="22"/>
        </w:rPr>
        <w:t xml:space="preserve">As discussed previously, we find that this </w:t>
      </w:r>
      <w:r w:rsidR="00F44966">
        <w:rPr>
          <w:color w:val="000000"/>
          <w:sz w:val="22"/>
          <w:szCs w:val="22"/>
        </w:rPr>
        <w:t>modification</w:t>
      </w:r>
      <w:r w:rsidR="00EB128C">
        <w:rPr>
          <w:color w:val="000000"/>
          <w:sz w:val="22"/>
          <w:szCs w:val="22"/>
        </w:rPr>
        <w:t xml:space="preserve"> was proposed in conjunction with a legitimate business t</w:t>
      </w:r>
      <w:r w:rsidR="00ED5100">
        <w:rPr>
          <w:color w:val="000000"/>
          <w:sz w:val="22"/>
          <w:szCs w:val="22"/>
        </w:rPr>
        <w:t xml:space="preserve">ransaction. </w:t>
      </w:r>
      <w:r>
        <w:rPr>
          <w:color w:val="000000"/>
          <w:sz w:val="22"/>
          <w:szCs w:val="22"/>
        </w:rPr>
        <w:t xml:space="preserve"> </w:t>
      </w:r>
      <w:r w:rsidR="00EB128C">
        <w:rPr>
          <w:color w:val="000000"/>
          <w:sz w:val="22"/>
          <w:szCs w:val="22"/>
        </w:rPr>
        <w:t xml:space="preserve">Moreover, </w:t>
      </w:r>
      <w:r>
        <w:rPr>
          <w:color w:val="000000"/>
          <w:sz w:val="22"/>
          <w:szCs w:val="22"/>
        </w:rPr>
        <w:t xml:space="preserve">there is no Commission rule or policy that would be circumvented by Piedmont moving the Station closer to its community of license and originally authorized transmitter site. </w:t>
      </w:r>
    </w:p>
    <w:p w:rsidR="0084502C" w:rsidP="001F2620" w14:paraId="6578050B" w14:textId="77777777">
      <w:pPr>
        <w:spacing w:after="120"/>
        <w:ind w:firstLine="720"/>
        <w:rPr>
          <w:color w:val="000000"/>
          <w:sz w:val="22"/>
          <w:szCs w:val="22"/>
        </w:rPr>
      </w:pPr>
      <w:r w:rsidRPr="00600276">
        <w:rPr>
          <w:b/>
          <w:spacing w:val="-2"/>
          <w:sz w:val="22"/>
          <w:szCs w:val="22"/>
        </w:rPr>
        <w:t>Conclusion/Actions.</w:t>
      </w:r>
      <w:r>
        <w:rPr>
          <w:b/>
          <w:spacing w:val="-2"/>
          <w:sz w:val="22"/>
          <w:szCs w:val="22"/>
        </w:rPr>
        <w:t xml:space="preserve">  </w:t>
      </w:r>
      <w:r>
        <w:rPr>
          <w:spacing w:val="-2"/>
          <w:sz w:val="22"/>
          <w:szCs w:val="22"/>
        </w:rPr>
        <w:t xml:space="preserve">For these reasons, </w:t>
      </w:r>
      <w:r w:rsidRPr="00EC18F9">
        <w:rPr>
          <w:b/>
          <w:bCs/>
          <w:spacing w:val="-2"/>
          <w:sz w:val="22"/>
          <w:szCs w:val="22"/>
        </w:rPr>
        <w:t>IT IS ORDERED</w:t>
      </w:r>
      <w:r>
        <w:rPr>
          <w:spacing w:val="-2"/>
          <w:sz w:val="22"/>
          <w:szCs w:val="22"/>
        </w:rPr>
        <w:t xml:space="preserve"> t</w:t>
      </w:r>
      <w:r>
        <w:rPr>
          <w:sz w:val="22"/>
          <w:szCs w:val="22"/>
        </w:rPr>
        <w:t>hat the Informal Objection</w:t>
      </w:r>
      <w:r>
        <w:rPr>
          <w:color w:val="000000"/>
          <w:sz w:val="22"/>
          <w:szCs w:val="22"/>
        </w:rPr>
        <w:t xml:space="preserve"> filed by </w:t>
      </w:r>
      <w:r w:rsidRPr="000E1A8D">
        <w:rPr>
          <w:sz w:val="22"/>
          <w:szCs w:val="22"/>
        </w:rPr>
        <w:t>Tidewater Communications, LLC on November 2, 2022</w:t>
      </w:r>
      <w:r>
        <w:rPr>
          <w:sz w:val="22"/>
          <w:szCs w:val="22"/>
        </w:rPr>
        <w:t xml:space="preserve">, </w:t>
      </w:r>
      <w:r w:rsidRPr="00EC18F9">
        <w:rPr>
          <w:b/>
          <w:bCs/>
          <w:sz w:val="22"/>
          <w:szCs w:val="22"/>
        </w:rPr>
        <w:t>IS DENIED</w:t>
      </w:r>
      <w:r>
        <w:rPr>
          <w:sz w:val="22"/>
          <w:szCs w:val="22"/>
        </w:rPr>
        <w:t xml:space="preserve"> and the </w:t>
      </w:r>
      <w:r>
        <w:rPr>
          <w:color w:val="000000"/>
          <w:sz w:val="22"/>
          <w:szCs w:val="22"/>
        </w:rPr>
        <w:t xml:space="preserve">modification application </w:t>
      </w:r>
      <w:r>
        <w:rPr>
          <w:color w:val="000000"/>
          <w:sz w:val="22"/>
          <w:szCs w:val="22"/>
        </w:rPr>
        <w:br w:type="page"/>
      </w:r>
    </w:p>
    <w:p w:rsidR="001F2620" w:rsidP="00F62F8A" w14:paraId="48C7DA08" w14:textId="5BF51D75">
      <w:pPr>
        <w:spacing w:after="120"/>
        <w:rPr>
          <w:sz w:val="22"/>
          <w:szCs w:val="22"/>
        </w:rPr>
      </w:pPr>
      <w:r>
        <w:rPr>
          <w:sz w:val="22"/>
          <w:szCs w:val="22"/>
        </w:rPr>
        <w:t>for</w:t>
      </w:r>
      <w:r w:rsidRPr="000E1A8D">
        <w:rPr>
          <w:sz w:val="22"/>
          <w:szCs w:val="22"/>
        </w:rPr>
        <w:t xml:space="preserve"> FM translator station W288ED, Charlottesville, Virginia</w:t>
      </w:r>
      <w:r>
        <w:rPr>
          <w:sz w:val="22"/>
          <w:szCs w:val="22"/>
        </w:rPr>
        <w:t>,</w:t>
      </w:r>
      <w:r w:rsidRPr="000E1A8D">
        <w:rPr>
          <w:sz w:val="22"/>
          <w:szCs w:val="22"/>
        </w:rPr>
        <w:t xml:space="preserve"> filed on October 24, 2022, by Piedmont Communications, Inc.</w:t>
      </w:r>
      <w:r>
        <w:rPr>
          <w:sz w:val="22"/>
          <w:szCs w:val="22"/>
        </w:rPr>
        <w:t xml:space="preserve">, Application File No. 202787, </w:t>
      </w:r>
      <w:r w:rsidRPr="00EC18F9">
        <w:rPr>
          <w:b/>
          <w:bCs/>
          <w:sz w:val="22"/>
          <w:szCs w:val="22"/>
        </w:rPr>
        <w:t>IS GRANTED</w:t>
      </w:r>
      <w:r>
        <w:rPr>
          <w:sz w:val="22"/>
          <w:szCs w:val="22"/>
        </w:rPr>
        <w:t>.</w:t>
      </w:r>
    </w:p>
    <w:p w:rsidR="001F2620" w:rsidP="001F2620" w14:paraId="36042DBD" w14:textId="77777777">
      <w:pPr>
        <w:spacing w:after="120"/>
        <w:ind w:firstLine="720"/>
        <w:rPr>
          <w:color w:val="000000"/>
          <w:sz w:val="22"/>
          <w:szCs w:val="22"/>
        </w:rPr>
      </w:pPr>
    </w:p>
    <w:p w:rsidR="001F2620" w:rsidRPr="005675BC" w:rsidP="001F2620" w14:paraId="595B746A" w14:textId="77777777">
      <w:pPr>
        <w:tabs>
          <w:tab w:val="left" w:pos="270"/>
        </w:tab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Sincerely,</w:t>
      </w:r>
    </w:p>
    <w:p w:rsidR="001F2620" w:rsidRPr="005675BC" w:rsidP="001F2620" w14:paraId="248DEEA9" w14:textId="77777777">
      <w:pPr>
        <w:tabs>
          <w:tab w:val="left" w:pos="0"/>
          <w:tab w:val="left" w:pos="270"/>
        </w:tabs>
        <w:suppressAutoHyphens/>
        <w:rPr>
          <w:color w:val="000000"/>
          <w:sz w:val="22"/>
          <w:szCs w:val="22"/>
        </w:rPr>
      </w:pPr>
    </w:p>
    <w:p w:rsidR="001F2620" w:rsidP="001F2620" w14:paraId="74098F4D" w14:textId="77777777">
      <w:pPr>
        <w:tabs>
          <w:tab w:val="left" w:pos="0"/>
          <w:tab w:val="left" w:pos="270"/>
        </w:tabs>
        <w:suppressAutoHyphens/>
        <w:rPr>
          <w:color w:val="000000"/>
          <w:sz w:val="22"/>
          <w:szCs w:val="22"/>
        </w:rPr>
      </w:pPr>
    </w:p>
    <w:p w:rsidR="001F2620" w:rsidRPr="005675BC" w:rsidP="001F2620" w14:paraId="2DCB68DF" w14:textId="77777777">
      <w:pPr>
        <w:tabs>
          <w:tab w:val="left" w:pos="0"/>
          <w:tab w:val="left" w:pos="270"/>
        </w:tabs>
        <w:suppressAutoHyphens/>
        <w:rPr>
          <w:color w:val="000000"/>
          <w:sz w:val="22"/>
          <w:szCs w:val="22"/>
        </w:rPr>
      </w:pPr>
    </w:p>
    <w:p w:rsidR="001F2620" w:rsidRPr="005675BC" w:rsidP="001F2620" w14:paraId="6F82FC10" w14:textId="77777777">
      <w:pPr>
        <w:tabs>
          <w:tab w:val="left" w:pos="0"/>
          <w:tab w:val="left" w:pos="270"/>
        </w:tabs>
        <w:suppressAutoHyphens/>
        <w:rPr>
          <w:color w:val="000000"/>
          <w:sz w:val="22"/>
          <w:szCs w:val="22"/>
        </w:rPr>
      </w:pPr>
    </w:p>
    <w:p w:rsidR="001F2620" w:rsidP="001F2620" w14:paraId="0F0CF5D7" w14:textId="77777777">
      <w:pPr>
        <w:tabs>
          <w:tab w:val="left" w:pos="0"/>
        </w:tabs>
        <w:suppressAutoHyphens/>
        <w:outlineLvl w:val="0"/>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Pr>
          <w:color w:val="000000"/>
          <w:sz w:val="22"/>
          <w:szCs w:val="22"/>
        </w:rPr>
        <w:t>Albert Shuldiner</w:t>
      </w:r>
    </w:p>
    <w:p w:rsidR="001F2620" w:rsidRPr="005675BC" w:rsidP="001F2620" w14:paraId="7F3FEEAD" w14:textId="77777777">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Pr>
          <w:color w:val="000000"/>
          <w:sz w:val="22"/>
          <w:szCs w:val="22"/>
        </w:rPr>
        <w:tab/>
      </w:r>
      <w:r>
        <w:rPr>
          <w:color w:val="000000"/>
          <w:sz w:val="22"/>
          <w:szCs w:val="22"/>
        </w:rPr>
        <w:tab/>
      </w:r>
      <w:r w:rsidRPr="005675BC">
        <w:rPr>
          <w:color w:val="000000"/>
          <w:sz w:val="22"/>
          <w:szCs w:val="22"/>
        </w:rPr>
        <w:t>Chief, Audio Division</w:t>
      </w:r>
    </w:p>
    <w:p w:rsidR="001F2620" w:rsidRPr="005675BC" w:rsidP="001F2620" w14:paraId="52B45E2E" w14:textId="77777777">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Media Bureau</w:t>
      </w:r>
    </w:p>
    <w:p w:rsidR="00C51993" w:rsidRPr="00A934A0" w:rsidP="001F2620" w14:paraId="2E67F38F" w14:textId="00C6A9FC">
      <w:pPr>
        <w:tabs>
          <w:tab w:val="left" w:pos="0"/>
        </w:tabs>
        <w:suppressAutoHyphens/>
        <w:ind w:left="5040" w:hanging="5040"/>
        <w:rPr>
          <w:sz w:val="22"/>
          <w:szCs w:val="22"/>
        </w:rPr>
      </w:pPr>
    </w:p>
    <w:sectPr>
      <w:footerReference w:type="even" r:id="rId5"/>
      <w:footerReference w:type="default" r:id="rId6"/>
      <w:headerReference w:type="first" r:id="rId7"/>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B4B" w14:paraId="62E386A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61B4B" w14:paraId="4DB12A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B4B" w14:paraId="14CC0AB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61B4B" w14:paraId="72C2F5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110F" w14:paraId="2BEAC7A2" w14:textId="77777777">
      <w:r>
        <w:separator/>
      </w:r>
    </w:p>
  </w:footnote>
  <w:footnote w:type="continuationSeparator" w:id="1">
    <w:p w:rsidR="0044110F" w14:paraId="3E94D14D" w14:textId="77777777">
      <w:r>
        <w:continuationSeparator/>
      </w:r>
    </w:p>
  </w:footnote>
  <w:footnote w:type="continuationNotice" w:id="2">
    <w:p w:rsidR="0044110F" w:rsidRPr="0004586A" w:rsidP="0004586A" w14:paraId="7EA0529B" w14:textId="77777777">
      <w:pPr>
        <w:pStyle w:val="Footer"/>
      </w:pPr>
    </w:p>
  </w:footnote>
  <w:footnote w:id="3">
    <w:p w:rsidR="001F2620" w:rsidRPr="00A6795C" w:rsidP="001F2620" w14:paraId="78CCA0B1" w14:textId="77777777">
      <w:pPr>
        <w:pStyle w:val="FootnoteText"/>
        <w:spacing w:after="120"/>
      </w:pPr>
      <w:r>
        <w:rPr>
          <w:rStyle w:val="FootnoteReference"/>
        </w:rPr>
        <w:footnoteRef/>
      </w:r>
      <w:r>
        <w:t xml:space="preserve"> </w:t>
      </w:r>
      <w:r w:rsidRPr="00A6795C">
        <w:rPr>
          <w:i/>
        </w:rPr>
        <w:t xml:space="preserve">See </w:t>
      </w:r>
      <w:r>
        <w:rPr>
          <w:i/>
        </w:rPr>
        <w:t>Broadcast Applications</w:t>
      </w:r>
      <w:r>
        <w:t>, Public Notice, Report No. PN-3-230424-01 (Apr. 24, 2023).  The Modification Application specifies tower Antenna Structure Registration (ASR) No. 1018222.</w:t>
      </w:r>
    </w:p>
  </w:footnote>
  <w:footnote w:id="4">
    <w:p w:rsidR="001F2620" w:rsidP="001F2620" w14:paraId="5D3D9784" w14:textId="77777777">
      <w:pPr>
        <w:pStyle w:val="FootnoteText"/>
        <w:spacing w:after="120"/>
      </w:pPr>
      <w:r>
        <w:rPr>
          <w:rStyle w:val="FootnoteReference"/>
        </w:rPr>
        <w:footnoteRef/>
      </w:r>
      <w:r>
        <w:t xml:space="preserve"> Pleading File No. 203198.  </w:t>
      </w:r>
    </w:p>
  </w:footnote>
  <w:footnote w:id="5">
    <w:p w:rsidR="001F2620" w:rsidP="001F2620" w14:paraId="1EEA8E7A" w14:textId="77777777">
      <w:pPr>
        <w:pStyle w:val="FootnoteText"/>
        <w:spacing w:after="120"/>
      </w:pPr>
      <w:r>
        <w:rPr>
          <w:rStyle w:val="FootnoteReference"/>
        </w:rPr>
        <w:footnoteRef/>
      </w:r>
      <w:r>
        <w:t xml:space="preserve"> On December 19, 2022, Piedmont filed an opposition to the Informal Objection (Opposition) (Pleading File No. 205708).  On January 13, 2023, Tidewater filed a reply to the Opposition (Reply) (Pleading File No. 206894).  On April 5, 2023, Dayton </w:t>
      </w:r>
      <w:r>
        <w:t>Tybois</w:t>
      </w:r>
      <w:r>
        <w:t xml:space="preserve"> Uphold (Uphold) filed an opposition to the Informal Objection styled as an additional informal objection (Uphold Opposition) (Pleading File No. 203559) (Uphold Opposition). On April 20, 2023, Tidewater filed a motion to strike the Uphold Opposition (Motion to Strike) (Pleading File No. 214056).  </w:t>
      </w:r>
      <w:r w:rsidRPr="008C7CC6">
        <w:t xml:space="preserve">The Uphold Opposition </w:t>
      </w:r>
      <w:r>
        <w:t>solely relates to</w:t>
      </w:r>
      <w:r w:rsidRPr="008C7CC6">
        <w:t xml:space="preserve"> previous </w:t>
      </w:r>
      <w:r>
        <w:t>unconnected</w:t>
      </w:r>
      <w:r>
        <w:t xml:space="preserve"> </w:t>
      </w:r>
      <w:r w:rsidRPr="008C7CC6">
        <w:t>instances of alleged “monopolizing and abusive behavior” by Tidewater/Saga</w:t>
      </w:r>
      <w:r>
        <w:t xml:space="preserve"> and therefore will not be considered further here.</w:t>
      </w:r>
    </w:p>
  </w:footnote>
  <w:footnote w:id="6">
    <w:p w:rsidR="001F2620" w:rsidRPr="00735F9A" w:rsidP="001F2620" w14:paraId="2768AAE6" w14:textId="77777777">
      <w:pPr>
        <w:pStyle w:val="FootnoteText"/>
        <w:spacing w:after="120"/>
      </w:pPr>
      <w:r>
        <w:rPr>
          <w:rStyle w:val="FootnoteReference"/>
        </w:rPr>
        <w:footnoteRef/>
      </w:r>
      <w:r>
        <w:t xml:space="preserve"> </w:t>
      </w:r>
      <w:r>
        <w:rPr>
          <w:i/>
          <w:iCs/>
        </w:rPr>
        <w:t>See Marissa G. Repp, Esq.</w:t>
      </w:r>
      <w:r>
        <w:t xml:space="preserve">, Letter Decision, Application File No. BNPFT-20130821ABF, Ref. No. 1800B3-TSN (MB Mar. 28, 2019).  In 2014, Clear Channel changed its name to iHeartMedia, Inc.  For convenience, we will refer herein to Clear Channel, iHeartMedia, Inc., and subsidiary licensees, including the prior Station licensee, </w:t>
      </w:r>
      <w:r>
        <w:t>iHM</w:t>
      </w:r>
      <w:r>
        <w:t xml:space="preserve"> Licenses, LLC, as “Clear Channel.”</w:t>
      </w:r>
    </w:p>
  </w:footnote>
  <w:footnote w:id="7">
    <w:p w:rsidR="001F2620" w:rsidP="001F2620" w14:paraId="75710574" w14:textId="77777777">
      <w:pPr>
        <w:pStyle w:val="FootnoteText"/>
        <w:spacing w:after="120"/>
      </w:pPr>
      <w:r>
        <w:rPr>
          <w:rStyle w:val="FootnoteReference"/>
        </w:rPr>
        <w:footnoteRef/>
      </w:r>
      <w:r>
        <w:t xml:space="preserve"> Application File No. 162971, Attach. entitled “Exchange Agreement.”</w:t>
      </w:r>
      <w:r w:rsidRPr="001308EF">
        <w:rPr>
          <w:i/>
          <w:iCs/>
        </w:rPr>
        <w:t xml:space="preserve"> </w:t>
      </w:r>
    </w:p>
  </w:footnote>
  <w:footnote w:id="8">
    <w:p w:rsidR="001F2620" w:rsidP="001F2620" w14:paraId="0BEB336C" w14:textId="77777777">
      <w:pPr>
        <w:pStyle w:val="FootnoteText"/>
        <w:spacing w:after="120"/>
      </w:pPr>
      <w:r>
        <w:rPr>
          <w:rStyle w:val="FootnoteReference"/>
        </w:rPr>
        <w:footnoteRef/>
      </w:r>
      <w:r>
        <w:t xml:space="preserve"> Application File No. 162971. </w:t>
      </w:r>
    </w:p>
  </w:footnote>
  <w:footnote w:id="9">
    <w:p w:rsidR="001F2620" w:rsidP="001F2620" w14:paraId="59206883" w14:textId="77777777">
      <w:pPr>
        <w:pStyle w:val="FootnoteText"/>
        <w:spacing w:after="120"/>
      </w:pPr>
      <w:r>
        <w:rPr>
          <w:rStyle w:val="FootnoteReference"/>
        </w:rPr>
        <w:footnoteRef/>
      </w:r>
      <w:r>
        <w:t xml:space="preserve"> Pleading File No. 166605.</w:t>
      </w:r>
    </w:p>
  </w:footnote>
  <w:footnote w:id="10">
    <w:p w:rsidR="001F2620" w:rsidP="001F2620" w14:paraId="4B563EDC" w14:textId="77777777">
      <w:pPr>
        <w:pStyle w:val="FootnoteText"/>
        <w:spacing w:after="120"/>
      </w:pPr>
      <w:r>
        <w:rPr>
          <w:rStyle w:val="FootnoteReference"/>
        </w:rPr>
        <w:footnoteRef/>
      </w:r>
      <w:r>
        <w:t xml:space="preserve"> Application File No. 169568 (specifying tower ASR No. 1017221) (granted Dec. 2, 2021). </w:t>
      </w:r>
    </w:p>
  </w:footnote>
  <w:footnote w:id="11">
    <w:p w:rsidR="001F2620" w:rsidP="001F2620" w14:paraId="46B64C86" w14:textId="77777777">
      <w:pPr>
        <w:pStyle w:val="FootnoteText"/>
        <w:spacing w:after="120"/>
      </w:pPr>
      <w:r>
        <w:rPr>
          <w:rStyle w:val="FootnoteReference"/>
        </w:rPr>
        <w:footnoteRef/>
      </w:r>
      <w:r>
        <w:t xml:space="preserve"> Application File No. 185325 (specifying tower ASR No. 1017575) (granted Feb. 28, 2022).</w:t>
      </w:r>
    </w:p>
  </w:footnote>
  <w:footnote w:id="12">
    <w:p w:rsidR="001F2620" w:rsidP="001F2620" w14:paraId="5AA278E9" w14:textId="77777777">
      <w:pPr>
        <w:pStyle w:val="FootnoteText"/>
        <w:spacing w:after="120"/>
      </w:pPr>
      <w:r>
        <w:rPr>
          <w:rStyle w:val="FootnoteReference"/>
        </w:rPr>
        <w:footnoteRef/>
      </w:r>
      <w:r>
        <w:t xml:space="preserve"> Application File No. 187250.  </w:t>
      </w:r>
    </w:p>
  </w:footnote>
  <w:footnote w:id="13">
    <w:p w:rsidR="001F2620" w:rsidP="001F2620" w14:paraId="26056062" w14:textId="77777777">
      <w:pPr>
        <w:pStyle w:val="FootnoteText"/>
        <w:spacing w:after="120"/>
      </w:pPr>
      <w:r>
        <w:rPr>
          <w:rStyle w:val="FootnoteReference"/>
        </w:rPr>
        <w:footnoteRef/>
      </w:r>
      <w:r>
        <w:t xml:space="preserve"> </w:t>
      </w:r>
      <w:r>
        <w:rPr>
          <w:i/>
          <w:iCs/>
        </w:rPr>
        <w:t xml:space="preserve">See </w:t>
      </w:r>
      <w:r>
        <w:rPr>
          <w:i/>
          <w:iCs/>
        </w:rPr>
        <w:t>iHM</w:t>
      </w:r>
      <w:r>
        <w:rPr>
          <w:i/>
          <w:iCs/>
        </w:rPr>
        <w:t xml:space="preserve"> Licenses, LLC</w:t>
      </w:r>
      <w:r>
        <w:t>, Letter Decision, Application File No. 162971, Ref. No. 1800B3-KN (MB June 6, 2022).</w:t>
      </w:r>
    </w:p>
  </w:footnote>
  <w:footnote w:id="14">
    <w:p w:rsidR="001F2620" w:rsidP="001F2620" w14:paraId="374F4BFF" w14:textId="77777777">
      <w:pPr>
        <w:pStyle w:val="FootnoteText"/>
        <w:spacing w:after="120"/>
      </w:pPr>
      <w:r>
        <w:rPr>
          <w:rStyle w:val="FootnoteReference"/>
        </w:rPr>
        <w:footnoteRef/>
      </w:r>
      <w:r>
        <w:t xml:space="preserve"> Notification of Consummation, File No. 196132, filed July 29, 2022. </w:t>
      </w:r>
    </w:p>
  </w:footnote>
  <w:footnote w:id="15">
    <w:p w:rsidR="001F2620" w:rsidRPr="00036691" w:rsidP="001F2620" w14:paraId="7823388B" w14:textId="4A48D5FA">
      <w:pPr>
        <w:pStyle w:val="FootnoteText"/>
        <w:spacing w:after="120"/>
      </w:pPr>
      <w:r>
        <w:rPr>
          <w:rStyle w:val="FootnoteReference"/>
        </w:rPr>
        <w:footnoteRef/>
      </w:r>
      <w:r>
        <w:t xml:space="preserve"> Silent STA Request, Application File No. 196703, Attach. “Silent STA Request Exhibit” at 1 (granted September 14, 2022).  </w:t>
      </w:r>
      <w:r w:rsidRPr="007C7935">
        <w:t xml:space="preserve">Under </w:t>
      </w:r>
      <w:r>
        <w:t>47 CFR § 74.1263(c)</w:t>
      </w:r>
      <w:r w:rsidRPr="007C7935">
        <w:t xml:space="preserve">, a translator licensee must request authority to remain silent for longer than 30 days. </w:t>
      </w:r>
      <w:r>
        <w:t xml:space="preserve"> </w:t>
      </w:r>
      <w:r w:rsidR="00036691">
        <w:t xml:space="preserve">WKTR is now licensed to Piedmont.  </w:t>
      </w:r>
      <w:r w:rsidR="00036691">
        <w:rPr>
          <w:i/>
          <w:iCs/>
        </w:rPr>
        <w:t xml:space="preserve">See </w:t>
      </w:r>
      <w:r w:rsidR="00CB2D0A">
        <w:t>Application File No. 194152 (granted September 13, 2022, consummated October 6, 2022)</w:t>
      </w:r>
      <w:r w:rsidR="00A4300C">
        <w:t xml:space="preserve">. </w:t>
      </w:r>
    </w:p>
  </w:footnote>
  <w:footnote w:id="16">
    <w:p w:rsidR="001F2620" w:rsidP="001F2620" w14:paraId="7A3D3490" w14:textId="77777777">
      <w:pPr>
        <w:pStyle w:val="FootnoteText"/>
        <w:spacing w:after="120"/>
      </w:pPr>
      <w:r>
        <w:rPr>
          <w:rStyle w:val="FootnoteReference"/>
        </w:rPr>
        <w:footnoteRef/>
      </w:r>
      <w:r>
        <w:t xml:space="preserve"> See Opposition at 4-5, </w:t>
      </w:r>
      <w:r>
        <w:t>Exh</w:t>
      </w:r>
      <w:r>
        <w:t xml:space="preserve">. E. </w:t>
      </w:r>
    </w:p>
  </w:footnote>
  <w:footnote w:id="17">
    <w:p w:rsidR="001F2620" w:rsidP="001F2620" w14:paraId="1916731F" w14:textId="77777777">
      <w:pPr>
        <w:pStyle w:val="FootnoteText"/>
        <w:spacing w:after="120"/>
      </w:pPr>
      <w:r>
        <w:rPr>
          <w:rStyle w:val="FootnoteReference"/>
        </w:rPr>
        <w:footnoteRef/>
      </w:r>
      <w:r>
        <w:t xml:space="preserve"> Opposition at i, Notification File No. 203359 (received November 8, 2022). </w:t>
      </w:r>
    </w:p>
  </w:footnote>
  <w:footnote w:id="18">
    <w:p w:rsidR="001F2620" w:rsidP="001F2620" w14:paraId="0D4B3B04" w14:textId="77777777">
      <w:pPr>
        <w:pStyle w:val="FootnoteText"/>
        <w:spacing w:after="120"/>
      </w:pPr>
      <w:r>
        <w:rPr>
          <w:rStyle w:val="FootnoteReference"/>
        </w:rPr>
        <w:footnoteRef/>
      </w:r>
      <w:r>
        <w:t xml:space="preserve"> Informal Objection at 1-2.  In the pleadings, the parties also debate the nature of Tidewater’s motivation in filing the Informal Objection and other pleadings.  As the objector’s intentions are not legally relevant short of an abuse of process issue, we do not address this issue further.</w:t>
      </w:r>
    </w:p>
  </w:footnote>
  <w:footnote w:id="19">
    <w:p w:rsidR="001F2620" w:rsidP="001F2620" w14:paraId="1A23B843" w14:textId="77777777">
      <w:pPr>
        <w:pStyle w:val="FootnoteText"/>
        <w:spacing w:after="120"/>
      </w:pPr>
      <w:r>
        <w:rPr>
          <w:rStyle w:val="FootnoteReference"/>
        </w:rPr>
        <w:footnoteRef/>
      </w:r>
      <w:r>
        <w:t xml:space="preserve"> Informal Objection at 4-5.</w:t>
      </w:r>
    </w:p>
  </w:footnote>
  <w:footnote w:id="20">
    <w:p w:rsidR="001F2620" w:rsidP="001F2620" w14:paraId="67609178" w14:textId="77777777">
      <w:pPr>
        <w:pStyle w:val="FootnoteText"/>
        <w:spacing w:after="120"/>
      </w:pPr>
      <w:r>
        <w:rPr>
          <w:rStyle w:val="FootnoteReference"/>
        </w:rPr>
        <w:footnoteRef/>
      </w:r>
      <w:r>
        <w:t xml:space="preserve"> Informal Objection at 4-5 (citing </w:t>
      </w:r>
      <w:r>
        <w:rPr>
          <w:i/>
          <w:iCs/>
        </w:rPr>
        <w:t>Powell Meredith Communications Co.</w:t>
      </w:r>
      <w:r>
        <w:t xml:space="preserve">, Letter Decision, </w:t>
      </w:r>
      <w:r w:rsidRPr="00374FE4">
        <w:t>37 FCC Rcd 7266</w:t>
      </w:r>
      <w:r>
        <w:t xml:space="preserve"> (MB June 14, 2022) (</w:t>
      </w:r>
      <w:r>
        <w:rPr>
          <w:i/>
          <w:iCs/>
        </w:rPr>
        <w:t>Powell Meredith</w:t>
      </w:r>
      <w:r>
        <w:t xml:space="preserve">)); </w:t>
      </w:r>
      <w:r>
        <w:rPr>
          <w:i/>
          <w:iCs/>
        </w:rPr>
        <w:t>see also Powell Meredith Communications Co.</w:t>
      </w:r>
      <w:r>
        <w:t>, Letter Decision on Reconsideration, 2022 WL 18107635 (MB Dec. 22, 2022) at 1); Reply at 3.</w:t>
      </w:r>
    </w:p>
  </w:footnote>
  <w:footnote w:id="21">
    <w:p w:rsidR="001F2620" w:rsidRPr="00705A2A" w:rsidP="001F2620" w14:paraId="7EB98C18" w14:textId="77777777">
      <w:pPr>
        <w:pStyle w:val="FootnoteText"/>
        <w:spacing w:after="120"/>
      </w:pPr>
      <w:r>
        <w:rPr>
          <w:rStyle w:val="FootnoteReference"/>
        </w:rPr>
        <w:footnoteRef/>
      </w:r>
      <w:r>
        <w:t xml:space="preserve"> Informal Objection at 5; </w:t>
      </w:r>
      <w:r>
        <w:rPr>
          <w:i/>
          <w:iCs/>
        </w:rPr>
        <w:t>see generally</w:t>
      </w:r>
      <w:r>
        <w:t xml:space="preserve">, </w:t>
      </w:r>
      <w:r w:rsidRPr="00705A2A">
        <w:rPr>
          <w:i/>
          <w:iCs/>
        </w:rPr>
        <w:t>John F. Garziglia</w:t>
      </w:r>
      <w:r w:rsidRPr="00705A2A">
        <w:t>, Letter Decision. 26 FCC Rcd 12685, 12687 (MB 2011) (</w:t>
      </w:r>
      <w:r w:rsidRPr="008B7CB1">
        <w:rPr>
          <w:i/>
          <w:iCs/>
        </w:rPr>
        <w:t>Mattoon</w:t>
      </w:r>
      <w:r w:rsidRPr="00705A2A">
        <w:t>)</w:t>
      </w:r>
      <w:r>
        <w:t xml:space="preserve"> (holding </w:t>
      </w:r>
      <w:r w:rsidRPr="001B51E5">
        <w:t>that a translator licensee who effectuates a major change in antenna location by means of a succession of serial minor changes may be abusing the Commission's processes</w:t>
      </w:r>
      <w:r>
        <w:t>).</w:t>
      </w:r>
    </w:p>
  </w:footnote>
  <w:footnote w:id="22">
    <w:p w:rsidR="001F2620" w:rsidP="001F2620" w14:paraId="2F407D50" w14:textId="77777777">
      <w:pPr>
        <w:pStyle w:val="FootnoteText"/>
        <w:spacing w:after="120"/>
      </w:pPr>
      <w:r>
        <w:rPr>
          <w:rStyle w:val="FootnoteReference"/>
        </w:rPr>
        <w:footnoteRef/>
      </w:r>
      <w:r>
        <w:t xml:space="preserve"> Opposition at 3. </w:t>
      </w:r>
    </w:p>
  </w:footnote>
  <w:footnote w:id="23">
    <w:p w:rsidR="001F2620" w:rsidP="001F2620" w14:paraId="581444FF" w14:textId="77777777">
      <w:pPr>
        <w:pStyle w:val="FootnoteText"/>
        <w:spacing w:after="120"/>
      </w:pPr>
      <w:r>
        <w:rPr>
          <w:rStyle w:val="FootnoteReference"/>
        </w:rPr>
        <w:footnoteRef/>
      </w:r>
      <w:r>
        <w:t xml:space="preserve"> </w:t>
      </w:r>
      <w:r>
        <w:rPr>
          <w:i/>
          <w:iCs/>
        </w:rPr>
        <w:t>Id</w:t>
      </w:r>
      <w:r>
        <w:t>. at 11.</w:t>
      </w:r>
    </w:p>
  </w:footnote>
  <w:footnote w:id="24">
    <w:p w:rsidR="001F2620" w:rsidP="001F2620" w14:paraId="1CA7C9CC" w14:textId="77777777">
      <w:pPr>
        <w:pStyle w:val="FootnoteText"/>
        <w:spacing w:after="120"/>
      </w:pPr>
      <w:r>
        <w:rPr>
          <w:rStyle w:val="FootnoteReference"/>
        </w:rPr>
        <w:footnoteRef/>
      </w:r>
      <w:r>
        <w:t xml:space="preserve"> </w:t>
      </w:r>
      <w:r>
        <w:rPr>
          <w:i/>
          <w:iCs/>
        </w:rPr>
        <w:t>Id</w:t>
      </w:r>
      <w:r>
        <w:t xml:space="preserve">., </w:t>
      </w:r>
      <w:r>
        <w:t>Exhs</w:t>
      </w:r>
      <w:r>
        <w:t xml:space="preserve">. B, C, and D. </w:t>
      </w:r>
    </w:p>
  </w:footnote>
  <w:footnote w:id="25">
    <w:p w:rsidR="001F2620" w:rsidP="001F2620" w14:paraId="6BF564CF" w14:textId="77777777">
      <w:pPr>
        <w:pStyle w:val="FootnoteText"/>
        <w:spacing w:after="120"/>
      </w:pPr>
      <w:r>
        <w:rPr>
          <w:rStyle w:val="FootnoteReference"/>
        </w:rPr>
        <w:footnoteRef/>
      </w:r>
      <w:r>
        <w:t xml:space="preserve"> </w:t>
      </w:r>
      <w:r>
        <w:rPr>
          <w:i/>
          <w:iCs/>
        </w:rPr>
        <w:t>Id</w:t>
      </w:r>
      <w:r>
        <w:t>. at 8.</w:t>
      </w:r>
    </w:p>
  </w:footnote>
  <w:footnote w:id="26">
    <w:p w:rsidR="001F2620" w:rsidP="001F2620" w14:paraId="402940E6" w14:textId="77777777">
      <w:pPr>
        <w:pStyle w:val="FootnoteText"/>
        <w:spacing w:after="120"/>
      </w:pPr>
      <w:r>
        <w:rPr>
          <w:rStyle w:val="FootnoteReference"/>
        </w:rPr>
        <w:footnoteRef/>
      </w:r>
      <w:r>
        <w:t xml:space="preserve"> Opposition at 9-10 (noting that in </w:t>
      </w:r>
      <w:r>
        <w:rPr>
          <w:i/>
          <w:iCs/>
        </w:rPr>
        <w:t>Powell Meredith</w:t>
      </w:r>
      <w:r>
        <w:t xml:space="preserve"> at 1-2, n.8, the request for silent authority remained pending during the Bureau’s investigation of temporary construction).</w:t>
      </w:r>
    </w:p>
  </w:footnote>
  <w:footnote w:id="27">
    <w:p w:rsidR="001F2620" w:rsidP="001F2620" w14:paraId="09ABA062" w14:textId="77777777">
      <w:pPr>
        <w:pStyle w:val="FootnoteText"/>
        <w:spacing w:after="120"/>
      </w:pPr>
      <w:r>
        <w:rPr>
          <w:rStyle w:val="FootnoteReference"/>
        </w:rPr>
        <w:footnoteRef/>
      </w:r>
      <w:r>
        <w:t xml:space="preserve"> Reply at 4-5.</w:t>
      </w:r>
    </w:p>
  </w:footnote>
  <w:footnote w:id="28">
    <w:p w:rsidR="001F2620" w:rsidP="001F2620" w14:paraId="18348780" w14:textId="77777777">
      <w:pPr>
        <w:pStyle w:val="FootnoteText"/>
        <w:spacing w:after="120"/>
      </w:pPr>
      <w:r>
        <w:rPr>
          <w:rStyle w:val="FootnoteReference"/>
        </w:rPr>
        <w:footnoteRef/>
      </w:r>
      <w:r>
        <w:t xml:space="preserve"> </w:t>
      </w:r>
      <w:r>
        <w:rPr>
          <w:i/>
          <w:iCs/>
        </w:rPr>
        <w:t>Id</w:t>
      </w:r>
      <w:r>
        <w:t xml:space="preserve">. at 7 (emphasis added). </w:t>
      </w:r>
    </w:p>
  </w:footnote>
  <w:footnote w:id="29">
    <w:p w:rsidR="001F2620" w:rsidP="001F2620" w14:paraId="323F004F" w14:textId="77777777">
      <w:pPr>
        <w:pStyle w:val="FootnoteText"/>
        <w:spacing w:after="120"/>
      </w:pPr>
      <w:r>
        <w:rPr>
          <w:rStyle w:val="FootnoteReference"/>
        </w:rPr>
        <w:footnoteRef/>
      </w:r>
      <w:r>
        <w:t xml:space="preserve"> </w:t>
      </w:r>
      <w:r>
        <w:rPr>
          <w:i/>
          <w:iCs/>
        </w:rPr>
        <w:t>Id</w:t>
      </w:r>
      <w:r>
        <w:t xml:space="preserve">.at 3-5. </w:t>
      </w:r>
    </w:p>
  </w:footnote>
  <w:footnote w:id="30">
    <w:p w:rsidR="001F2620" w:rsidP="001F2620" w14:paraId="35FBA321" w14:textId="77777777">
      <w:pPr>
        <w:pStyle w:val="FootnoteText"/>
        <w:spacing w:after="120"/>
      </w:pPr>
      <w:r>
        <w:rPr>
          <w:rStyle w:val="FootnoteReference"/>
        </w:rPr>
        <w:footnoteRef/>
      </w:r>
      <w:r>
        <w:t xml:space="preserve"> </w:t>
      </w:r>
      <w:r>
        <w:rPr>
          <w:i/>
          <w:iCs/>
        </w:rPr>
        <w:t>Id</w:t>
      </w:r>
      <w:r>
        <w:t>. at 5-6.</w:t>
      </w:r>
    </w:p>
  </w:footnote>
  <w:footnote w:id="31">
    <w:p w:rsidR="001F2620" w:rsidP="001F2620" w14:paraId="11ADE6F5" w14:textId="77777777">
      <w:pPr>
        <w:pStyle w:val="FootnoteText"/>
        <w:spacing w:after="120"/>
      </w:pPr>
      <w:r>
        <w:rPr>
          <w:rStyle w:val="FootnoteReference"/>
        </w:rPr>
        <w:footnoteRef/>
      </w:r>
      <w:r>
        <w:t xml:space="preserve"> </w:t>
      </w:r>
      <w:r>
        <w:rPr>
          <w:i/>
          <w:iCs/>
        </w:rPr>
        <w:t>Id</w:t>
      </w:r>
      <w:r>
        <w:t>. at 1-4.</w:t>
      </w:r>
    </w:p>
  </w:footnote>
  <w:footnote w:id="32">
    <w:p w:rsidR="001F2620" w:rsidRPr="00B033A4" w:rsidP="001F2620" w14:paraId="578200CC" w14:textId="77777777">
      <w:pPr>
        <w:pStyle w:val="FootnoteText"/>
        <w:spacing w:after="120"/>
      </w:pPr>
      <w:r w:rsidRPr="00B033A4">
        <w:rPr>
          <w:rStyle w:val="FootnoteReference"/>
        </w:rPr>
        <w:footnoteRef/>
      </w:r>
      <w:r w:rsidRPr="00B033A4">
        <w:t xml:space="preserve"> </w:t>
      </w:r>
      <w:r w:rsidRPr="00B033A4">
        <w:rPr>
          <w:i/>
        </w:rPr>
        <w:t>See, e.g.</w:t>
      </w:r>
      <w:r w:rsidRPr="00B033A4">
        <w:t xml:space="preserve">, </w:t>
      </w:r>
      <w:r w:rsidRPr="00B033A4">
        <w:rPr>
          <w:i/>
        </w:rPr>
        <w:t>WWOR-TV, Inc.,</w:t>
      </w:r>
      <w:r w:rsidRPr="00B033A4">
        <w:t xml:space="preserve"> Memorandum Opinion and Order, </w:t>
      </w:r>
      <w:hyperlink r:id="rId1" w:tgtFrame="_top" w:history="1"/>
      <w:bookmarkStart w:id="1" w:name="ctx3"/>
      <w:bookmarkStart w:id="2" w:name="a0d4k3v3r9"/>
      <w:bookmarkEnd w:id="1"/>
      <w:r w:rsidRPr="00B033A4">
        <w:t xml:space="preserve">6 FCC </w:t>
      </w:r>
      <w:r w:rsidRPr="00B033A4">
        <w:t>Rcd</w:t>
      </w:r>
      <w:r w:rsidRPr="00B033A4">
        <w:t xml:space="preserve"> 193</w:t>
      </w:r>
      <w:hyperlink r:id="rId1" w:tgtFrame="_top" w:history="1"/>
      <w:r w:rsidRPr="00B033A4">
        <w:t>,</w:t>
      </w:r>
      <w:r>
        <w:t xml:space="preserve"> </w:t>
      </w:r>
      <w:r w:rsidRPr="00B033A4">
        <w:t>197 n.10 (1990</w:t>
      </w:r>
      <w:bookmarkEnd w:id="2"/>
      <w:r>
        <w:t>).</w:t>
      </w:r>
    </w:p>
  </w:footnote>
  <w:footnote w:id="33">
    <w:p w:rsidR="001F2620" w:rsidRPr="00002C3B" w:rsidP="001F2620" w14:paraId="31656A00" w14:textId="77777777">
      <w:pPr>
        <w:pStyle w:val="FootnoteText"/>
        <w:spacing w:after="120"/>
        <w:rPr>
          <w:i/>
          <w:iCs/>
        </w:rPr>
      </w:pPr>
      <w:r>
        <w:rPr>
          <w:rStyle w:val="FootnoteReference"/>
        </w:rPr>
        <w:footnoteRef/>
      </w:r>
      <w:r>
        <w:t xml:space="preserve"> </w:t>
      </w:r>
      <w:r>
        <w:rPr>
          <w:i/>
          <w:iCs/>
        </w:rPr>
        <w:t xml:space="preserve">See, e.g., </w:t>
      </w:r>
      <w:r w:rsidRPr="00EA471E">
        <w:rPr>
          <w:i/>
        </w:rPr>
        <w:t>Tango Radio, LLC</w:t>
      </w:r>
      <w:r w:rsidRPr="00EA471E">
        <w:rPr>
          <w:iCs/>
        </w:rPr>
        <w:t>, Memorandum Opinion and Order, 30 FCC Rcd 10564, 10568</w:t>
      </w:r>
      <w:r>
        <w:rPr>
          <w:iCs/>
        </w:rPr>
        <w:t>-69, paras. 7-8</w:t>
      </w:r>
      <w:r w:rsidRPr="00EA471E">
        <w:rPr>
          <w:iCs/>
        </w:rPr>
        <w:t xml:space="preserve"> (2015) </w:t>
      </w:r>
      <w:r>
        <w:rPr>
          <w:iCs/>
        </w:rPr>
        <w:t>(</w:t>
      </w:r>
      <w:r w:rsidRPr="00002C3B">
        <w:rPr>
          <w:i/>
          <w:iCs/>
        </w:rPr>
        <w:t>Tango</w:t>
      </w:r>
      <w:r>
        <w:t>)</w:t>
      </w:r>
      <w:r w:rsidRPr="00002C3B">
        <w:t>, (</w:t>
      </w:r>
      <w:r>
        <w:t>holding</w:t>
      </w:r>
      <w:r w:rsidRPr="00002C3B">
        <w:t xml:space="preserve"> that temporary facilities are not licensable where facilities were dismantled shortly after license application filed, no permission </w:t>
      </w:r>
      <w:r>
        <w:t xml:space="preserve">was </w:t>
      </w:r>
      <w:r w:rsidRPr="00002C3B">
        <w:t>obtained from landowner, and evidence</w:t>
      </w:r>
      <w:r>
        <w:t xml:space="preserve"> was</w:t>
      </w:r>
      <w:r w:rsidRPr="00002C3B">
        <w:t xml:space="preserve"> adduced of brief “side of the road” operation of a nonconforming antenna); </w:t>
      </w:r>
      <w:r>
        <w:rPr>
          <w:i/>
          <w:iCs/>
        </w:rPr>
        <w:t>Matinee Media Corp.</w:t>
      </w:r>
      <w:r>
        <w:t>, Letter Decision, 33 FCC Rcd 6685 (MB 2018) (</w:t>
      </w:r>
      <w:r>
        <w:rPr>
          <w:i/>
          <w:iCs/>
        </w:rPr>
        <w:t>Matinee</w:t>
      </w:r>
      <w:r>
        <w:rPr>
          <w:iCs/>
        </w:rPr>
        <w:t>) (finding that a facility was not temporary where the licensee “</w:t>
      </w:r>
      <w:r w:rsidRPr="004A4965">
        <w:rPr>
          <w:iCs/>
        </w:rPr>
        <w:t>obtained the landowner's permission, built a durable, guyed antenna structure conforming to the terms of its construction permit, and maintained the facilities intact and operable after construction.</w:t>
      </w:r>
      <w:r>
        <w:rPr>
          <w:iCs/>
        </w:rPr>
        <w:t>”);</w:t>
      </w:r>
      <w:r w:rsidRPr="004A4965">
        <w:rPr>
          <w:iCs/>
        </w:rPr>
        <w:t xml:space="preserve"> </w:t>
      </w:r>
      <w:r w:rsidRPr="00D0472A">
        <w:rPr>
          <w:i/>
          <w:iCs/>
        </w:rPr>
        <w:t xml:space="preserve">Centro de </w:t>
      </w:r>
      <w:r w:rsidRPr="00D0472A">
        <w:rPr>
          <w:i/>
          <w:iCs/>
        </w:rPr>
        <w:t>Intercesión</w:t>
      </w:r>
      <w:r w:rsidRPr="00D0472A">
        <w:rPr>
          <w:i/>
          <w:iCs/>
        </w:rPr>
        <w:t xml:space="preserve"> y </w:t>
      </w:r>
      <w:r w:rsidRPr="00D0472A">
        <w:rPr>
          <w:i/>
          <w:iCs/>
        </w:rPr>
        <w:t>Adoación</w:t>
      </w:r>
      <w:r w:rsidRPr="00D0472A">
        <w:rPr>
          <w:i/>
          <w:iCs/>
        </w:rPr>
        <w:t xml:space="preserve"> </w:t>
      </w:r>
      <w:r w:rsidRPr="00D0472A">
        <w:rPr>
          <w:i/>
          <w:iCs/>
        </w:rPr>
        <w:t>Inernacional</w:t>
      </w:r>
      <w:r>
        <w:t>, Letter Decision, 30 FCC Rcd 4898, 4901 (MB 2015) (</w:t>
      </w:r>
      <w:r>
        <w:rPr>
          <w:i/>
          <w:iCs/>
        </w:rPr>
        <w:t>Helendale</w:t>
      </w:r>
      <w:r>
        <w:t>) (</w:t>
      </w:r>
      <w:r w:rsidRPr="00002C3B">
        <w:t>dismissing license application where facilities were dismantled after less than a week, no permission was obtained from landowner, and antenna was not constructed in accordance with the terms of the construction permit)</w:t>
      </w:r>
      <w:r>
        <w:t>.</w:t>
      </w:r>
    </w:p>
  </w:footnote>
  <w:footnote w:id="34">
    <w:p w:rsidR="001F2620" w:rsidP="001F2620" w14:paraId="1AA05E50" w14:textId="77777777">
      <w:pPr>
        <w:pStyle w:val="FootnoteText"/>
        <w:spacing w:after="120"/>
      </w:pPr>
      <w:r>
        <w:rPr>
          <w:rStyle w:val="FootnoteReference"/>
        </w:rPr>
        <w:footnoteRef/>
      </w:r>
      <w:r>
        <w:t xml:space="preserve"> Opposition, </w:t>
      </w:r>
      <w:r>
        <w:t>Exhs</w:t>
      </w:r>
      <w:r>
        <w:t xml:space="preserve">. B, C, and D. </w:t>
      </w:r>
    </w:p>
  </w:footnote>
  <w:footnote w:id="35">
    <w:p w:rsidR="001F2620" w:rsidP="001F2620" w14:paraId="154EF483" w14:textId="797FCA86">
      <w:pPr>
        <w:pStyle w:val="FootnoteText"/>
        <w:spacing w:after="120"/>
      </w:pPr>
      <w:r>
        <w:rPr>
          <w:rStyle w:val="FootnoteReference"/>
        </w:rPr>
        <w:footnoteRef/>
      </w:r>
      <w:r>
        <w:t xml:space="preserve"> </w:t>
      </w:r>
      <w:r>
        <w:rPr>
          <w:i/>
          <w:iCs/>
        </w:rPr>
        <w:t xml:space="preserve">See, e.g., </w:t>
      </w:r>
      <w:r w:rsidRPr="00483A90">
        <w:rPr>
          <w:i/>
          <w:iCs/>
        </w:rPr>
        <w:t xml:space="preserve">Broadcast Towers, </w:t>
      </w:r>
      <w:r w:rsidRPr="00521210">
        <w:t xml:space="preserve">Order, 26 FCC Rcd 7681, 7684, </w:t>
      </w:r>
      <w:r w:rsidRPr="00483A90">
        <w:t>7686, paras. 4, 15</w:t>
      </w:r>
      <w:r>
        <w:t xml:space="preserve"> (MB 2011)</w:t>
      </w:r>
      <w:r w:rsidRPr="00483A90">
        <w:t>;</w:t>
      </w:r>
      <w:r w:rsidRPr="00483A90">
        <w:rPr>
          <w:i/>
          <w:iCs/>
        </w:rPr>
        <w:t xml:space="preserve"> Matinee</w:t>
      </w:r>
      <w:r w:rsidRPr="00483A90">
        <w:t xml:space="preserve">, 33 FCC </w:t>
      </w:r>
      <w:r w:rsidRPr="00483A90">
        <w:t>Rcd</w:t>
      </w:r>
      <w:r w:rsidRPr="00483A90">
        <w:t xml:space="preserve"> </w:t>
      </w:r>
      <w:r>
        <w:t>at</w:t>
      </w:r>
      <w:r w:rsidRPr="00483A90">
        <w:t xml:space="preserve"> 6690</w:t>
      </w:r>
      <w:r>
        <w:t>;</w:t>
      </w:r>
      <w:r w:rsidRPr="00002C3B">
        <w:t xml:space="preserve"> </w:t>
      </w:r>
      <w:r>
        <w:rPr>
          <w:i/>
          <w:iCs/>
        </w:rPr>
        <w:t>Helendale</w:t>
      </w:r>
      <w:r>
        <w:rPr>
          <w:i/>
          <w:iCs/>
        </w:rPr>
        <w:t>,</w:t>
      </w:r>
      <w:r>
        <w:t xml:space="preserve"> 30 FCC </w:t>
      </w:r>
      <w:r>
        <w:t>Rcd</w:t>
      </w:r>
      <w:r>
        <w:t xml:space="preserve"> at 4901.</w:t>
      </w:r>
      <w:r w:rsidR="00AA73D5">
        <w:t xml:space="preserve">  According to Commission records since November 4, 2022, the Station has remained operational.</w:t>
      </w:r>
    </w:p>
  </w:footnote>
  <w:footnote w:id="36">
    <w:p w:rsidR="001F2620" w:rsidRPr="001F2297" w:rsidP="001F2620" w14:paraId="11070A14" w14:textId="77777777">
      <w:pPr>
        <w:pStyle w:val="FootnoteText"/>
        <w:spacing w:after="120"/>
      </w:pPr>
      <w:r>
        <w:rPr>
          <w:rStyle w:val="FootnoteReference"/>
        </w:rPr>
        <w:footnoteRef/>
      </w:r>
      <w:r>
        <w:t xml:space="preserve"> </w:t>
      </w:r>
      <w:r>
        <w:rPr>
          <w:i/>
          <w:iCs/>
        </w:rPr>
        <w:t>See, e.g.,</w:t>
      </w:r>
      <w:r w:rsidRPr="007D31B6">
        <w:rPr>
          <w:i/>
          <w:iCs/>
        </w:rPr>
        <w:t xml:space="preserve"> </w:t>
      </w:r>
      <w:r>
        <w:rPr>
          <w:i/>
          <w:iCs/>
        </w:rPr>
        <w:t>Helendale</w:t>
      </w:r>
      <w:r>
        <w:rPr>
          <w:i/>
          <w:iCs/>
        </w:rPr>
        <w:t>,</w:t>
      </w:r>
      <w:r>
        <w:t xml:space="preserve"> 30 FCC </w:t>
      </w:r>
      <w:r>
        <w:t>Rcd</w:t>
      </w:r>
      <w:r>
        <w:t xml:space="preserve"> at 4901 (holding that construction and/or operation without the landowner’s permission is inconsistent with being “ready and able for operation” as required for licensing).</w:t>
      </w:r>
    </w:p>
  </w:footnote>
  <w:footnote w:id="37">
    <w:p w:rsidR="001F2620" w:rsidRPr="00AF55C3" w:rsidP="001F2620" w14:paraId="561A557D" w14:textId="77777777">
      <w:pPr>
        <w:pStyle w:val="FootnoteText"/>
        <w:spacing w:after="120"/>
      </w:pPr>
      <w:r>
        <w:rPr>
          <w:rStyle w:val="FootnoteReference"/>
        </w:rPr>
        <w:footnoteRef/>
      </w:r>
      <w:r>
        <w:t xml:space="preserve"> </w:t>
      </w:r>
      <w:r>
        <w:rPr>
          <w:i/>
          <w:iCs/>
        </w:rPr>
        <w:t xml:space="preserve">See </w:t>
      </w:r>
      <w:r>
        <w:rPr>
          <w:i/>
          <w:iCs/>
        </w:rPr>
        <w:t>Helendale</w:t>
      </w:r>
      <w:r>
        <w:t xml:space="preserve">, </w:t>
      </w:r>
      <w:r w:rsidRPr="00A042FB">
        <w:t xml:space="preserve">30 FCC </w:t>
      </w:r>
      <w:r w:rsidRPr="00A042FB">
        <w:t>Rcd</w:t>
      </w:r>
      <w:r>
        <w:t xml:space="preserve"> at 4902 (citing 47 U.S.C. § 319(b) (“[A permit] </w:t>
      </w:r>
      <w:r w:rsidRPr="001B01CB">
        <w:t xml:space="preserve">will be automatically forfeited if the station is not </w:t>
      </w:r>
      <w:r w:rsidRPr="00187D80">
        <w:t>ready for operation</w:t>
      </w:r>
      <w:r w:rsidRPr="001B01CB">
        <w:t xml:space="preserve"> within the time specified</w:t>
      </w:r>
      <w:r>
        <w:t xml:space="preserve">”); </w:t>
      </w:r>
      <w:r w:rsidRPr="00FC235D">
        <w:rPr>
          <w:i/>
          <w:iCs/>
        </w:rPr>
        <w:t>Pathfinder Communication Corporation</w:t>
      </w:r>
      <w:r w:rsidRPr="00002C3B">
        <w:t>, Memorandum Opinion and Order, 18 FCC Rcd 9272, 9279</w:t>
      </w:r>
      <w:r>
        <w:t>, para. 13</w:t>
      </w:r>
      <w:r w:rsidRPr="00002C3B">
        <w:t xml:space="preserve"> (2003)</w:t>
      </w:r>
      <w:r>
        <w:t xml:space="preserve"> (“[I]</w:t>
      </w:r>
      <w:r w:rsidRPr="00002C3B">
        <w:t>mplicit</w:t>
      </w:r>
      <w:r w:rsidRPr="00002C3B">
        <w:t xml:space="preserve"> in the filing of any facility application is that the applicant stands “ready, willing, and able” to construct and operate as proposed.</w:t>
      </w:r>
      <w:r>
        <w:t>”).</w:t>
      </w:r>
    </w:p>
  </w:footnote>
  <w:footnote w:id="38">
    <w:p w:rsidR="001F2620" w:rsidP="001F2620" w14:paraId="4B4E8D67" w14:textId="77777777">
      <w:pPr>
        <w:pStyle w:val="FootnoteText"/>
        <w:spacing w:after="120"/>
      </w:pPr>
      <w:r>
        <w:rPr>
          <w:rStyle w:val="FootnoteReference"/>
        </w:rPr>
        <w:footnoteRef/>
      </w:r>
      <w:r>
        <w:t xml:space="preserve"> </w:t>
      </w:r>
      <w:r w:rsidRPr="00866418">
        <w:rPr>
          <w:i/>
          <w:iCs/>
        </w:rPr>
        <w:t>Matinee</w:t>
      </w:r>
      <w:r>
        <w:t>, 33 FCC Rcd</w:t>
      </w:r>
      <w:r w:rsidRPr="00866418">
        <w:t xml:space="preserve"> at 6685.</w:t>
      </w:r>
    </w:p>
  </w:footnote>
  <w:footnote w:id="39">
    <w:p w:rsidR="001F2620" w:rsidP="001F2620" w14:paraId="1F937EF6" w14:textId="77777777">
      <w:pPr>
        <w:pStyle w:val="FootnoteText"/>
        <w:spacing w:after="120"/>
      </w:pPr>
      <w:r>
        <w:rPr>
          <w:rStyle w:val="FootnoteReference"/>
        </w:rPr>
        <w:footnoteRef/>
      </w:r>
      <w:r>
        <w:t xml:space="preserve"> </w:t>
      </w:r>
      <w:r w:rsidRPr="00D9051E">
        <w:t xml:space="preserve">In contrast, in the </w:t>
      </w:r>
      <w:r w:rsidRPr="00B64725">
        <w:rPr>
          <w:i/>
          <w:iCs/>
        </w:rPr>
        <w:t>Powell Meredith</w:t>
      </w:r>
      <w:r w:rsidRPr="00D9051E">
        <w:t xml:space="preserve"> case cited by Tidewater, the licensee mounted its antenna on a vehicle (an RV) under a short term verbal agreement with the RV owner and no agreement with the landowner.</w:t>
      </w:r>
      <w:r>
        <w:t xml:space="preserve">  </w:t>
      </w:r>
      <w:r>
        <w:rPr>
          <w:i/>
          <w:iCs/>
        </w:rPr>
        <w:t>Powell Meredith</w:t>
      </w:r>
      <w:r>
        <w:t xml:space="preserve">, </w:t>
      </w:r>
      <w:r w:rsidRPr="00374FE4">
        <w:t xml:space="preserve">37 FCC Rcd </w:t>
      </w:r>
      <w:r>
        <w:t>at 7221.</w:t>
      </w:r>
    </w:p>
  </w:footnote>
  <w:footnote w:id="40">
    <w:p w:rsidR="001F2620" w:rsidP="001F2620" w14:paraId="787A7556" w14:textId="77777777">
      <w:pPr>
        <w:pStyle w:val="FootnoteText"/>
        <w:spacing w:after="120"/>
      </w:pPr>
      <w:r>
        <w:rPr>
          <w:rStyle w:val="FootnoteReference"/>
        </w:rPr>
        <w:footnoteRef/>
      </w:r>
      <w:r>
        <w:t xml:space="preserve"> </w:t>
      </w:r>
      <w:r w:rsidRPr="00B64725">
        <w:rPr>
          <w:i/>
          <w:iCs/>
        </w:rPr>
        <w:t>W256CL, Park Forest, Illinois</w:t>
      </w:r>
      <w:r w:rsidRPr="00D023A5">
        <w:t>, 34 FCC Rcd 4594, 4599 (2019)</w:t>
      </w:r>
      <w:r>
        <w:t xml:space="preserve"> (</w:t>
      </w:r>
      <w:r>
        <w:rPr>
          <w:i/>
          <w:iCs/>
        </w:rPr>
        <w:t>Park Forest</w:t>
      </w:r>
      <w:r>
        <w:t xml:space="preserve">); </w:t>
      </w:r>
      <w:r w:rsidRPr="003C3D3E">
        <w:rPr>
          <w:i/>
          <w:iCs/>
        </w:rPr>
        <w:t xml:space="preserve">W245BL, </w:t>
      </w:r>
      <w:r w:rsidRPr="003C3D3E">
        <w:rPr>
          <w:i/>
          <w:iCs/>
        </w:rPr>
        <w:t>Branchport</w:t>
      </w:r>
      <w:r w:rsidRPr="003C3D3E">
        <w:rPr>
          <w:i/>
          <w:iCs/>
        </w:rPr>
        <w:t>, NY</w:t>
      </w:r>
      <w:r>
        <w:t>, Letter Decision, 28 FCC Rcd 15494, 15498 (MB 2013).</w:t>
      </w:r>
    </w:p>
  </w:footnote>
  <w:footnote w:id="41">
    <w:p w:rsidR="001F2620" w:rsidRPr="007C3F05" w:rsidP="001F2620" w14:paraId="0CF45982" w14:textId="77777777">
      <w:pPr>
        <w:pStyle w:val="FootnoteText"/>
        <w:spacing w:after="120"/>
      </w:pPr>
      <w:r>
        <w:rPr>
          <w:rStyle w:val="FootnoteReference"/>
        </w:rPr>
        <w:footnoteRef/>
      </w:r>
      <w:r>
        <w:t xml:space="preserve"> </w:t>
      </w:r>
      <w:r>
        <w:rPr>
          <w:i/>
          <w:iCs/>
        </w:rPr>
        <w:t>Park Forest</w:t>
      </w:r>
      <w:r>
        <w:t>, 34 FCC Rcd at 4598 (citing</w:t>
      </w:r>
      <w:r w:rsidRPr="00092340">
        <w:t xml:space="preserve"> </w:t>
      </w:r>
      <w:r w:rsidRPr="00092340">
        <w:rPr>
          <w:i/>
          <w:iCs/>
        </w:rPr>
        <w:t>John C. Trent, Esq.,</w:t>
      </w:r>
      <w:r w:rsidRPr="00092340">
        <w:t xml:space="preserve"> Letter</w:t>
      </w:r>
      <w:r>
        <w:t xml:space="preserve"> Decision</w:t>
      </w:r>
      <w:r w:rsidRPr="00092340">
        <w:t>, Ref. No. 1800B3-MM, File No. BPFT-20110829AAU (MB Oct. 29, 2015) (rejecting an abuse of process argument where the translator filed a modification application because of interference to a co-channel station)</w:t>
      </w:r>
      <w:r>
        <w:t>)</w:t>
      </w:r>
      <w:r w:rsidRPr="000923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983" w:rsidP="00A15D7E" w14:paraId="1AF441AA" w14:textId="695880FF">
    <w:pPr>
      <w:pStyle w:val="Header"/>
      <w:tabs>
        <w:tab w:val="clear" w:pos="4320"/>
        <w:tab w:val="clear" w:pos="8640"/>
      </w:tabs>
      <w:spacing w:before="360" w:line="228" w:lineRule="auto"/>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00A15D7E">
      <w:rPr>
        <w:rFonts w:ascii="CG Times (W1)" w:hAnsi="CG Times (W1)"/>
        <w:sz w:val="28"/>
      </w:rPr>
      <w:t xml:space="preserve">                          </w:t>
    </w:r>
    <w:r>
      <w:rPr>
        <w:rFonts w:ascii="CG Times (W1)" w:hAnsi="CG Times (W1)"/>
        <w:sz w:val="28"/>
      </w:rPr>
      <w:t>Federal Communications Commission</w:t>
    </w:r>
  </w:p>
  <w:p w:rsidR="000D1983" w:rsidP="000D1983" w14:paraId="2787D8C5" w14:textId="77777777">
    <w:pPr>
      <w:tabs>
        <w:tab w:val="center" w:pos="4680"/>
        <w:tab w:val="left" w:pos="8400"/>
      </w:tabs>
    </w:pPr>
    <w:r>
      <w:rPr>
        <w:rFonts w:ascii="CG Times (W1)" w:hAnsi="CG Times (W1)"/>
        <w:sz w:val="28"/>
      </w:rPr>
      <w:tab/>
      <w:t>Washington, D.C. 20554</w:t>
    </w:r>
    <w:r>
      <w:rPr>
        <w:rFonts w:ascii="CG Times (W1)" w:hAnsi="CG Times (W1)"/>
        <w:sz w:val="28"/>
      </w:rPr>
      <w:tab/>
    </w:r>
  </w:p>
  <w:p w:rsidR="00961B4B" w:rsidP="00C94FAE" w14:paraId="0F052416" w14:textId="214CD0D5">
    <w:pPr>
      <w:pStyle w:val="Header"/>
      <w:jc w:val="center"/>
    </w:pPr>
  </w:p>
  <w:p w:rsidR="00C94FAE" w:rsidRPr="000D1983" w:rsidP="00C94FAE" w14:paraId="4208B0B2" w14:textId="5CE340C8">
    <w:pPr>
      <w:pStyle w:val="Header"/>
      <w:jc w:val="center"/>
    </w:pPr>
    <w:r>
      <w:t>October 26,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01F3A"/>
    <w:multiLevelType w:val="hybridMultilevel"/>
    <w:tmpl w:val="E1E00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216F4C4C"/>
    <w:multiLevelType w:val="hybridMultilevel"/>
    <w:tmpl w:val="030E96E6"/>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2BA1B03"/>
    <w:multiLevelType w:val="hybridMultilevel"/>
    <w:tmpl w:val="601213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F5"/>
    <w:rsid w:val="000000A4"/>
    <w:rsid w:val="0000024E"/>
    <w:rsid w:val="00000298"/>
    <w:rsid w:val="00000DAA"/>
    <w:rsid w:val="000027DF"/>
    <w:rsid w:val="00002C3B"/>
    <w:rsid w:val="0000314D"/>
    <w:rsid w:val="0000445D"/>
    <w:rsid w:val="00005AAC"/>
    <w:rsid w:val="000061CC"/>
    <w:rsid w:val="000064C5"/>
    <w:rsid w:val="00006D6C"/>
    <w:rsid w:val="00010034"/>
    <w:rsid w:val="000103E7"/>
    <w:rsid w:val="00010414"/>
    <w:rsid w:val="00010650"/>
    <w:rsid w:val="000110E7"/>
    <w:rsid w:val="0001141E"/>
    <w:rsid w:val="000134D7"/>
    <w:rsid w:val="00014698"/>
    <w:rsid w:val="00014A32"/>
    <w:rsid w:val="000150CC"/>
    <w:rsid w:val="0001630C"/>
    <w:rsid w:val="00021517"/>
    <w:rsid w:val="000233AB"/>
    <w:rsid w:val="0002385C"/>
    <w:rsid w:val="00024A66"/>
    <w:rsid w:val="00024E45"/>
    <w:rsid w:val="00024E73"/>
    <w:rsid w:val="00024F14"/>
    <w:rsid w:val="000258D8"/>
    <w:rsid w:val="00025FA2"/>
    <w:rsid w:val="00026439"/>
    <w:rsid w:val="0002650C"/>
    <w:rsid w:val="00027438"/>
    <w:rsid w:val="000276DB"/>
    <w:rsid w:val="00027700"/>
    <w:rsid w:val="0002789A"/>
    <w:rsid w:val="00027F5D"/>
    <w:rsid w:val="0003093A"/>
    <w:rsid w:val="000331D7"/>
    <w:rsid w:val="00034B5E"/>
    <w:rsid w:val="00034DA4"/>
    <w:rsid w:val="00036691"/>
    <w:rsid w:val="000367D4"/>
    <w:rsid w:val="0004036F"/>
    <w:rsid w:val="000407E9"/>
    <w:rsid w:val="00040809"/>
    <w:rsid w:val="00040AEF"/>
    <w:rsid w:val="00041764"/>
    <w:rsid w:val="000429C0"/>
    <w:rsid w:val="00042DEF"/>
    <w:rsid w:val="000456C8"/>
    <w:rsid w:val="0004586A"/>
    <w:rsid w:val="00045AC0"/>
    <w:rsid w:val="00045B87"/>
    <w:rsid w:val="00045C9F"/>
    <w:rsid w:val="00045D56"/>
    <w:rsid w:val="00045DEF"/>
    <w:rsid w:val="00050FDD"/>
    <w:rsid w:val="000539DF"/>
    <w:rsid w:val="0005572E"/>
    <w:rsid w:val="00055E28"/>
    <w:rsid w:val="00056450"/>
    <w:rsid w:val="000566DC"/>
    <w:rsid w:val="00056998"/>
    <w:rsid w:val="00056F34"/>
    <w:rsid w:val="0005732C"/>
    <w:rsid w:val="00057B16"/>
    <w:rsid w:val="0006100C"/>
    <w:rsid w:val="0006131E"/>
    <w:rsid w:val="00061DA4"/>
    <w:rsid w:val="00063C5E"/>
    <w:rsid w:val="00064C61"/>
    <w:rsid w:val="00065012"/>
    <w:rsid w:val="00065290"/>
    <w:rsid w:val="000652A7"/>
    <w:rsid w:val="00065572"/>
    <w:rsid w:val="000660DE"/>
    <w:rsid w:val="00066468"/>
    <w:rsid w:val="00066913"/>
    <w:rsid w:val="00066C80"/>
    <w:rsid w:val="000672EF"/>
    <w:rsid w:val="00071EDB"/>
    <w:rsid w:val="000737A6"/>
    <w:rsid w:val="00075891"/>
    <w:rsid w:val="00075948"/>
    <w:rsid w:val="0007613E"/>
    <w:rsid w:val="0007765C"/>
    <w:rsid w:val="00080118"/>
    <w:rsid w:val="000821D0"/>
    <w:rsid w:val="00082CD4"/>
    <w:rsid w:val="00082E24"/>
    <w:rsid w:val="00082FB5"/>
    <w:rsid w:val="00084004"/>
    <w:rsid w:val="00085768"/>
    <w:rsid w:val="00086694"/>
    <w:rsid w:val="00087CFF"/>
    <w:rsid w:val="000904FD"/>
    <w:rsid w:val="00091EF8"/>
    <w:rsid w:val="00092340"/>
    <w:rsid w:val="000923C7"/>
    <w:rsid w:val="00093A9C"/>
    <w:rsid w:val="00093FF5"/>
    <w:rsid w:val="0009422F"/>
    <w:rsid w:val="0009474F"/>
    <w:rsid w:val="0009536E"/>
    <w:rsid w:val="0009781B"/>
    <w:rsid w:val="00097BCE"/>
    <w:rsid w:val="000A08A4"/>
    <w:rsid w:val="000A0AD7"/>
    <w:rsid w:val="000A1517"/>
    <w:rsid w:val="000A3137"/>
    <w:rsid w:val="000A36C8"/>
    <w:rsid w:val="000A4B74"/>
    <w:rsid w:val="000A4D0B"/>
    <w:rsid w:val="000A5850"/>
    <w:rsid w:val="000A7970"/>
    <w:rsid w:val="000B1782"/>
    <w:rsid w:val="000B2737"/>
    <w:rsid w:val="000B27F0"/>
    <w:rsid w:val="000B2914"/>
    <w:rsid w:val="000B3C7C"/>
    <w:rsid w:val="000B4611"/>
    <w:rsid w:val="000B463A"/>
    <w:rsid w:val="000B479A"/>
    <w:rsid w:val="000B4AC4"/>
    <w:rsid w:val="000B52C5"/>
    <w:rsid w:val="000B57C9"/>
    <w:rsid w:val="000B58CE"/>
    <w:rsid w:val="000B64E4"/>
    <w:rsid w:val="000B6851"/>
    <w:rsid w:val="000B6EBE"/>
    <w:rsid w:val="000B764C"/>
    <w:rsid w:val="000C02DC"/>
    <w:rsid w:val="000C0F02"/>
    <w:rsid w:val="000C139A"/>
    <w:rsid w:val="000C1513"/>
    <w:rsid w:val="000C1BCB"/>
    <w:rsid w:val="000C25F6"/>
    <w:rsid w:val="000C41AD"/>
    <w:rsid w:val="000C4796"/>
    <w:rsid w:val="000C6EF1"/>
    <w:rsid w:val="000D1078"/>
    <w:rsid w:val="000D1983"/>
    <w:rsid w:val="000D1DF8"/>
    <w:rsid w:val="000D1E3D"/>
    <w:rsid w:val="000D2C68"/>
    <w:rsid w:val="000D35F2"/>
    <w:rsid w:val="000D3A99"/>
    <w:rsid w:val="000D3CDB"/>
    <w:rsid w:val="000D53E6"/>
    <w:rsid w:val="000D62E3"/>
    <w:rsid w:val="000D6AE4"/>
    <w:rsid w:val="000E075E"/>
    <w:rsid w:val="000E0846"/>
    <w:rsid w:val="000E1184"/>
    <w:rsid w:val="000E1A8D"/>
    <w:rsid w:val="000E3209"/>
    <w:rsid w:val="000E34AE"/>
    <w:rsid w:val="000F003D"/>
    <w:rsid w:val="000F163F"/>
    <w:rsid w:val="000F17D9"/>
    <w:rsid w:val="000F1899"/>
    <w:rsid w:val="000F2904"/>
    <w:rsid w:val="000F42C7"/>
    <w:rsid w:val="000F4D5A"/>
    <w:rsid w:val="000F5244"/>
    <w:rsid w:val="000F5BF5"/>
    <w:rsid w:val="000F6737"/>
    <w:rsid w:val="000F7838"/>
    <w:rsid w:val="000F786F"/>
    <w:rsid w:val="00102C58"/>
    <w:rsid w:val="00103771"/>
    <w:rsid w:val="00103969"/>
    <w:rsid w:val="00103F3C"/>
    <w:rsid w:val="0010620E"/>
    <w:rsid w:val="001069D1"/>
    <w:rsid w:val="00107651"/>
    <w:rsid w:val="00107877"/>
    <w:rsid w:val="00111A2C"/>
    <w:rsid w:val="00112621"/>
    <w:rsid w:val="00113987"/>
    <w:rsid w:val="00115D3F"/>
    <w:rsid w:val="00115EE3"/>
    <w:rsid w:val="0011656B"/>
    <w:rsid w:val="001166A8"/>
    <w:rsid w:val="00116A4F"/>
    <w:rsid w:val="00117572"/>
    <w:rsid w:val="00117783"/>
    <w:rsid w:val="00117C94"/>
    <w:rsid w:val="00121952"/>
    <w:rsid w:val="0012299F"/>
    <w:rsid w:val="0012462E"/>
    <w:rsid w:val="00124F1C"/>
    <w:rsid w:val="0012533B"/>
    <w:rsid w:val="001305A1"/>
    <w:rsid w:val="001308EF"/>
    <w:rsid w:val="00131DB2"/>
    <w:rsid w:val="00132D48"/>
    <w:rsid w:val="00133429"/>
    <w:rsid w:val="00133E97"/>
    <w:rsid w:val="001350E0"/>
    <w:rsid w:val="00136179"/>
    <w:rsid w:val="001361F3"/>
    <w:rsid w:val="0014260D"/>
    <w:rsid w:val="00142B51"/>
    <w:rsid w:val="00142BCC"/>
    <w:rsid w:val="0014316C"/>
    <w:rsid w:val="00144214"/>
    <w:rsid w:val="00144B33"/>
    <w:rsid w:val="00144C76"/>
    <w:rsid w:val="001451B5"/>
    <w:rsid w:val="00145681"/>
    <w:rsid w:val="00147CAB"/>
    <w:rsid w:val="0015041F"/>
    <w:rsid w:val="001509C4"/>
    <w:rsid w:val="00151ADC"/>
    <w:rsid w:val="00151FD9"/>
    <w:rsid w:val="00152DF4"/>
    <w:rsid w:val="0015309D"/>
    <w:rsid w:val="00154B33"/>
    <w:rsid w:val="00157CEC"/>
    <w:rsid w:val="0016262F"/>
    <w:rsid w:val="00162944"/>
    <w:rsid w:val="00163D76"/>
    <w:rsid w:val="00163FD8"/>
    <w:rsid w:val="00164E4E"/>
    <w:rsid w:val="0016744B"/>
    <w:rsid w:val="001674CB"/>
    <w:rsid w:val="00170638"/>
    <w:rsid w:val="00171D8D"/>
    <w:rsid w:val="00172A10"/>
    <w:rsid w:val="00174B1B"/>
    <w:rsid w:val="00175EF9"/>
    <w:rsid w:val="001761FC"/>
    <w:rsid w:val="00176609"/>
    <w:rsid w:val="00177840"/>
    <w:rsid w:val="00177D21"/>
    <w:rsid w:val="00180952"/>
    <w:rsid w:val="00180D74"/>
    <w:rsid w:val="001812A6"/>
    <w:rsid w:val="0018133D"/>
    <w:rsid w:val="00182691"/>
    <w:rsid w:val="00183DC2"/>
    <w:rsid w:val="00186006"/>
    <w:rsid w:val="00186E0E"/>
    <w:rsid w:val="0018753D"/>
    <w:rsid w:val="00187D80"/>
    <w:rsid w:val="00187FE3"/>
    <w:rsid w:val="00190732"/>
    <w:rsid w:val="00192180"/>
    <w:rsid w:val="00192DEB"/>
    <w:rsid w:val="00193121"/>
    <w:rsid w:val="001936C1"/>
    <w:rsid w:val="001940A2"/>
    <w:rsid w:val="00194419"/>
    <w:rsid w:val="0019467F"/>
    <w:rsid w:val="001958B3"/>
    <w:rsid w:val="0019693D"/>
    <w:rsid w:val="00196C1B"/>
    <w:rsid w:val="00196F09"/>
    <w:rsid w:val="001970D8"/>
    <w:rsid w:val="00197C1F"/>
    <w:rsid w:val="001A036E"/>
    <w:rsid w:val="001A0BF5"/>
    <w:rsid w:val="001A36AF"/>
    <w:rsid w:val="001A476D"/>
    <w:rsid w:val="001A4835"/>
    <w:rsid w:val="001A48C3"/>
    <w:rsid w:val="001A60C1"/>
    <w:rsid w:val="001A7E49"/>
    <w:rsid w:val="001B01CB"/>
    <w:rsid w:val="001B1796"/>
    <w:rsid w:val="001B2466"/>
    <w:rsid w:val="001B4522"/>
    <w:rsid w:val="001B51E5"/>
    <w:rsid w:val="001B5A6B"/>
    <w:rsid w:val="001B6428"/>
    <w:rsid w:val="001C14AF"/>
    <w:rsid w:val="001C300C"/>
    <w:rsid w:val="001C359D"/>
    <w:rsid w:val="001C3FFE"/>
    <w:rsid w:val="001C4013"/>
    <w:rsid w:val="001C50D6"/>
    <w:rsid w:val="001C6232"/>
    <w:rsid w:val="001D05AC"/>
    <w:rsid w:val="001D0868"/>
    <w:rsid w:val="001D1457"/>
    <w:rsid w:val="001D1947"/>
    <w:rsid w:val="001D5064"/>
    <w:rsid w:val="001D538B"/>
    <w:rsid w:val="001D53BD"/>
    <w:rsid w:val="001D567D"/>
    <w:rsid w:val="001D6773"/>
    <w:rsid w:val="001D6803"/>
    <w:rsid w:val="001D6849"/>
    <w:rsid w:val="001E014C"/>
    <w:rsid w:val="001E0716"/>
    <w:rsid w:val="001E12A2"/>
    <w:rsid w:val="001E2C71"/>
    <w:rsid w:val="001E30D4"/>
    <w:rsid w:val="001E72F1"/>
    <w:rsid w:val="001F0421"/>
    <w:rsid w:val="001F1169"/>
    <w:rsid w:val="001F1732"/>
    <w:rsid w:val="001F2297"/>
    <w:rsid w:val="001F2620"/>
    <w:rsid w:val="001F268C"/>
    <w:rsid w:val="001F2B4A"/>
    <w:rsid w:val="001F3012"/>
    <w:rsid w:val="001F3392"/>
    <w:rsid w:val="001F429A"/>
    <w:rsid w:val="001F4904"/>
    <w:rsid w:val="001F4FC3"/>
    <w:rsid w:val="001F5764"/>
    <w:rsid w:val="001F5C27"/>
    <w:rsid w:val="001F6535"/>
    <w:rsid w:val="002000A3"/>
    <w:rsid w:val="00200703"/>
    <w:rsid w:val="0020074C"/>
    <w:rsid w:val="002019B9"/>
    <w:rsid w:val="002032D1"/>
    <w:rsid w:val="00206245"/>
    <w:rsid w:val="002113FF"/>
    <w:rsid w:val="0021149B"/>
    <w:rsid w:val="00211CF2"/>
    <w:rsid w:val="00212131"/>
    <w:rsid w:val="00213D47"/>
    <w:rsid w:val="0021448E"/>
    <w:rsid w:val="002154C2"/>
    <w:rsid w:val="002163E2"/>
    <w:rsid w:val="0021670D"/>
    <w:rsid w:val="00216AFD"/>
    <w:rsid w:val="00217405"/>
    <w:rsid w:val="00217732"/>
    <w:rsid w:val="002213D3"/>
    <w:rsid w:val="00222826"/>
    <w:rsid w:val="00224517"/>
    <w:rsid w:val="002254EB"/>
    <w:rsid w:val="0022631B"/>
    <w:rsid w:val="00226676"/>
    <w:rsid w:val="00227009"/>
    <w:rsid w:val="0022745D"/>
    <w:rsid w:val="0022776A"/>
    <w:rsid w:val="00227E30"/>
    <w:rsid w:val="0023037E"/>
    <w:rsid w:val="002303B6"/>
    <w:rsid w:val="002306DB"/>
    <w:rsid w:val="00231CB2"/>
    <w:rsid w:val="00234DB5"/>
    <w:rsid w:val="00234F65"/>
    <w:rsid w:val="00235A64"/>
    <w:rsid w:val="00236FD1"/>
    <w:rsid w:val="002373A0"/>
    <w:rsid w:val="00237E60"/>
    <w:rsid w:val="00243B05"/>
    <w:rsid w:val="0024651B"/>
    <w:rsid w:val="002478D8"/>
    <w:rsid w:val="002479F2"/>
    <w:rsid w:val="0025017A"/>
    <w:rsid w:val="00250878"/>
    <w:rsid w:val="00250C8D"/>
    <w:rsid w:val="00251307"/>
    <w:rsid w:val="002522A0"/>
    <w:rsid w:val="00253D4C"/>
    <w:rsid w:val="00255B37"/>
    <w:rsid w:val="00256EDF"/>
    <w:rsid w:val="00257135"/>
    <w:rsid w:val="00257921"/>
    <w:rsid w:val="00261B7D"/>
    <w:rsid w:val="00262E5C"/>
    <w:rsid w:val="0026328D"/>
    <w:rsid w:val="00263F31"/>
    <w:rsid w:val="002642F4"/>
    <w:rsid w:val="00264684"/>
    <w:rsid w:val="00264EB9"/>
    <w:rsid w:val="00265487"/>
    <w:rsid w:val="00265A6A"/>
    <w:rsid w:val="00265F94"/>
    <w:rsid w:val="002663D0"/>
    <w:rsid w:val="0026663E"/>
    <w:rsid w:val="00266A87"/>
    <w:rsid w:val="00267980"/>
    <w:rsid w:val="00270A10"/>
    <w:rsid w:val="00271C75"/>
    <w:rsid w:val="00271ED2"/>
    <w:rsid w:val="0027291E"/>
    <w:rsid w:val="00273345"/>
    <w:rsid w:val="00274652"/>
    <w:rsid w:val="002747DD"/>
    <w:rsid w:val="002753CA"/>
    <w:rsid w:val="00275521"/>
    <w:rsid w:val="00275849"/>
    <w:rsid w:val="00276D06"/>
    <w:rsid w:val="0027754F"/>
    <w:rsid w:val="00277D16"/>
    <w:rsid w:val="00277FA1"/>
    <w:rsid w:val="00282040"/>
    <w:rsid w:val="00282364"/>
    <w:rsid w:val="00282A4B"/>
    <w:rsid w:val="00282B90"/>
    <w:rsid w:val="002839F3"/>
    <w:rsid w:val="00284412"/>
    <w:rsid w:val="00284B4E"/>
    <w:rsid w:val="002851C0"/>
    <w:rsid w:val="0028682E"/>
    <w:rsid w:val="00287C8F"/>
    <w:rsid w:val="00291045"/>
    <w:rsid w:val="002912FD"/>
    <w:rsid w:val="002915DE"/>
    <w:rsid w:val="00292151"/>
    <w:rsid w:val="00294003"/>
    <w:rsid w:val="00294038"/>
    <w:rsid w:val="00294104"/>
    <w:rsid w:val="00294B9A"/>
    <w:rsid w:val="002950A1"/>
    <w:rsid w:val="00296A5A"/>
    <w:rsid w:val="00296E95"/>
    <w:rsid w:val="002A06E8"/>
    <w:rsid w:val="002A08E0"/>
    <w:rsid w:val="002A0CA3"/>
    <w:rsid w:val="002A2717"/>
    <w:rsid w:val="002A2AD0"/>
    <w:rsid w:val="002A3AC0"/>
    <w:rsid w:val="002A4663"/>
    <w:rsid w:val="002A4765"/>
    <w:rsid w:val="002A5966"/>
    <w:rsid w:val="002A6E54"/>
    <w:rsid w:val="002A7087"/>
    <w:rsid w:val="002B00DB"/>
    <w:rsid w:val="002B0519"/>
    <w:rsid w:val="002B0849"/>
    <w:rsid w:val="002B0F05"/>
    <w:rsid w:val="002B23E4"/>
    <w:rsid w:val="002B2BC4"/>
    <w:rsid w:val="002B3FD0"/>
    <w:rsid w:val="002B5FDC"/>
    <w:rsid w:val="002B62A3"/>
    <w:rsid w:val="002B68DC"/>
    <w:rsid w:val="002B70FA"/>
    <w:rsid w:val="002B7331"/>
    <w:rsid w:val="002B7710"/>
    <w:rsid w:val="002C054A"/>
    <w:rsid w:val="002C16F8"/>
    <w:rsid w:val="002C2A86"/>
    <w:rsid w:val="002C2ED6"/>
    <w:rsid w:val="002C2F9D"/>
    <w:rsid w:val="002C347A"/>
    <w:rsid w:val="002C35F7"/>
    <w:rsid w:val="002C4798"/>
    <w:rsid w:val="002C528F"/>
    <w:rsid w:val="002C550F"/>
    <w:rsid w:val="002C5D23"/>
    <w:rsid w:val="002D0A35"/>
    <w:rsid w:val="002D0F12"/>
    <w:rsid w:val="002D1868"/>
    <w:rsid w:val="002D1F40"/>
    <w:rsid w:val="002D4772"/>
    <w:rsid w:val="002D485D"/>
    <w:rsid w:val="002D5669"/>
    <w:rsid w:val="002D5D5F"/>
    <w:rsid w:val="002D5ECA"/>
    <w:rsid w:val="002D74D4"/>
    <w:rsid w:val="002D77B6"/>
    <w:rsid w:val="002D7AD3"/>
    <w:rsid w:val="002E2C87"/>
    <w:rsid w:val="002E3B7F"/>
    <w:rsid w:val="002E40AF"/>
    <w:rsid w:val="002E487C"/>
    <w:rsid w:val="002E5B6C"/>
    <w:rsid w:val="002E5B7C"/>
    <w:rsid w:val="002E71C5"/>
    <w:rsid w:val="002E793C"/>
    <w:rsid w:val="002E7C1A"/>
    <w:rsid w:val="002F1CD7"/>
    <w:rsid w:val="002F31DD"/>
    <w:rsid w:val="002F3EA6"/>
    <w:rsid w:val="002F47CB"/>
    <w:rsid w:val="002F6508"/>
    <w:rsid w:val="002F66C9"/>
    <w:rsid w:val="002F77E9"/>
    <w:rsid w:val="003003C0"/>
    <w:rsid w:val="00300884"/>
    <w:rsid w:val="00301A11"/>
    <w:rsid w:val="00301C03"/>
    <w:rsid w:val="003030AC"/>
    <w:rsid w:val="003038C2"/>
    <w:rsid w:val="00303967"/>
    <w:rsid w:val="00303DDD"/>
    <w:rsid w:val="00305171"/>
    <w:rsid w:val="00305340"/>
    <w:rsid w:val="00306200"/>
    <w:rsid w:val="00306773"/>
    <w:rsid w:val="00307C89"/>
    <w:rsid w:val="00310B6B"/>
    <w:rsid w:val="00310FBB"/>
    <w:rsid w:val="0031125A"/>
    <w:rsid w:val="00311904"/>
    <w:rsid w:val="00311C49"/>
    <w:rsid w:val="00313056"/>
    <w:rsid w:val="00313DA0"/>
    <w:rsid w:val="0031448A"/>
    <w:rsid w:val="00314729"/>
    <w:rsid w:val="00315823"/>
    <w:rsid w:val="0031593F"/>
    <w:rsid w:val="00316000"/>
    <w:rsid w:val="00316A6E"/>
    <w:rsid w:val="0032011E"/>
    <w:rsid w:val="003208DA"/>
    <w:rsid w:val="003208FC"/>
    <w:rsid w:val="00320C08"/>
    <w:rsid w:val="00321C0D"/>
    <w:rsid w:val="00321EDB"/>
    <w:rsid w:val="00324E38"/>
    <w:rsid w:val="0032518B"/>
    <w:rsid w:val="00325B8B"/>
    <w:rsid w:val="00330745"/>
    <w:rsid w:val="003362C6"/>
    <w:rsid w:val="00336328"/>
    <w:rsid w:val="00336FEE"/>
    <w:rsid w:val="00337369"/>
    <w:rsid w:val="00337D62"/>
    <w:rsid w:val="00341187"/>
    <w:rsid w:val="003414EC"/>
    <w:rsid w:val="00342746"/>
    <w:rsid w:val="00343E59"/>
    <w:rsid w:val="00344802"/>
    <w:rsid w:val="00345FC4"/>
    <w:rsid w:val="00347F85"/>
    <w:rsid w:val="00350CB2"/>
    <w:rsid w:val="00350D90"/>
    <w:rsid w:val="003511BD"/>
    <w:rsid w:val="00351EEA"/>
    <w:rsid w:val="00352F52"/>
    <w:rsid w:val="0035310C"/>
    <w:rsid w:val="00354C6E"/>
    <w:rsid w:val="00355D0B"/>
    <w:rsid w:val="00356C4B"/>
    <w:rsid w:val="0035767E"/>
    <w:rsid w:val="00360CF1"/>
    <w:rsid w:val="00361A68"/>
    <w:rsid w:val="0036206D"/>
    <w:rsid w:val="003621E2"/>
    <w:rsid w:val="003625A6"/>
    <w:rsid w:val="0036276A"/>
    <w:rsid w:val="00362F02"/>
    <w:rsid w:val="0036356C"/>
    <w:rsid w:val="0036434E"/>
    <w:rsid w:val="00364A92"/>
    <w:rsid w:val="00364C1C"/>
    <w:rsid w:val="003650A1"/>
    <w:rsid w:val="00365D9C"/>
    <w:rsid w:val="00366AF5"/>
    <w:rsid w:val="00366E01"/>
    <w:rsid w:val="0037051A"/>
    <w:rsid w:val="0037063E"/>
    <w:rsid w:val="00374FE4"/>
    <w:rsid w:val="00374FF7"/>
    <w:rsid w:val="003754DC"/>
    <w:rsid w:val="00375F69"/>
    <w:rsid w:val="00376937"/>
    <w:rsid w:val="00377533"/>
    <w:rsid w:val="003777E7"/>
    <w:rsid w:val="003817A0"/>
    <w:rsid w:val="00382764"/>
    <w:rsid w:val="00385C35"/>
    <w:rsid w:val="00386087"/>
    <w:rsid w:val="00386210"/>
    <w:rsid w:val="00386474"/>
    <w:rsid w:val="003865BE"/>
    <w:rsid w:val="00386F10"/>
    <w:rsid w:val="003870CE"/>
    <w:rsid w:val="003875C4"/>
    <w:rsid w:val="00390773"/>
    <w:rsid w:val="003911B5"/>
    <w:rsid w:val="00391302"/>
    <w:rsid w:val="00391E1C"/>
    <w:rsid w:val="00393525"/>
    <w:rsid w:val="00393FA5"/>
    <w:rsid w:val="003940D5"/>
    <w:rsid w:val="003960CB"/>
    <w:rsid w:val="00396104"/>
    <w:rsid w:val="00396965"/>
    <w:rsid w:val="00396C13"/>
    <w:rsid w:val="0039765C"/>
    <w:rsid w:val="00397C02"/>
    <w:rsid w:val="00397C2A"/>
    <w:rsid w:val="00397E04"/>
    <w:rsid w:val="003A0373"/>
    <w:rsid w:val="003A1AB2"/>
    <w:rsid w:val="003A1AB9"/>
    <w:rsid w:val="003A1F89"/>
    <w:rsid w:val="003A2B38"/>
    <w:rsid w:val="003A4171"/>
    <w:rsid w:val="003A465C"/>
    <w:rsid w:val="003A4682"/>
    <w:rsid w:val="003A4D07"/>
    <w:rsid w:val="003A5716"/>
    <w:rsid w:val="003A5CFC"/>
    <w:rsid w:val="003A75C6"/>
    <w:rsid w:val="003A7959"/>
    <w:rsid w:val="003A7FC6"/>
    <w:rsid w:val="003B0C89"/>
    <w:rsid w:val="003B0DCC"/>
    <w:rsid w:val="003B1594"/>
    <w:rsid w:val="003B181A"/>
    <w:rsid w:val="003B222F"/>
    <w:rsid w:val="003B2B9F"/>
    <w:rsid w:val="003B352B"/>
    <w:rsid w:val="003B445F"/>
    <w:rsid w:val="003B52E2"/>
    <w:rsid w:val="003B5F4F"/>
    <w:rsid w:val="003B63C9"/>
    <w:rsid w:val="003B65C9"/>
    <w:rsid w:val="003B67A5"/>
    <w:rsid w:val="003B6B70"/>
    <w:rsid w:val="003B787A"/>
    <w:rsid w:val="003C0019"/>
    <w:rsid w:val="003C0030"/>
    <w:rsid w:val="003C0B42"/>
    <w:rsid w:val="003C1C11"/>
    <w:rsid w:val="003C1CA5"/>
    <w:rsid w:val="003C223C"/>
    <w:rsid w:val="003C3D3E"/>
    <w:rsid w:val="003C6387"/>
    <w:rsid w:val="003C6B50"/>
    <w:rsid w:val="003D0D4F"/>
    <w:rsid w:val="003D1C13"/>
    <w:rsid w:val="003D2123"/>
    <w:rsid w:val="003D3283"/>
    <w:rsid w:val="003D3952"/>
    <w:rsid w:val="003D41A4"/>
    <w:rsid w:val="003D4527"/>
    <w:rsid w:val="003D45BC"/>
    <w:rsid w:val="003D5B6C"/>
    <w:rsid w:val="003E0D1C"/>
    <w:rsid w:val="003E4839"/>
    <w:rsid w:val="003E58CE"/>
    <w:rsid w:val="003E69A1"/>
    <w:rsid w:val="003E6DA8"/>
    <w:rsid w:val="003F12D5"/>
    <w:rsid w:val="003F25CB"/>
    <w:rsid w:val="003F3AFD"/>
    <w:rsid w:val="003F3EC0"/>
    <w:rsid w:val="003F400C"/>
    <w:rsid w:val="003F4048"/>
    <w:rsid w:val="003F4943"/>
    <w:rsid w:val="003F69F0"/>
    <w:rsid w:val="003F6A29"/>
    <w:rsid w:val="00400501"/>
    <w:rsid w:val="00402974"/>
    <w:rsid w:val="00403060"/>
    <w:rsid w:val="0040348A"/>
    <w:rsid w:val="00404B12"/>
    <w:rsid w:val="00405AF6"/>
    <w:rsid w:val="00411BF0"/>
    <w:rsid w:val="00411EC4"/>
    <w:rsid w:val="00412B71"/>
    <w:rsid w:val="00412C61"/>
    <w:rsid w:val="00412E31"/>
    <w:rsid w:val="0041409E"/>
    <w:rsid w:val="004148DE"/>
    <w:rsid w:val="00414D3C"/>
    <w:rsid w:val="0041559C"/>
    <w:rsid w:val="00417F17"/>
    <w:rsid w:val="00420628"/>
    <w:rsid w:val="00420CD9"/>
    <w:rsid w:val="00421345"/>
    <w:rsid w:val="004218E2"/>
    <w:rsid w:val="00421A4A"/>
    <w:rsid w:val="00422445"/>
    <w:rsid w:val="004234A1"/>
    <w:rsid w:val="00423EBF"/>
    <w:rsid w:val="00424673"/>
    <w:rsid w:val="00426703"/>
    <w:rsid w:val="00427512"/>
    <w:rsid w:val="00427860"/>
    <w:rsid w:val="0043083B"/>
    <w:rsid w:val="00430954"/>
    <w:rsid w:val="004311D8"/>
    <w:rsid w:val="00431839"/>
    <w:rsid w:val="00432021"/>
    <w:rsid w:val="00433296"/>
    <w:rsid w:val="00433B40"/>
    <w:rsid w:val="004341F7"/>
    <w:rsid w:val="00434507"/>
    <w:rsid w:val="0043703D"/>
    <w:rsid w:val="00437834"/>
    <w:rsid w:val="00437AA1"/>
    <w:rsid w:val="0044110F"/>
    <w:rsid w:val="004417B8"/>
    <w:rsid w:val="00442802"/>
    <w:rsid w:val="00442B54"/>
    <w:rsid w:val="00444E89"/>
    <w:rsid w:val="004455A6"/>
    <w:rsid w:val="00445841"/>
    <w:rsid w:val="00446C74"/>
    <w:rsid w:val="00447A4C"/>
    <w:rsid w:val="004500D9"/>
    <w:rsid w:val="0045040B"/>
    <w:rsid w:val="004513E1"/>
    <w:rsid w:val="0045312B"/>
    <w:rsid w:val="0045435E"/>
    <w:rsid w:val="0045483B"/>
    <w:rsid w:val="004562D9"/>
    <w:rsid w:val="004570AC"/>
    <w:rsid w:val="00457147"/>
    <w:rsid w:val="004603E8"/>
    <w:rsid w:val="004613AD"/>
    <w:rsid w:val="00462D6C"/>
    <w:rsid w:val="00462DCE"/>
    <w:rsid w:val="00462EAE"/>
    <w:rsid w:val="0046308B"/>
    <w:rsid w:val="00464203"/>
    <w:rsid w:val="00464893"/>
    <w:rsid w:val="00464BC9"/>
    <w:rsid w:val="00464C41"/>
    <w:rsid w:val="00465189"/>
    <w:rsid w:val="00465525"/>
    <w:rsid w:val="004667A7"/>
    <w:rsid w:val="0046690E"/>
    <w:rsid w:val="00467AAF"/>
    <w:rsid w:val="004713DB"/>
    <w:rsid w:val="004723F9"/>
    <w:rsid w:val="00472A55"/>
    <w:rsid w:val="004738DD"/>
    <w:rsid w:val="004755F7"/>
    <w:rsid w:val="004764B3"/>
    <w:rsid w:val="00476A3C"/>
    <w:rsid w:val="00476B63"/>
    <w:rsid w:val="00477455"/>
    <w:rsid w:val="004777EF"/>
    <w:rsid w:val="004779EC"/>
    <w:rsid w:val="004814B7"/>
    <w:rsid w:val="00482492"/>
    <w:rsid w:val="00483957"/>
    <w:rsid w:val="00483A1B"/>
    <w:rsid w:val="00483A90"/>
    <w:rsid w:val="00484014"/>
    <w:rsid w:val="004858E9"/>
    <w:rsid w:val="00485C00"/>
    <w:rsid w:val="0048660F"/>
    <w:rsid w:val="00486F0A"/>
    <w:rsid w:val="00491152"/>
    <w:rsid w:val="00491480"/>
    <w:rsid w:val="004916C2"/>
    <w:rsid w:val="00492719"/>
    <w:rsid w:val="0049400B"/>
    <w:rsid w:val="00494AD6"/>
    <w:rsid w:val="00494EC8"/>
    <w:rsid w:val="004A0491"/>
    <w:rsid w:val="004A0F56"/>
    <w:rsid w:val="004A2035"/>
    <w:rsid w:val="004A3074"/>
    <w:rsid w:val="004A3C99"/>
    <w:rsid w:val="004A4390"/>
    <w:rsid w:val="004A4965"/>
    <w:rsid w:val="004A51F6"/>
    <w:rsid w:val="004A5ACF"/>
    <w:rsid w:val="004B016A"/>
    <w:rsid w:val="004B3AF6"/>
    <w:rsid w:val="004B3B08"/>
    <w:rsid w:val="004B7415"/>
    <w:rsid w:val="004B74CA"/>
    <w:rsid w:val="004C07F1"/>
    <w:rsid w:val="004C0868"/>
    <w:rsid w:val="004C0EBF"/>
    <w:rsid w:val="004C2C8C"/>
    <w:rsid w:val="004C3639"/>
    <w:rsid w:val="004C36E1"/>
    <w:rsid w:val="004C3803"/>
    <w:rsid w:val="004C3966"/>
    <w:rsid w:val="004C430D"/>
    <w:rsid w:val="004C4507"/>
    <w:rsid w:val="004C4B9C"/>
    <w:rsid w:val="004D08BA"/>
    <w:rsid w:val="004D0F4A"/>
    <w:rsid w:val="004D1379"/>
    <w:rsid w:val="004D1FC7"/>
    <w:rsid w:val="004D2E2D"/>
    <w:rsid w:val="004D4F47"/>
    <w:rsid w:val="004D6C7E"/>
    <w:rsid w:val="004D7303"/>
    <w:rsid w:val="004D75CB"/>
    <w:rsid w:val="004D7918"/>
    <w:rsid w:val="004E114B"/>
    <w:rsid w:val="004E1443"/>
    <w:rsid w:val="004E3F2D"/>
    <w:rsid w:val="004E5180"/>
    <w:rsid w:val="004E612D"/>
    <w:rsid w:val="004E6273"/>
    <w:rsid w:val="004E6A11"/>
    <w:rsid w:val="004E6B0F"/>
    <w:rsid w:val="004E753F"/>
    <w:rsid w:val="004E7B88"/>
    <w:rsid w:val="004F0AB8"/>
    <w:rsid w:val="004F135D"/>
    <w:rsid w:val="004F13AB"/>
    <w:rsid w:val="004F21F0"/>
    <w:rsid w:val="004F3CFC"/>
    <w:rsid w:val="004F4243"/>
    <w:rsid w:val="004F589F"/>
    <w:rsid w:val="0050021D"/>
    <w:rsid w:val="0050054C"/>
    <w:rsid w:val="00501235"/>
    <w:rsid w:val="00502E18"/>
    <w:rsid w:val="00502E97"/>
    <w:rsid w:val="0050327E"/>
    <w:rsid w:val="00503861"/>
    <w:rsid w:val="00504596"/>
    <w:rsid w:val="005046ED"/>
    <w:rsid w:val="005055CE"/>
    <w:rsid w:val="005062CC"/>
    <w:rsid w:val="0050633E"/>
    <w:rsid w:val="005065A9"/>
    <w:rsid w:val="005072A2"/>
    <w:rsid w:val="0051076B"/>
    <w:rsid w:val="00510D61"/>
    <w:rsid w:val="005130BA"/>
    <w:rsid w:val="005149F5"/>
    <w:rsid w:val="005166D9"/>
    <w:rsid w:val="00516BE0"/>
    <w:rsid w:val="00516F5E"/>
    <w:rsid w:val="005171C5"/>
    <w:rsid w:val="0051749C"/>
    <w:rsid w:val="00517A6D"/>
    <w:rsid w:val="005200A0"/>
    <w:rsid w:val="00521210"/>
    <w:rsid w:val="005215B2"/>
    <w:rsid w:val="005216FD"/>
    <w:rsid w:val="00521726"/>
    <w:rsid w:val="00522042"/>
    <w:rsid w:val="005225E0"/>
    <w:rsid w:val="0052302B"/>
    <w:rsid w:val="00523A0A"/>
    <w:rsid w:val="00524225"/>
    <w:rsid w:val="00525D10"/>
    <w:rsid w:val="00526566"/>
    <w:rsid w:val="005265FB"/>
    <w:rsid w:val="00527569"/>
    <w:rsid w:val="005312A9"/>
    <w:rsid w:val="00531482"/>
    <w:rsid w:val="0053218D"/>
    <w:rsid w:val="0053296D"/>
    <w:rsid w:val="00533B09"/>
    <w:rsid w:val="005346AC"/>
    <w:rsid w:val="00534805"/>
    <w:rsid w:val="00534CDD"/>
    <w:rsid w:val="0053549C"/>
    <w:rsid w:val="005360B0"/>
    <w:rsid w:val="00536352"/>
    <w:rsid w:val="00537251"/>
    <w:rsid w:val="005378FD"/>
    <w:rsid w:val="00537BBC"/>
    <w:rsid w:val="00537FF1"/>
    <w:rsid w:val="005413CF"/>
    <w:rsid w:val="0054248F"/>
    <w:rsid w:val="00543439"/>
    <w:rsid w:val="00543C74"/>
    <w:rsid w:val="00545AD5"/>
    <w:rsid w:val="00545BB5"/>
    <w:rsid w:val="00546410"/>
    <w:rsid w:val="00546CB8"/>
    <w:rsid w:val="00547FE9"/>
    <w:rsid w:val="00550086"/>
    <w:rsid w:val="00550865"/>
    <w:rsid w:val="0055106F"/>
    <w:rsid w:val="005510F6"/>
    <w:rsid w:val="005520AE"/>
    <w:rsid w:val="0055355F"/>
    <w:rsid w:val="005541C3"/>
    <w:rsid w:val="005567B8"/>
    <w:rsid w:val="005567C0"/>
    <w:rsid w:val="00557CBC"/>
    <w:rsid w:val="0056028B"/>
    <w:rsid w:val="00560A44"/>
    <w:rsid w:val="0056179C"/>
    <w:rsid w:val="00561E90"/>
    <w:rsid w:val="005628C5"/>
    <w:rsid w:val="00563F10"/>
    <w:rsid w:val="00565CE6"/>
    <w:rsid w:val="00565DE2"/>
    <w:rsid w:val="005664EB"/>
    <w:rsid w:val="005668EA"/>
    <w:rsid w:val="005675BC"/>
    <w:rsid w:val="00572D60"/>
    <w:rsid w:val="005736D6"/>
    <w:rsid w:val="00573D37"/>
    <w:rsid w:val="00574D28"/>
    <w:rsid w:val="005751DA"/>
    <w:rsid w:val="0057666B"/>
    <w:rsid w:val="00580304"/>
    <w:rsid w:val="00580E33"/>
    <w:rsid w:val="0058116E"/>
    <w:rsid w:val="00582A6A"/>
    <w:rsid w:val="00582CD7"/>
    <w:rsid w:val="005836FF"/>
    <w:rsid w:val="005843A9"/>
    <w:rsid w:val="00584AFE"/>
    <w:rsid w:val="005850AA"/>
    <w:rsid w:val="00586536"/>
    <w:rsid w:val="0058684E"/>
    <w:rsid w:val="00586A0B"/>
    <w:rsid w:val="00586C2D"/>
    <w:rsid w:val="005873FD"/>
    <w:rsid w:val="0058765E"/>
    <w:rsid w:val="00590201"/>
    <w:rsid w:val="00591F7D"/>
    <w:rsid w:val="00592280"/>
    <w:rsid w:val="0059283A"/>
    <w:rsid w:val="005930CD"/>
    <w:rsid w:val="00594C55"/>
    <w:rsid w:val="00594ED6"/>
    <w:rsid w:val="005950F9"/>
    <w:rsid w:val="005952D7"/>
    <w:rsid w:val="005958AD"/>
    <w:rsid w:val="00595CCC"/>
    <w:rsid w:val="00597C38"/>
    <w:rsid w:val="00597D20"/>
    <w:rsid w:val="005A04A2"/>
    <w:rsid w:val="005A053D"/>
    <w:rsid w:val="005A0FA9"/>
    <w:rsid w:val="005A1C05"/>
    <w:rsid w:val="005A20C3"/>
    <w:rsid w:val="005A294C"/>
    <w:rsid w:val="005A2D20"/>
    <w:rsid w:val="005A3625"/>
    <w:rsid w:val="005A4DC9"/>
    <w:rsid w:val="005A5DFB"/>
    <w:rsid w:val="005A6B5E"/>
    <w:rsid w:val="005B2BE0"/>
    <w:rsid w:val="005B45CF"/>
    <w:rsid w:val="005B5FD7"/>
    <w:rsid w:val="005B6F3D"/>
    <w:rsid w:val="005B73AB"/>
    <w:rsid w:val="005B795A"/>
    <w:rsid w:val="005B7DB6"/>
    <w:rsid w:val="005C1982"/>
    <w:rsid w:val="005C4BFD"/>
    <w:rsid w:val="005C4EDA"/>
    <w:rsid w:val="005C610B"/>
    <w:rsid w:val="005C754A"/>
    <w:rsid w:val="005D12AC"/>
    <w:rsid w:val="005D1AC7"/>
    <w:rsid w:val="005D3F39"/>
    <w:rsid w:val="005D567C"/>
    <w:rsid w:val="005E04F8"/>
    <w:rsid w:val="005E11D3"/>
    <w:rsid w:val="005E1DFE"/>
    <w:rsid w:val="005E3729"/>
    <w:rsid w:val="005E4119"/>
    <w:rsid w:val="005E4F80"/>
    <w:rsid w:val="005E6103"/>
    <w:rsid w:val="005E7728"/>
    <w:rsid w:val="005F0844"/>
    <w:rsid w:val="005F14AA"/>
    <w:rsid w:val="005F1689"/>
    <w:rsid w:val="005F26E8"/>
    <w:rsid w:val="005F4265"/>
    <w:rsid w:val="005F4685"/>
    <w:rsid w:val="005F4B2C"/>
    <w:rsid w:val="005F5DD3"/>
    <w:rsid w:val="005F65AC"/>
    <w:rsid w:val="005F675F"/>
    <w:rsid w:val="005F7461"/>
    <w:rsid w:val="005F7D0E"/>
    <w:rsid w:val="00600276"/>
    <w:rsid w:val="0060062D"/>
    <w:rsid w:val="0060098B"/>
    <w:rsid w:val="00601C42"/>
    <w:rsid w:val="00602195"/>
    <w:rsid w:val="00602E78"/>
    <w:rsid w:val="00604700"/>
    <w:rsid w:val="006048B1"/>
    <w:rsid w:val="006061EF"/>
    <w:rsid w:val="006106A1"/>
    <w:rsid w:val="00610CA1"/>
    <w:rsid w:val="00610DC2"/>
    <w:rsid w:val="006120B1"/>
    <w:rsid w:val="006121FC"/>
    <w:rsid w:val="0061289A"/>
    <w:rsid w:val="00613F22"/>
    <w:rsid w:val="00616A99"/>
    <w:rsid w:val="00616AE2"/>
    <w:rsid w:val="00620702"/>
    <w:rsid w:val="006211E6"/>
    <w:rsid w:val="00621A64"/>
    <w:rsid w:val="00621E8C"/>
    <w:rsid w:val="006225A6"/>
    <w:rsid w:val="0062267C"/>
    <w:rsid w:val="006226E0"/>
    <w:rsid w:val="0062287C"/>
    <w:rsid w:val="00625620"/>
    <w:rsid w:val="00625802"/>
    <w:rsid w:val="00626324"/>
    <w:rsid w:val="006263C8"/>
    <w:rsid w:val="0062716C"/>
    <w:rsid w:val="00627E14"/>
    <w:rsid w:val="00630404"/>
    <w:rsid w:val="00630715"/>
    <w:rsid w:val="00630768"/>
    <w:rsid w:val="006318F0"/>
    <w:rsid w:val="00631C09"/>
    <w:rsid w:val="006325D7"/>
    <w:rsid w:val="00632F22"/>
    <w:rsid w:val="00634670"/>
    <w:rsid w:val="006353B8"/>
    <w:rsid w:val="00635C1A"/>
    <w:rsid w:val="00635F8F"/>
    <w:rsid w:val="00636352"/>
    <w:rsid w:val="0063692E"/>
    <w:rsid w:val="00636AEE"/>
    <w:rsid w:val="006407C8"/>
    <w:rsid w:val="00642CAE"/>
    <w:rsid w:val="00643A26"/>
    <w:rsid w:val="00645403"/>
    <w:rsid w:val="00650601"/>
    <w:rsid w:val="006514CA"/>
    <w:rsid w:val="00651D6B"/>
    <w:rsid w:val="006521C6"/>
    <w:rsid w:val="006522E7"/>
    <w:rsid w:val="00652A4E"/>
    <w:rsid w:val="00655A1D"/>
    <w:rsid w:val="00656145"/>
    <w:rsid w:val="006564F5"/>
    <w:rsid w:val="00656D19"/>
    <w:rsid w:val="00657AC4"/>
    <w:rsid w:val="00657AD9"/>
    <w:rsid w:val="00657E4A"/>
    <w:rsid w:val="00660468"/>
    <w:rsid w:val="006606F2"/>
    <w:rsid w:val="00660B6F"/>
    <w:rsid w:val="006611E4"/>
    <w:rsid w:val="006633D4"/>
    <w:rsid w:val="006637B9"/>
    <w:rsid w:val="00664212"/>
    <w:rsid w:val="00664305"/>
    <w:rsid w:val="00666073"/>
    <w:rsid w:val="006670CD"/>
    <w:rsid w:val="00667E42"/>
    <w:rsid w:val="00667FF7"/>
    <w:rsid w:val="006708BD"/>
    <w:rsid w:val="00671228"/>
    <w:rsid w:val="00671449"/>
    <w:rsid w:val="006715B9"/>
    <w:rsid w:val="006725A9"/>
    <w:rsid w:val="006726A9"/>
    <w:rsid w:val="006740F5"/>
    <w:rsid w:val="006746F0"/>
    <w:rsid w:val="00674AC8"/>
    <w:rsid w:val="00675CC8"/>
    <w:rsid w:val="00676324"/>
    <w:rsid w:val="006769E7"/>
    <w:rsid w:val="00680D64"/>
    <w:rsid w:val="00681E02"/>
    <w:rsid w:val="006823AD"/>
    <w:rsid w:val="00682791"/>
    <w:rsid w:val="00682894"/>
    <w:rsid w:val="006828C4"/>
    <w:rsid w:val="00682A93"/>
    <w:rsid w:val="00683454"/>
    <w:rsid w:val="00684116"/>
    <w:rsid w:val="0068533C"/>
    <w:rsid w:val="0068622F"/>
    <w:rsid w:val="00686B00"/>
    <w:rsid w:val="00687383"/>
    <w:rsid w:val="00687978"/>
    <w:rsid w:val="00687BB7"/>
    <w:rsid w:val="00690AF5"/>
    <w:rsid w:val="00692630"/>
    <w:rsid w:val="00693E59"/>
    <w:rsid w:val="00694DA4"/>
    <w:rsid w:val="00695109"/>
    <w:rsid w:val="00697B4C"/>
    <w:rsid w:val="00697F6C"/>
    <w:rsid w:val="006A0C31"/>
    <w:rsid w:val="006A1DC8"/>
    <w:rsid w:val="006A215B"/>
    <w:rsid w:val="006A30C6"/>
    <w:rsid w:val="006A31FC"/>
    <w:rsid w:val="006A3931"/>
    <w:rsid w:val="006B01FB"/>
    <w:rsid w:val="006B11CC"/>
    <w:rsid w:val="006B3B94"/>
    <w:rsid w:val="006B6235"/>
    <w:rsid w:val="006B65BD"/>
    <w:rsid w:val="006B66B6"/>
    <w:rsid w:val="006B7168"/>
    <w:rsid w:val="006C0580"/>
    <w:rsid w:val="006C15D8"/>
    <w:rsid w:val="006C27B1"/>
    <w:rsid w:val="006C27B3"/>
    <w:rsid w:val="006C2CBB"/>
    <w:rsid w:val="006C34BD"/>
    <w:rsid w:val="006C3DE0"/>
    <w:rsid w:val="006C46C1"/>
    <w:rsid w:val="006C4907"/>
    <w:rsid w:val="006C588B"/>
    <w:rsid w:val="006C6AF6"/>
    <w:rsid w:val="006D186A"/>
    <w:rsid w:val="006D3953"/>
    <w:rsid w:val="006D3E86"/>
    <w:rsid w:val="006D4A05"/>
    <w:rsid w:val="006D4FF1"/>
    <w:rsid w:val="006D58A1"/>
    <w:rsid w:val="006D5951"/>
    <w:rsid w:val="006E00B2"/>
    <w:rsid w:val="006E0AFA"/>
    <w:rsid w:val="006E0B55"/>
    <w:rsid w:val="006E0D82"/>
    <w:rsid w:val="006E109A"/>
    <w:rsid w:val="006E12D7"/>
    <w:rsid w:val="006E1509"/>
    <w:rsid w:val="006E3B71"/>
    <w:rsid w:val="006E7CD8"/>
    <w:rsid w:val="006F1A79"/>
    <w:rsid w:val="006F1D03"/>
    <w:rsid w:val="006F27F7"/>
    <w:rsid w:val="006F2F49"/>
    <w:rsid w:val="006F3609"/>
    <w:rsid w:val="006F40A6"/>
    <w:rsid w:val="006F4BE6"/>
    <w:rsid w:val="006F4F4A"/>
    <w:rsid w:val="006F52A9"/>
    <w:rsid w:val="006F5CD4"/>
    <w:rsid w:val="006F60FF"/>
    <w:rsid w:val="006F6A7C"/>
    <w:rsid w:val="006F7029"/>
    <w:rsid w:val="00700D76"/>
    <w:rsid w:val="0070111E"/>
    <w:rsid w:val="007013A7"/>
    <w:rsid w:val="00703893"/>
    <w:rsid w:val="0070488E"/>
    <w:rsid w:val="00705001"/>
    <w:rsid w:val="00705A2A"/>
    <w:rsid w:val="00705D19"/>
    <w:rsid w:val="00706228"/>
    <w:rsid w:val="007068EB"/>
    <w:rsid w:val="00706CE8"/>
    <w:rsid w:val="00707607"/>
    <w:rsid w:val="00707DCF"/>
    <w:rsid w:val="00710291"/>
    <w:rsid w:val="007126AD"/>
    <w:rsid w:val="0071532A"/>
    <w:rsid w:val="0071670E"/>
    <w:rsid w:val="00716E54"/>
    <w:rsid w:val="00716E7E"/>
    <w:rsid w:val="007175A5"/>
    <w:rsid w:val="007175F2"/>
    <w:rsid w:val="007202F3"/>
    <w:rsid w:val="007203CF"/>
    <w:rsid w:val="00720968"/>
    <w:rsid w:val="00720CF2"/>
    <w:rsid w:val="00722299"/>
    <w:rsid w:val="00725086"/>
    <w:rsid w:val="007254AF"/>
    <w:rsid w:val="007262CB"/>
    <w:rsid w:val="007271C4"/>
    <w:rsid w:val="00727E9F"/>
    <w:rsid w:val="007307E7"/>
    <w:rsid w:val="0073099E"/>
    <w:rsid w:val="00730A7F"/>
    <w:rsid w:val="00731345"/>
    <w:rsid w:val="0073197E"/>
    <w:rsid w:val="007324D7"/>
    <w:rsid w:val="007339F6"/>
    <w:rsid w:val="00733F33"/>
    <w:rsid w:val="007341A5"/>
    <w:rsid w:val="0073503C"/>
    <w:rsid w:val="00735F9A"/>
    <w:rsid w:val="0073621B"/>
    <w:rsid w:val="00736941"/>
    <w:rsid w:val="00736C24"/>
    <w:rsid w:val="0073723C"/>
    <w:rsid w:val="007400AE"/>
    <w:rsid w:val="007425DA"/>
    <w:rsid w:val="00742D1F"/>
    <w:rsid w:val="007431E2"/>
    <w:rsid w:val="0074349A"/>
    <w:rsid w:val="007447D6"/>
    <w:rsid w:val="00744B2B"/>
    <w:rsid w:val="00744BAB"/>
    <w:rsid w:val="007475D5"/>
    <w:rsid w:val="00750582"/>
    <w:rsid w:val="00750D92"/>
    <w:rsid w:val="0075197B"/>
    <w:rsid w:val="007533E9"/>
    <w:rsid w:val="007538EB"/>
    <w:rsid w:val="00753C4F"/>
    <w:rsid w:val="00754C1A"/>
    <w:rsid w:val="00756A4D"/>
    <w:rsid w:val="00756B41"/>
    <w:rsid w:val="00756FF9"/>
    <w:rsid w:val="00757029"/>
    <w:rsid w:val="007574F8"/>
    <w:rsid w:val="00757B30"/>
    <w:rsid w:val="00762A65"/>
    <w:rsid w:val="007672A6"/>
    <w:rsid w:val="007706E4"/>
    <w:rsid w:val="00770B8D"/>
    <w:rsid w:val="00771903"/>
    <w:rsid w:val="00771A79"/>
    <w:rsid w:val="00771FBE"/>
    <w:rsid w:val="0077611D"/>
    <w:rsid w:val="00776FFC"/>
    <w:rsid w:val="007771A9"/>
    <w:rsid w:val="0078042C"/>
    <w:rsid w:val="00781BBA"/>
    <w:rsid w:val="00781C31"/>
    <w:rsid w:val="0078297B"/>
    <w:rsid w:val="00783CF9"/>
    <w:rsid w:val="007846BD"/>
    <w:rsid w:val="007856E9"/>
    <w:rsid w:val="00785E8A"/>
    <w:rsid w:val="007867E7"/>
    <w:rsid w:val="00786BA2"/>
    <w:rsid w:val="00786F8C"/>
    <w:rsid w:val="00790558"/>
    <w:rsid w:val="00790803"/>
    <w:rsid w:val="00791461"/>
    <w:rsid w:val="00791EB9"/>
    <w:rsid w:val="0079251A"/>
    <w:rsid w:val="00792BE9"/>
    <w:rsid w:val="00794BCE"/>
    <w:rsid w:val="00797839"/>
    <w:rsid w:val="007A043F"/>
    <w:rsid w:val="007A1CBA"/>
    <w:rsid w:val="007A21A3"/>
    <w:rsid w:val="007A57C4"/>
    <w:rsid w:val="007A58E6"/>
    <w:rsid w:val="007A5ED3"/>
    <w:rsid w:val="007A61FF"/>
    <w:rsid w:val="007A62D2"/>
    <w:rsid w:val="007B1D60"/>
    <w:rsid w:val="007B1EE0"/>
    <w:rsid w:val="007B2931"/>
    <w:rsid w:val="007B339D"/>
    <w:rsid w:val="007B408B"/>
    <w:rsid w:val="007B5C6F"/>
    <w:rsid w:val="007B5D87"/>
    <w:rsid w:val="007B5DCF"/>
    <w:rsid w:val="007B7DA0"/>
    <w:rsid w:val="007C05CD"/>
    <w:rsid w:val="007C06E8"/>
    <w:rsid w:val="007C0B67"/>
    <w:rsid w:val="007C1E87"/>
    <w:rsid w:val="007C211B"/>
    <w:rsid w:val="007C21DB"/>
    <w:rsid w:val="007C2D5B"/>
    <w:rsid w:val="007C3504"/>
    <w:rsid w:val="007C3F05"/>
    <w:rsid w:val="007C4837"/>
    <w:rsid w:val="007C4AC3"/>
    <w:rsid w:val="007C5363"/>
    <w:rsid w:val="007C6362"/>
    <w:rsid w:val="007C6405"/>
    <w:rsid w:val="007C6E4A"/>
    <w:rsid w:val="007C7935"/>
    <w:rsid w:val="007C7A11"/>
    <w:rsid w:val="007C7E63"/>
    <w:rsid w:val="007D0736"/>
    <w:rsid w:val="007D27D5"/>
    <w:rsid w:val="007D31B6"/>
    <w:rsid w:val="007D32CA"/>
    <w:rsid w:val="007D36BA"/>
    <w:rsid w:val="007D549D"/>
    <w:rsid w:val="007D58FB"/>
    <w:rsid w:val="007E0E81"/>
    <w:rsid w:val="007E1995"/>
    <w:rsid w:val="007E1C05"/>
    <w:rsid w:val="007E1F26"/>
    <w:rsid w:val="007E287A"/>
    <w:rsid w:val="007E36D9"/>
    <w:rsid w:val="007E69A4"/>
    <w:rsid w:val="007F1733"/>
    <w:rsid w:val="007F2289"/>
    <w:rsid w:val="007F2AA5"/>
    <w:rsid w:val="007F31E8"/>
    <w:rsid w:val="007F3DB7"/>
    <w:rsid w:val="007F4C43"/>
    <w:rsid w:val="007F4E43"/>
    <w:rsid w:val="007F6595"/>
    <w:rsid w:val="007F668A"/>
    <w:rsid w:val="007F72F5"/>
    <w:rsid w:val="007F7CF2"/>
    <w:rsid w:val="00800138"/>
    <w:rsid w:val="00800F0B"/>
    <w:rsid w:val="008035BB"/>
    <w:rsid w:val="008040DD"/>
    <w:rsid w:val="00813143"/>
    <w:rsid w:val="008132FB"/>
    <w:rsid w:val="00813B74"/>
    <w:rsid w:val="008141CC"/>
    <w:rsid w:val="00814CCB"/>
    <w:rsid w:val="00814D24"/>
    <w:rsid w:val="00814E4F"/>
    <w:rsid w:val="008155B7"/>
    <w:rsid w:val="00815EAD"/>
    <w:rsid w:val="00815F87"/>
    <w:rsid w:val="00816883"/>
    <w:rsid w:val="00816F68"/>
    <w:rsid w:val="0081770E"/>
    <w:rsid w:val="00817D48"/>
    <w:rsid w:val="00820640"/>
    <w:rsid w:val="00821234"/>
    <w:rsid w:val="00821F53"/>
    <w:rsid w:val="00821F88"/>
    <w:rsid w:val="008228D0"/>
    <w:rsid w:val="0082293F"/>
    <w:rsid w:val="00822E10"/>
    <w:rsid w:val="00823C61"/>
    <w:rsid w:val="00823F5A"/>
    <w:rsid w:val="00824A62"/>
    <w:rsid w:val="0082557F"/>
    <w:rsid w:val="0082758A"/>
    <w:rsid w:val="0082763D"/>
    <w:rsid w:val="008309D4"/>
    <w:rsid w:val="00830ED6"/>
    <w:rsid w:val="0083396B"/>
    <w:rsid w:val="00834160"/>
    <w:rsid w:val="00836C4E"/>
    <w:rsid w:val="0084110A"/>
    <w:rsid w:val="00842226"/>
    <w:rsid w:val="00842B25"/>
    <w:rsid w:val="0084502C"/>
    <w:rsid w:val="00845516"/>
    <w:rsid w:val="008455D9"/>
    <w:rsid w:val="008463CA"/>
    <w:rsid w:val="00847D11"/>
    <w:rsid w:val="008526AE"/>
    <w:rsid w:val="008532E0"/>
    <w:rsid w:val="0085545F"/>
    <w:rsid w:val="008572B6"/>
    <w:rsid w:val="0086076A"/>
    <w:rsid w:val="00862457"/>
    <w:rsid w:val="00863DDC"/>
    <w:rsid w:val="008651C8"/>
    <w:rsid w:val="00865CA4"/>
    <w:rsid w:val="00866418"/>
    <w:rsid w:val="00866EAF"/>
    <w:rsid w:val="00867EC0"/>
    <w:rsid w:val="00870A2F"/>
    <w:rsid w:val="00871382"/>
    <w:rsid w:val="00872045"/>
    <w:rsid w:val="00873468"/>
    <w:rsid w:val="00873B61"/>
    <w:rsid w:val="00874C2D"/>
    <w:rsid w:val="008756E7"/>
    <w:rsid w:val="00875752"/>
    <w:rsid w:val="00875755"/>
    <w:rsid w:val="00875A46"/>
    <w:rsid w:val="00876598"/>
    <w:rsid w:val="008771DD"/>
    <w:rsid w:val="008773E7"/>
    <w:rsid w:val="00877FB8"/>
    <w:rsid w:val="00880305"/>
    <w:rsid w:val="00881F10"/>
    <w:rsid w:val="00882FF9"/>
    <w:rsid w:val="00883A6C"/>
    <w:rsid w:val="008850FE"/>
    <w:rsid w:val="008852DF"/>
    <w:rsid w:val="008863B8"/>
    <w:rsid w:val="00886601"/>
    <w:rsid w:val="00886852"/>
    <w:rsid w:val="00886A1E"/>
    <w:rsid w:val="0088777A"/>
    <w:rsid w:val="00890544"/>
    <w:rsid w:val="00890E8C"/>
    <w:rsid w:val="00892A02"/>
    <w:rsid w:val="008932F1"/>
    <w:rsid w:val="008938F0"/>
    <w:rsid w:val="00895D4C"/>
    <w:rsid w:val="00895E7A"/>
    <w:rsid w:val="00897C85"/>
    <w:rsid w:val="00897F80"/>
    <w:rsid w:val="008A261E"/>
    <w:rsid w:val="008A3F21"/>
    <w:rsid w:val="008A49DE"/>
    <w:rsid w:val="008A4C7E"/>
    <w:rsid w:val="008A53A9"/>
    <w:rsid w:val="008A5487"/>
    <w:rsid w:val="008A5E21"/>
    <w:rsid w:val="008A6E63"/>
    <w:rsid w:val="008A71E9"/>
    <w:rsid w:val="008A76FA"/>
    <w:rsid w:val="008A7AFC"/>
    <w:rsid w:val="008B0969"/>
    <w:rsid w:val="008B0978"/>
    <w:rsid w:val="008B09F7"/>
    <w:rsid w:val="008B1661"/>
    <w:rsid w:val="008B179E"/>
    <w:rsid w:val="008B1B0F"/>
    <w:rsid w:val="008B25A9"/>
    <w:rsid w:val="008B391E"/>
    <w:rsid w:val="008B3A2E"/>
    <w:rsid w:val="008B455E"/>
    <w:rsid w:val="008B4614"/>
    <w:rsid w:val="008B4652"/>
    <w:rsid w:val="008B5537"/>
    <w:rsid w:val="008B7CB1"/>
    <w:rsid w:val="008C0743"/>
    <w:rsid w:val="008C0FC1"/>
    <w:rsid w:val="008C17F6"/>
    <w:rsid w:val="008C2F21"/>
    <w:rsid w:val="008C3437"/>
    <w:rsid w:val="008C3CAF"/>
    <w:rsid w:val="008C3CB2"/>
    <w:rsid w:val="008C3D77"/>
    <w:rsid w:val="008C6F28"/>
    <w:rsid w:val="008C7CC6"/>
    <w:rsid w:val="008D0FA7"/>
    <w:rsid w:val="008D21DB"/>
    <w:rsid w:val="008D3C52"/>
    <w:rsid w:val="008D4E23"/>
    <w:rsid w:val="008D7240"/>
    <w:rsid w:val="008D79F6"/>
    <w:rsid w:val="008E0B62"/>
    <w:rsid w:val="008E1D22"/>
    <w:rsid w:val="008E2981"/>
    <w:rsid w:val="008E3A42"/>
    <w:rsid w:val="008E4EBC"/>
    <w:rsid w:val="008E6616"/>
    <w:rsid w:val="008E6B43"/>
    <w:rsid w:val="008E7C61"/>
    <w:rsid w:val="008F0114"/>
    <w:rsid w:val="008F0F69"/>
    <w:rsid w:val="008F19A4"/>
    <w:rsid w:val="008F2378"/>
    <w:rsid w:val="008F29D9"/>
    <w:rsid w:val="008F3E76"/>
    <w:rsid w:val="008F4508"/>
    <w:rsid w:val="008F4674"/>
    <w:rsid w:val="008F53CC"/>
    <w:rsid w:val="008F5549"/>
    <w:rsid w:val="008F7383"/>
    <w:rsid w:val="008F7881"/>
    <w:rsid w:val="0090105C"/>
    <w:rsid w:val="00901228"/>
    <w:rsid w:val="00902CAE"/>
    <w:rsid w:val="00903740"/>
    <w:rsid w:val="00903FE7"/>
    <w:rsid w:val="0090462A"/>
    <w:rsid w:val="00904C7C"/>
    <w:rsid w:val="00905ED6"/>
    <w:rsid w:val="009064C3"/>
    <w:rsid w:val="00907385"/>
    <w:rsid w:val="0090786A"/>
    <w:rsid w:val="009105CB"/>
    <w:rsid w:val="00913098"/>
    <w:rsid w:val="009133A6"/>
    <w:rsid w:val="00913976"/>
    <w:rsid w:val="0091456F"/>
    <w:rsid w:val="0091495D"/>
    <w:rsid w:val="00914CE6"/>
    <w:rsid w:val="00915CEB"/>
    <w:rsid w:val="009171D4"/>
    <w:rsid w:val="00920FF8"/>
    <w:rsid w:val="00921B92"/>
    <w:rsid w:val="0092351C"/>
    <w:rsid w:val="00923A90"/>
    <w:rsid w:val="00923E7F"/>
    <w:rsid w:val="00924921"/>
    <w:rsid w:val="0092551D"/>
    <w:rsid w:val="00925C60"/>
    <w:rsid w:val="00925C7F"/>
    <w:rsid w:val="00925CBF"/>
    <w:rsid w:val="00926BB2"/>
    <w:rsid w:val="00926D28"/>
    <w:rsid w:val="0093152D"/>
    <w:rsid w:val="00932A39"/>
    <w:rsid w:val="00933926"/>
    <w:rsid w:val="00933E57"/>
    <w:rsid w:val="009360AD"/>
    <w:rsid w:val="00936DA9"/>
    <w:rsid w:val="009370AA"/>
    <w:rsid w:val="00937690"/>
    <w:rsid w:val="00937CB2"/>
    <w:rsid w:val="00940610"/>
    <w:rsid w:val="00940B1B"/>
    <w:rsid w:val="0094342D"/>
    <w:rsid w:val="00943D5A"/>
    <w:rsid w:val="00944933"/>
    <w:rsid w:val="00944A90"/>
    <w:rsid w:val="00944FD0"/>
    <w:rsid w:val="00945BB2"/>
    <w:rsid w:val="00946C27"/>
    <w:rsid w:val="009501BA"/>
    <w:rsid w:val="0095060C"/>
    <w:rsid w:val="00950DA3"/>
    <w:rsid w:val="00951DF3"/>
    <w:rsid w:val="009545EB"/>
    <w:rsid w:val="00955408"/>
    <w:rsid w:val="009600F8"/>
    <w:rsid w:val="0096068F"/>
    <w:rsid w:val="009607FD"/>
    <w:rsid w:val="0096086B"/>
    <w:rsid w:val="00960A5E"/>
    <w:rsid w:val="00961B4B"/>
    <w:rsid w:val="00962527"/>
    <w:rsid w:val="00962730"/>
    <w:rsid w:val="009628B0"/>
    <w:rsid w:val="00962CAF"/>
    <w:rsid w:val="00963484"/>
    <w:rsid w:val="00963C0C"/>
    <w:rsid w:val="009644DB"/>
    <w:rsid w:val="00964A83"/>
    <w:rsid w:val="00970B74"/>
    <w:rsid w:val="0097260C"/>
    <w:rsid w:val="00972C07"/>
    <w:rsid w:val="00973550"/>
    <w:rsid w:val="00974F88"/>
    <w:rsid w:val="00975CD1"/>
    <w:rsid w:val="009766D5"/>
    <w:rsid w:val="00977FCE"/>
    <w:rsid w:val="00980FCE"/>
    <w:rsid w:val="00982F6D"/>
    <w:rsid w:val="00983E70"/>
    <w:rsid w:val="0098426F"/>
    <w:rsid w:val="009844BC"/>
    <w:rsid w:val="009849CA"/>
    <w:rsid w:val="00985AD3"/>
    <w:rsid w:val="0098735C"/>
    <w:rsid w:val="00990442"/>
    <w:rsid w:val="009925C9"/>
    <w:rsid w:val="0099400B"/>
    <w:rsid w:val="00994186"/>
    <w:rsid w:val="0099465E"/>
    <w:rsid w:val="00996159"/>
    <w:rsid w:val="009961E4"/>
    <w:rsid w:val="009A3076"/>
    <w:rsid w:val="009A52B4"/>
    <w:rsid w:val="009A60B7"/>
    <w:rsid w:val="009A6473"/>
    <w:rsid w:val="009A6CAA"/>
    <w:rsid w:val="009A73DF"/>
    <w:rsid w:val="009A7C34"/>
    <w:rsid w:val="009B0955"/>
    <w:rsid w:val="009B0A83"/>
    <w:rsid w:val="009B2460"/>
    <w:rsid w:val="009B327C"/>
    <w:rsid w:val="009B33C7"/>
    <w:rsid w:val="009B383C"/>
    <w:rsid w:val="009B3C5E"/>
    <w:rsid w:val="009B5B91"/>
    <w:rsid w:val="009B607D"/>
    <w:rsid w:val="009B63C3"/>
    <w:rsid w:val="009B6797"/>
    <w:rsid w:val="009B6A93"/>
    <w:rsid w:val="009B6AE1"/>
    <w:rsid w:val="009B6EB3"/>
    <w:rsid w:val="009B7BCA"/>
    <w:rsid w:val="009B7F60"/>
    <w:rsid w:val="009C2504"/>
    <w:rsid w:val="009C2EC7"/>
    <w:rsid w:val="009C3167"/>
    <w:rsid w:val="009C3565"/>
    <w:rsid w:val="009C3EA5"/>
    <w:rsid w:val="009C7B49"/>
    <w:rsid w:val="009D00D1"/>
    <w:rsid w:val="009D0EB8"/>
    <w:rsid w:val="009D171E"/>
    <w:rsid w:val="009D1C7F"/>
    <w:rsid w:val="009D2FEE"/>
    <w:rsid w:val="009D32F1"/>
    <w:rsid w:val="009D3B02"/>
    <w:rsid w:val="009D3F52"/>
    <w:rsid w:val="009D4BFD"/>
    <w:rsid w:val="009D50ED"/>
    <w:rsid w:val="009D54ED"/>
    <w:rsid w:val="009D6342"/>
    <w:rsid w:val="009D655A"/>
    <w:rsid w:val="009D6D77"/>
    <w:rsid w:val="009D75F0"/>
    <w:rsid w:val="009D7EC8"/>
    <w:rsid w:val="009E0849"/>
    <w:rsid w:val="009E0C66"/>
    <w:rsid w:val="009E2288"/>
    <w:rsid w:val="009E4563"/>
    <w:rsid w:val="009E5417"/>
    <w:rsid w:val="009E54EF"/>
    <w:rsid w:val="009E5CD1"/>
    <w:rsid w:val="009E72BF"/>
    <w:rsid w:val="009E75F9"/>
    <w:rsid w:val="009E7D1F"/>
    <w:rsid w:val="009F0CAE"/>
    <w:rsid w:val="009F43D3"/>
    <w:rsid w:val="009F4D88"/>
    <w:rsid w:val="009F4E9B"/>
    <w:rsid w:val="009F54B1"/>
    <w:rsid w:val="009F5AAF"/>
    <w:rsid w:val="009F73B2"/>
    <w:rsid w:val="009F7BE2"/>
    <w:rsid w:val="00A01DF3"/>
    <w:rsid w:val="00A02188"/>
    <w:rsid w:val="00A036C5"/>
    <w:rsid w:val="00A042FB"/>
    <w:rsid w:val="00A059C6"/>
    <w:rsid w:val="00A06E6D"/>
    <w:rsid w:val="00A07069"/>
    <w:rsid w:val="00A076B8"/>
    <w:rsid w:val="00A07959"/>
    <w:rsid w:val="00A10275"/>
    <w:rsid w:val="00A105FC"/>
    <w:rsid w:val="00A127E8"/>
    <w:rsid w:val="00A13C36"/>
    <w:rsid w:val="00A152AA"/>
    <w:rsid w:val="00A15D7E"/>
    <w:rsid w:val="00A16183"/>
    <w:rsid w:val="00A17DC5"/>
    <w:rsid w:val="00A237BE"/>
    <w:rsid w:val="00A23955"/>
    <w:rsid w:val="00A239AB"/>
    <w:rsid w:val="00A23F7B"/>
    <w:rsid w:val="00A25A21"/>
    <w:rsid w:val="00A25E38"/>
    <w:rsid w:val="00A26D15"/>
    <w:rsid w:val="00A27A25"/>
    <w:rsid w:val="00A301AB"/>
    <w:rsid w:val="00A30878"/>
    <w:rsid w:val="00A3092B"/>
    <w:rsid w:val="00A310FD"/>
    <w:rsid w:val="00A32ADC"/>
    <w:rsid w:val="00A338D6"/>
    <w:rsid w:val="00A34CFA"/>
    <w:rsid w:val="00A351E0"/>
    <w:rsid w:val="00A35726"/>
    <w:rsid w:val="00A36075"/>
    <w:rsid w:val="00A40E14"/>
    <w:rsid w:val="00A41B61"/>
    <w:rsid w:val="00A42B2F"/>
    <w:rsid w:val="00A4300C"/>
    <w:rsid w:val="00A43187"/>
    <w:rsid w:val="00A44103"/>
    <w:rsid w:val="00A4492E"/>
    <w:rsid w:val="00A46008"/>
    <w:rsid w:val="00A4692D"/>
    <w:rsid w:val="00A47483"/>
    <w:rsid w:val="00A47C06"/>
    <w:rsid w:val="00A503E8"/>
    <w:rsid w:val="00A507D4"/>
    <w:rsid w:val="00A50C11"/>
    <w:rsid w:val="00A5147F"/>
    <w:rsid w:val="00A518CB"/>
    <w:rsid w:val="00A52355"/>
    <w:rsid w:val="00A52669"/>
    <w:rsid w:val="00A541C8"/>
    <w:rsid w:val="00A55696"/>
    <w:rsid w:val="00A5584A"/>
    <w:rsid w:val="00A56D30"/>
    <w:rsid w:val="00A5771C"/>
    <w:rsid w:val="00A60F2B"/>
    <w:rsid w:val="00A615CE"/>
    <w:rsid w:val="00A6165E"/>
    <w:rsid w:val="00A61764"/>
    <w:rsid w:val="00A61904"/>
    <w:rsid w:val="00A62823"/>
    <w:rsid w:val="00A62D14"/>
    <w:rsid w:val="00A63A51"/>
    <w:rsid w:val="00A63B12"/>
    <w:rsid w:val="00A65187"/>
    <w:rsid w:val="00A6748D"/>
    <w:rsid w:val="00A6795C"/>
    <w:rsid w:val="00A67B4D"/>
    <w:rsid w:val="00A702BF"/>
    <w:rsid w:val="00A703EC"/>
    <w:rsid w:val="00A716A6"/>
    <w:rsid w:val="00A72AE4"/>
    <w:rsid w:val="00A74753"/>
    <w:rsid w:val="00A76044"/>
    <w:rsid w:val="00A81495"/>
    <w:rsid w:val="00A82CB5"/>
    <w:rsid w:val="00A836E1"/>
    <w:rsid w:val="00A83716"/>
    <w:rsid w:val="00A83EDB"/>
    <w:rsid w:val="00A84118"/>
    <w:rsid w:val="00A86FB9"/>
    <w:rsid w:val="00A876B4"/>
    <w:rsid w:val="00A90A28"/>
    <w:rsid w:val="00A92804"/>
    <w:rsid w:val="00A934A0"/>
    <w:rsid w:val="00A970E0"/>
    <w:rsid w:val="00AA19D1"/>
    <w:rsid w:val="00AA1B91"/>
    <w:rsid w:val="00AA1C14"/>
    <w:rsid w:val="00AA202B"/>
    <w:rsid w:val="00AA3ABA"/>
    <w:rsid w:val="00AA3B56"/>
    <w:rsid w:val="00AA4F5C"/>
    <w:rsid w:val="00AA5660"/>
    <w:rsid w:val="00AA663F"/>
    <w:rsid w:val="00AA6706"/>
    <w:rsid w:val="00AA673C"/>
    <w:rsid w:val="00AA685D"/>
    <w:rsid w:val="00AA73D5"/>
    <w:rsid w:val="00AA7A2A"/>
    <w:rsid w:val="00AA7CA9"/>
    <w:rsid w:val="00AB09D1"/>
    <w:rsid w:val="00AB0A21"/>
    <w:rsid w:val="00AB0CC6"/>
    <w:rsid w:val="00AB3110"/>
    <w:rsid w:val="00AB3119"/>
    <w:rsid w:val="00AB38EE"/>
    <w:rsid w:val="00AB5810"/>
    <w:rsid w:val="00AB5CA6"/>
    <w:rsid w:val="00AB60F6"/>
    <w:rsid w:val="00AB616E"/>
    <w:rsid w:val="00AB7E25"/>
    <w:rsid w:val="00AC0889"/>
    <w:rsid w:val="00AC08B0"/>
    <w:rsid w:val="00AC1DA3"/>
    <w:rsid w:val="00AC2FC2"/>
    <w:rsid w:val="00AC4618"/>
    <w:rsid w:val="00AC559E"/>
    <w:rsid w:val="00AC6E24"/>
    <w:rsid w:val="00AC7A63"/>
    <w:rsid w:val="00AD2122"/>
    <w:rsid w:val="00AD347F"/>
    <w:rsid w:val="00AD3532"/>
    <w:rsid w:val="00AD3592"/>
    <w:rsid w:val="00AD3CDA"/>
    <w:rsid w:val="00AD3F8D"/>
    <w:rsid w:val="00AD4428"/>
    <w:rsid w:val="00AD5594"/>
    <w:rsid w:val="00AD66A0"/>
    <w:rsid w:val="00AD6E36"/>
    <w:rsid w:val="00AD7311"/>
    <w:rsid w:val="00AD7C28"/>
    <w:rsid w:val="00AD7FC5"/>
    <w:rsid w:val="00AE09BA"/>
    <w:rsid w:val="00AE1446"/>
    <w:rsid w:val="00AE2691"/>
    <w:rsid w:val="00AE2DD0"/>
    <w:rsid w:val="00AE62B4"/>
    <w:rsid w:val="00AE6473"/>
    <w:rsid w:val="00AE6793"/>
    <w:rsid w:val="00AF0268"/>
    <w:rsid w:val="00AF02AC"/>
    <w:rsid w:val="00AF0B67"/>
    <w:rsid w:val="00AF106A"/>
    <w:rsid w:val="00AF2B8F"/>
    <w:rsid w:val="00AF2E27"/>
    <w:rsid w:val="00AF39C1"/>
    <w:rsid w:val="00AF3E17"/>
    <w:rsid w:val="00AF4318"/>
    <w:rsid w:val="00AF536E"/>
    <w:rsid w:val="00AF55C3"/>
    <w:rsid w:val="00AF6D01"/>
    <w:rsid w:val="00B017AD"/>
    <w:rsid w:val="00B03242"/>
    <w:rsid w:val="00B033A4"/>
    <w:rsid w:val="00B03A96"/>
    <w:rsid w:val="00B06A13"/>
    <w:rsid w:val="00B06C52"/>
    <w:rsid w:val="00B0714F"/>
    <w:rsid w:val="00B10BDD"/>
    <w:rsid w:val="00B115B6"/>
    <w:rsid w:val="00B11D83"/>
    <w:rsid w:val="00B124D5"/>
    <w:rsid w:val="00B12990"/>
    <w:rsid w:val="00B13089"/>
    <w:rsid w:val="00B14DB2"/>
    <w:rsid w:val="00B15C51"/>
    <w:rsid w:val="00B16390"/>
    <w:rsid w:val="00B165DC"/>
    <w:rsid w:val="00B17001"/>
    <w:rsid w:val="00B1735C"/>
    <w:rsid w:val="00B17E39"/>
    <w:rsid w:val="00B20D6A"/>
    <w:rsid w:val="00B237EF"/>
    <w:rsid w:val="00B23C92"/>
    <w:rsid w:val="00B24069"/>
    <w:rsid w:val="00B24191"/>
    <w:rsid w:val="00B244AB"/>
    <w:rsid w:val="00B24A02"/>
    <w:rsid w:val="00B24A6D"/>
    <w:rsid w:val="00B260B8"/>
    <w:rsid w:val="00B26738"/>
    <w:rsid w:val="00B302B4"/>
    <w:rsid w:val="00B30824"/>
    <w:rsid w:val="00B31FA8"/>
    <w:rsid w:val="00B334F4"/>
    <w:rsid w:val="00B33729"/>
    <w:rsid w:val="00B344C0"/>
    <w:rsid w:val="00B354DA"/>
    <w:rsid w:val="00B35AA7"/>
    <w:rsid w:val="00B3663B"/>
    <w:rsid w:val="00B37986"/>
    <w:rsid w:val="00B40A42"/>
    <w:rsid w:val="00B40D25"/>
    <w:rsid w:val="00B40DF4"/>
    <w:rsid w:val="00B42E7D"/>
    <w:rsid w:val="00B43212"/>
    <w:rsid w:val="00B435CD"/>
    <w:rsid w:val="00B4482F"/>
    <w:rsid w:val="00B455C4"/>
    <w:rsid w:val="00B45E63"/>
    <w:rsid w:val="00B45EAE"/>
    <w:rsid w:val="00B4722D"/>
    <w:rsid w:val="00B473AA"/>
    <w:rsid w:val="00B47A0D"/>
    <w:rsid w:val="00B510D4"/>
    <w:rsid w:val="00B5150D"/>
    <w:rsid w:val="00B52601"/>
    <w:rsid w:val="00B53649"/>
    <w:rsid w:val="00B53A2F"/>
    <w:rsid w:val="00B54778"/>
    <w:rsid w:val="00B5479C"/>
    <w:rsid w:val="00B57A5A"/>
    <w:rsid w:val="00B57B33"/>
    <w:rsid w:val="00B6047E"/>
    <w:rsid w:val="00B60D0A"/>
    <w:rsid w:val="00B60EB3"/>
    <w:rsid w:val="00B620B6"/>
    <w:rsid w:val="00B6219E"/>
    <w:rsid w:val="00B62234"/>
    <w:rsid w:val="00B63458"/>
    <w:rsid w:val="00B64725"/>
    <w:rsid w:val="00B6482E"/>
    <w:rsid w:val="00B64A8C"/>
    <w:rsid w:val="00B66081"/>
    <w:rsid w:val="00B666B9"/>
    <w:rsid w:val="00B67D71"/>
    <w:rsid w:val="00B67EE4"/>
    <w:rsid w:val="00B70362"/>
    <w:rsid w:val="00B70C85"/>
    <w:rsid w:val="00B70E0E"/>
    <w:rsid w:val="00B7247F"/>
    <w:rsid w:val="00B72DEA"/>
    <w:rsid w:val="00B73C20"/>
    <w:rsid w:val="00B7544E"/>
    <w:rsid w:val="00B75B93"/>
    <w:rsid w:val="00B7711C"/>
    <w:rsid w:val="00B7787F"/>
    <w:rsid w:val="00B80B3C"/>
    <w:rsid w:val="00B80FB4"/>
    <w:rsid w:val="00B811E6"/>
    <w:rsid w:val="00B83272"/>
    <w:rsid w:val="00B8336A"/>
    <w:rsid w:val="00B83860"/>
    <w:rsid w:val="00B8422D"/>
    <w:rsid w:val="00B84589"/>
    <w:rsid w:val="00B84C97"/>
    <w:rsid w:val="00B8558A"/>
    <w:rsid w:val="00B86211"/>
    <w:rsid w:val="00B86244"/>
    <w:rsid w:val="00B86356"/>
    <w:rsid w:val="00B86456"/>
    <w:rsid w:val="00B87F23"/>
    <w:rsid w:val="00B907A1"/>
    <w:rsid w:val="00B91670"/>
    <w:rsid w:val="00B92931"/>
    <w:rsid w:val="00B929BB"/>
    <w:rsid w:val="00B92B8D"/>
    <w:rsid w:val="00B92C69"/>
    <w:rsid w:val="00B92DDE"/>
    <w:rsid w:val="00B938D3"/>
    <w:rsid w:val="00B93C70"/>
    <w:rsid w:val="00B94110"/>
    <w:rsid w:val="00B9448B"/>
    <w:rsid w:val="00B94D74"/>
    <w:rsid w:val="00B95C18"/>
    <w:rsid w:val="00B964F5"/>
    <w:rsid w:val="00B979FE"/>
    <w:rsid w:val="00B97C67"/>
    <w:rsid w:val="00BA0111"/>
    <w:rsid w:val="00BA0CA6"/>
    <w:rsid w:val="00BA0CF7"/>
    <w:rsid w:val="00BA106F"/>
    <w:rsid w:val="00BA1DB4"/>
    <w:rsid w:val="00BA2257"/>
    <w:rsid w:val="00BA27F0"/>
    <w:rsid w:val="00BA366B"/>
    <w:rsid w:val="00BA38A9"/>
    <w:rsid w:val="00BA40C2"/>
    <w:rsid w:val="00BA448B"/>
    <w:rsid w:val="00BA4778"/>
    <w:rsid w:val="00BA55D4"/>
    <w:rsid w:val="00BA5BE1"/>
    <w:rsid w:val="00BA71BB"/>
    <w:rsid w:val="00BB0F0D"/>
    <w:rsid w:val="00BB0F91"/>
    <w:rsid w:val="00BB11CD"/>
    <w:rsid w:val="00BB190C"/>
    <w:rsid w:val="00BB2401"/>
    <w:rsid w:val="00BB2BF7"/>
    <w:rsid w:val="00BB3003"/>
    <w:rsid w:val="00BB30E5"/>
    <w:rsid w:val="00BB3F63"/>
    <w:rsid w:val="00BB4176"/>
    <w:rsid w:val="00BB46EE"/>
    <w:rsid w:val="00BB48B3"/>
    <w:rsid w:val="00BB6030"/>
    <w:rsid w:val="00BB6C7C"/>
    <w:rsid w:val="00BB7000"/>
    <w:rsid w:val="00BB73A3"/>
    <w:rsid w:val="00BB7E41"/>
    <w:rsid w:val="00BC123E"/>
    <w:rsid w:val="00BC1D8A"/>
    <w:rsid w:val="00BC2258"/>
    <w:rsid w:val="00BC3898"/>
    <w:rsid w:val="00BC4497"/>
    <w:rsid w:val="00BC5618"/>
    <w:rsid w:val="00BD0EF7"/>
    <w:rsid w:val="00BD0F0F"/>
    <w:rsid w:val="00BD2DE4"/>
    <w:rsid w:val="00BD49AB"/>
    <w:rsid w:val="00BD4D6D"/>
    <w:rsid w:val="00BD59F5"/>
    <w:rsid w:val="00BD7565"/>
    <w:rsid w:val="00BE0E24"/>
    <w:rsid w:val="00BE172F"/>
    <w:rsid w:val="00BE1A69"/>
    <w:rsid w:val="00BE4196"/>
    <w:rsid w:val="00BE4CCA"/>
    <w:rsid w:val="00BE7933"/>
    <w:rsid w:val="00BF230B"/>
    <w:rsid w:val="00BF39CB"/>
    <w:rsid w:val="00BF510F"/>
    <w:rsid w:val="00BF5FB8"/>
    <w:rsid w:val="00BF6A48"/>
    <w:rsid w:val="00BF6FCC"/>
    <w:rsid w:val="00BF765B"/>
    <w:rsid w:val="00BF7688"/>
    <w:rsid w:val="00BF7783"/>
    <w:rsid w:val="00C01223"/>
    <w:rsid w:val="00C018B6"/>
    <w:rsid w:val="00C01F3D"/>
    <w:rsid w:val="00C029EE"/>
    <w:rsid w:val="00C02A62"/>
    <w:rsid w:val="00C02EBD"/>
    <w:rsid w:val="00C03E6A"/>
    <w:rsid w:val="00C05A96"/>
    <w:rsid w:val="00C05D29"/>
    <w:rsid w:val="00C072C7"/>
    <w:rsid w:val="00C07432"/>
    <w:rsid w:val="00C07CEB"/>
    <w:rsid w:val="00C1003C"/>
    <w:rsid w:val="00C1003F"/>
    <w:rsid w:val="00C11A7C"/>
    <w:rsid w:val="00C11EBC"/>
    <w:rsid w:val="00C131BD"/>
    <w:rsid w:val="00C13534"/>
    <w:rsid w:val="00C141B5"/>
    <w:rsid w:val="00C15E82"/>
    <w:rsid w:val="00C166A6"/>
    <w:rsid w:val="00C16DCA"/>
    <w:rsid w:val="00C16F35"/>
    <w:rsid w:val="00C1717E"/>
    <w:rsid w:val="00C210C9"/>
    <w:rsid w:val="00C2158E"/>
    <w:rsid w:val="00C21CD9"/>
    <w:rsid w:val="00C21DFE"/>
    <w:rsid w:val="00C25664"/>
    <w:rsid w:val="00C25734"/>
    <w:rsid w:val="00C26345"/>
    <w:rsid w:val="00C2676A"/>
    <w:rsid w:val="00C303F9"/>
    <w:rsid w:val="00C31064"/>
    <w:rsid w:val="00C317DF"/>
    <w:rsid w:val="00C32C2C"/>
    <w:rsid w:val="00C3305A"/>
    <w:rsid w:val="00C35013"/>
    <w:rsid w:val="00C350E9"/>
    <w:rsid w:val="00C369C9"/>
    <w:rsid w:val="00C37DC7"/>
    <w:rsid w:val="00C41294"/>
    <w:rsid w:val="00C41AB8"/>
    <w:rsid w:val="00C42665"/>
    <w:rsid w:val="00C42A44"/>
    <w:rsid w:val="00C432F9"/>
    <w:rsid w:val="00C43BEA"/>
    <w:rsid w:val="00C449E2"/>
    <w:rsid w:val="00C45918"/>
    <w:rsid w:val="00C460B4"/>
    <w:rsid w:val="00C46956"/>
    <w:rsid w:val="00C46A25"/>
    <w:rsid w:val="00C46C8B"/>
    <w:rsid w:val="00C46E3C"/>
    <w:rsid w:val="00C4712B"/>
    <w:rsid w:val="00C47FAB"/>
    <w:rsid w:val="00C500DE"/>
    <w:rsid w:val="00C50670"/>
    <w:rsid w:val="00C51284"/>
    <w:rsid w:val="00C51993"/>
    <w:rsid w:val="00C53767"/>
    <w:rsid w:val="00C55B42"/>
    <w:rsid w:val="00C57476"/>
    <w:rsid w:val="00C60C1B"/>
    <w:rsid w:val="00C611D7"/>
    <w:rsid w:val="00C6133B"/>
    <w:rsid w:val="00C61AFD"/>
    <w:rsid w:val="00C621CC"/>
    <w:rsid w:val="00C623DC"/>
    <w:rsid w:val="00C62563"/>
    <w:rsid w:val="00C63B1E"/>
    <w:rsid w:val="00C63EB8"/>
    <w:rsid w:val="00C64A7C"/>
    <w:rsid w:val="00C651CD"/>
    <w:rsid w:val="00C6682C"/>
    <w:rsid w:val="00C6693A"/>
    <w:rsid w:val="00C67023"/>
    <w:rsid w:val="00C705A8"/>
    <w:rsid w:val="00C70B07"/>
    <w:rsid w:val="00C7107A"/>
    <w:rsid w:val="00C7136D"/>
    <w:rsid w:val="00C71CC5"/>
    <w:rsid w:val="00C7230A"/>
    <w:rsid w:val="00C72AE4"/>
    <w:rsid w:val="00C73906"/>
    <w:rsid w:val="00C74AAD"/>
    <w:rsid w:val="00C7576A"/>
    <w:rsid w:val="00C75806"/>
    <w:rsid w:val="00C7685C"/>
    <w:rsid w:val="00C7791B"/>
    <w:rsid w:val="00C77980"/>
    <w:rsid w:val="00C77BA4"/>
    <w:rsid w:val="00C803B4"/>
    <w:rsid w:val="00C80546"/>
    <w:rsid w:val="00C806B2"/>
    <w:rsid w:val="00C807BA"/>
    <w:rsid w:val="00C80920"/>
    <w:rsid w:val="00C80A59"/>
    <w:rsid w:val="00C80EAB"/>
    <w:rsid w:val="00C82FE9"/>
    <w:rsid w:val="00C837EB"/>
    <w:rsid w:val="00C858D9"/>
    <w:rsid w:val="00C85B43"/>
    <w:rsid w:val="00C863E9"/>
    <w:rsid w:val="00C86471"/>
    <w:rsid w:val="00C870D9"/>
    <w:rsid w:val="00C872DB"/>
    <w:rsid w:val="00C87363"/>
    <w:rsid w:val="00C87D2C"/>
    <w:rsid w:val="00C913FD"/>
    <w:rsid w:val="00C932C3"/>
    <w:rsid w:val="00C93582"/>
    <w:rsid w:val="00C937B6"/>
    <w:rsid w:val="00C94FAE"/>
    <w:rsid w:val="00C95C83"/>
    <w:rsid w:val="00C96374"/>
    <w:rsid w:val="00C963AD"/>
    <w:rsid w:val="00C96501"/>
    <w:rsid w:val="00C97D0C"/>
    <w:rsid w:val="00CA0DE7"/>
    <w:rsid w:val="00CA27BD"/>
    <w:rsid w:val="00CA2F19"/>
    <w:rsid w:val="00CA58F3"/>
    <w:rsid w:val="00CA6AF5"/>
    <w:rsid w:val="00CA7055"/>
    <w:rsid w:val="00CA78CD"/>
    <w:rsid w:val="00CB1790"/>
    <w:rsid w:val="00CB1FEA"/>
    <w:rsid w:val="00CB2963"/>
    <w:rsid w:val="00CB2C0C"/>
    <w:rsid w:val="00CB2D0A"/>
    <w:rsid w:val="00CB3A93"/>
    <w:rsid w:val="00CB3DD5"/>
    <w:rsid w:val="00CB436C"/>
    <w:rsid w:val="00CB46D8"/>
    <w:rsid w:val="00CB4FFE"/>
    <w:rsid w:val="00CB51F5"/>
    <w:rsid w:val="00CB713C"/>
    <w:rsid w:val="00CB7F93"/>
    <w:rsid w:val="00CC0019"/>
    <w:rsid w:val="00CC07E2"/>
    <w:rsid w:val="00CC14BD"/>
    <w:rsid w:val="00CC2453"/>
    <w:rsid w:val="00CC26F0"/>
    <w:rsid w:val="00CC27DD"/>
    <w:rsid w:val="00CC2F46"/>
    <w:rsid w:val="00CC34CD"/>
    <w:rsid w:val="00CC4240"/>
    <w:rsid w:val="00CC424D"/>
    <w:rsid w:val="00CC4302"/>
    <w:rsid w:val="00CC47CB"/>
    <w:rsid w:val="00CC4B66"/>
    <w:rsid w:val="00CC4D6F"/>
    <w:rsid w:val="00CC4E68"/>
    <w:rsid w:val="00CC6B32"/>
    <w:rsid w:val="00CC7409"/>
    <w:rsid w:val="00CD037E"/>
    <w:rsid w:val="00CD061F"/>
    <w:rsid w:val="00CD0BC3"/>
    <w:rsid w:val="00CD0C96"/>
    <w:rsid w:val="00CD1D5D"/>
    <w:rsid w:val="00CD1EB6"/>
    <w:rsid w:val="00CD3B5E"/>
    <w:rsid w:val="00CD3F87"/>
    <w:rsid w:val="00CD411B"/>
    <w:rsid w:val="00CD4527"/>
    <w:rsid w:val="00CD4A80"/>
    <w:rsid w:val="00CD4B6D"/>
    <w:rsid w:val="00CD5D0A"/>
    <w:rsid w:val="00CD5F44"/>
    <w:rsid w:val="00CD65A9"/>
    <w:rsid w:val="00CD676A"/>
    <w:rsid w:val="00CE0A7F"/>
    <w:rsid w:val="00CE1918"/>
    <w:rsid w:val="00CE1A53"/>
    <w:rsid w:val="00CE3B2A"/>
    <w:rsid w:val="00CE4292"/>
    <w:rsid w:val="00CE43C3"/>
    <w:rsid w:val="00CE5602"/>
    <w:rsid w:val="00CE569C"/>
    <w:rsid w:val="00CE68EF"/>
    <w:rsid w:val="00CE69D3"/>
    <w:rsid w:val="00CF039F"/>
    <w:rsid w:val="00CF070D"/>
    <w:rsid w:val="00CF19E6"/>
    <w:rsid w:val="00CF1B63"/>
    <w:rsid w:val="00CF20AB"/>
    <w:rsid w:val="00CF254E"/>
    <w:rsid w:val="00CF30DA"/>
    <w:rsid w:val="00CF3425"/>
    <w:rsid w:val="00CF3CD1"/>
    <w:rsid w:val="00CF4C19"/>
    <w:rsid w:val="00CF59DC"/>
    <w:rsid w:val="00CF5E9A"/>
    <w:rsid w:val="00CF614E"/>
    <w:rsid w:val="00CF69CE"/>
    <w:rsid w:val="00D0044A"/>
    <w:rsid w:val="00D023A5"/>
    <w:rsid w:val="00D03AB0"/>
    <w:rsid w:val="00D0472A"/>
    <w:rsid w:val="00D04942"/>
    <w:rsid w:val="00D07320"/>
    <w:rsid w:val="00D115F4"/>
    <w:rsid w:val="00D11F87"/>
    <w:rsid w:val="00D14458"/>
    <w:rsid w:val="00D14C51"/>
    <w:rsid w:val="00D151AB"/>
    <w:rsid w:val="00D166D0"/>
    <w:rsid w:val="00D20DD4"/>
    <w:rsid w:val="00D2166D"/>
    <w:rsid w:val="00D21B58"/>
    <w:rsid w:val="00D21B5C"/>
    <w:rsid w:val="00D21F4E"/>
    <w:rsid w:val="00D220A8"/>
    <w:rsid w:val="00D22898"/>
    <w:rsid w:val="00D2290E"/>
    <w:rsid w:val="00D23E55"/>
    <w:rsid w:val="00D25E33"/>
    <w:rsid w:val="00D27726"/>
    <w:rsid w:val="00D27929"/>
    <w:rsid w:val="00D315C7"/>
    <w:rsid w:val="00D318D5"/>
    <w:rsid w:val="00D32578"/>
    <w:rsid w:val="00D330D1"/>
    <w:rsid w:val="00D33553"/>
    <w:rsid w:val="00D33BE8"/>
    <w:rsid w:val="00D33C12"/>
    <w:rsid w:val="00D3426D"/>
    <w:rsid w:val="00D34C7F"/>
    <w:rsid w:val="00D36476"/>
    <w:rsid w:val="00D36F2F"/>
    <w:rsid w:val="00D3707F"/>
    <w:rsid w:val="00D41251"/>
    <w:rsid w:val="00D42464"/>
    <w:rsid w:val="00D43913"/>
    <w:rsid w:val="00D448C6"/>
    <w:rsid w:val="00D4514C"/>
    <w:rsid w:val="00D4543B"/>
    <w:rsid w:val="00D455B0"/>
    <w:rsid w:val="00D45B0A"/>
    <w:rsid w:val="00D45B53"/>
    <w:rsid w:val="00D46293"/>
    <w:rsid w:val="00D462CC"/>
    <w:rsid w:val="00D46AFC"/>
    <w:rsid w:val="00D46E1C"/>
    <w:rsid w:val="00D4702F"/>
    <w:rsid w:val="00D4787A"/>
    <w:rsid w:val="00D50736"/>
    <w:rsid w:val="00D52534"/>
    <w:rsid w:val="00D528A1"/>
    <w:rsid w:val="00D535EE"/>
    <w:rsid w:val="00D544B0"/>
    <w:rsid w:val="00D54756"/>
    <w:rsid w:val="00D54DDF"/>
    <w:rsid w:val="00D555BC"/>
    <w:rsid w:val="00D55B81"/>
    <w:rsid w:val="00D5647F"/>
    <w:rsid w:val="00D577F4"/>
    <w:rsid w:val="00D579D3"/>
    <w:rsid w:val="00D60A81"/>
    <w:rsid w:val="00D610F5"/>
    <w:rsid w:val="00D61507"/>
    <w:rsid w:val="00D61B7F"/>
    <w:rsid w:val="00D62E31"/>
    <w:rsid w:val="00D63BE1"/>
    <w:rsid w:val="00D64CCE"/>
    <w:rsid w:val="00D6512B"/>
    <w:rsid w:val="00D66139"/>
    <w:rsid w:val="00D6759C"/>
    <w:rsid w:val="00D702C7"/>
    <w:rsid w:val="00D70401"/>
    <w:rsid w:val="00D71CE7"/>
    <w:rsid w:val="00D73067"/>
    <w:rsid w:val="00D73472"/>
    <w:rsid w:val="00D73BAD"/>
    <w:rsid w:val="00D7582E"/>
    <w:rsid w:val="00D759C5"/>
    <w:rsid w:val="00D771FB"/>
    <w:rsid w:val="00D77866"/>
    <w:rsid w:val="00D80487"/>
    <w:rsid w:val="00D80FB4"/>
    <w:rsid w:val="00D81512"/>
    <w:rsid w:val="00D8193F"/>
    <w:rsid w:val="00D821C0"/>
    <w:rsid w:val="00D8497C"/>
    <w:rsid w:val="00D856FD"/>
    <w:rsid w:val="00D85A39"/>
    <w:rsid w:val="00D861B8"/>
    <w:rsid w:val="00D861EA"/>
    <w:rsid w:val="00D86724"/>
    <w:rsid w:val="00D8707A"/>
    <w:rsid w:val="00D87149"/>
    <w:rsid w:val="00D87371"/>
    <w:rsid w:val="00D87C77"/>
    <w:rsid w:val="00D9051E"/>
    <w:rsid w:val="00D90EE5"/>
    <w:rsid w:val="00D91C68"/>
    <w:rsid w:val="00D93AAB"/>
    <w:rsid w:val="00D94CC6"/>
    <w:rsid w:val="00D96770"/>
    <w:rsid w:val="00D96B8A"/>
    <w:rsid w:val="00D96E48"/>
    <w:rsid w:val="00D97E6D"/>
    <w:rsid w:val="00DA052C"/>
    <w:rsid w:val="00DA14D2"/>
    <w:rsid w:val="00DA1BBD"/>
    <w:rsid w:val="00DA2767"/>
    <w:rsid w:val="00DA2D42"/>
    <w:rsid w:val="00DA4164"/>
    <w:rsid w:val="00DA4B1A"/>
    <w:rsid w:val="00DA56C0"/>
    <w:rsid w:val="00DA5A69"/>
    <w:rsid w:val="00DA5AD9"/>
    <w:rsid w:val="00DB00FA"/>
    <w:rsid w:val="00DB0E0B"/>
    <w:rsid w:val="00DB12F3"/>
    <w:rsid w:val="00DB2B2F"/>
    <w:rsid w:val="00DB3CD7"/>
    <w:rsid w:val="00DB3DB0"/>
    <w:rsid w:val="00DB4999"/>
    <w:rsid w:val="00DB691D"/>
    <w:rsid w:val="00DB706D"/>
    <w:rsid w:val="00DB77C4"/>
    <w:rsid w:val="00DC0391"/>
    <w:rsid w:val="00DC0397"/>
    <w:rsid w:val="00DC05A4"/>
    <w:rsid w:val="00DC1DB9"/>
    <w:rsid w:val="00DC22BB"/>
    <w:rsid w:val="00DC240B"/>
    <w:rsid w:val="00DC2501"/>
    <w:rsid w:val="00DC2A2B"/>
    <w:rsid w:val="00DC3168"/>
    <w:rsid w:val="00DC3D98"/>
    <w:rsid w:val="00DC6617"/>
    <w:rsid w:val="00DC6848"/>
    <w:rsid w:val="00DC7226"/>
    <w:rsid w:val="00DC7B38"/>
    <w:rsid w:val="00DD0E0D"/>
    <w:rsid w:val="00DD18DA"/>
    <w:rsid w:val="00DD1AA6"/>
    <w:rsid w:val="00DD2784"/>
    <w:rsid w:val="00DD278B"/>
    <w:rsid w:val="00DD2B69"/>
    <w:rsid w:val="00DD39DB"/>
    <w:rsid w:val="00DD3F96"/>
    <w:rsid w:val="00DD49C0"/>
    <w:rsid w:val="00DD543D"/>
    <w:rsid w:val="00DD5DF2"/>
    <w:rsid w:val="00DD6932"/>
    <w:rsid w:val="00DD69CE"/>
    <w:rsid w:val="00DD6F04"/>
    <w:rsid w:val="00DD71BB"/>
    <w:rsid w:val="00DD7414"/>
    <w:rsid w:val="00DD7870"/>
    <w:rsid w:val="00DE0FAE"/>
    <w:rsid w:val="00DE1C3E"/>
    <w:rsid w:val="00DE1D8E"/>
    <w:rsid w:val="00DE232D"/>
    <w:rsid w:val="00DE2917"/>
    <w:rsid w:val="00DE3B79"/>
    <w:rsid w:val="00DE5DEB"/>
    <w:rsid w:val="00DE65FA"/>
    <w:rsid w:val="00DE76BA"/>
    <w:rsid w:val="00DE78D0"/>
    <w:rsid w:val="00DE7AF4"/>
    <w:rsid w:val="00DF1079"/>
    <w:rsid w:val="00DF1948"/>
    <w:rsid w:val="00DF429C"/>
    <w:rsid w:val="00DF49DB"/>
    <w:rsid w:val="00DF5ED5"/>
    <w:rsid w:val="00DF688B"/>
    <w:rsid w:val="00DF6E45"/>
    <w:rsid w:val="00E0012A"/>
    <w:rsid w:val="00E0109F"/>
    <w:rsid w:val="00E01EFB"/>
    <w:rsid w:val="00E02189"/>
    <w:rsid w:val="00E03F7C"/>
    <w:rsid w:val="00E05897"/>
    <w:rsid w:val="00E0652E"/>
    <w:rsid w:val="00E0714A"/>
    <w:rsid w:val="00E073F0"/>
    <w:rsid w:val="00E10185"/>
    <w:rsid w:val="00E112C2"/>
    <w:rsid w:val="00E11D7C"/>
    <w:rsid w:val="00E13878"/>
    <w:rsid w:val="00E14098"/>
    <w:rsid w:val="00E148AE"/>
    <w:rsid w:val="00E15353"/>
    <w:rsid w:val="00E1556B"/>
    <w:rsid w:val="00E15FE6"/>
    <w:rsid w:val="00E16380"/>
    <w:rsid w:val="00E215E0"/>
    <w:rsid w:val="00E21CB6"/>
    <w:rsid w:val="00E2221C"/>
    <w:rsid w:val="00E2222D"/>
    <w:rsid w:val="00E2239D"/>
    <w:rsid w:val="00E22414"/>
    <w:rsid w:val="00E22D06"/>
    <w:rsid w:val="00E24130"/>
    <w:rsid w:val="00E25CB5"/>
    <w:rsid w:val="00E27031"/>
    <w:rsid w:val="00E27E3B"/>
    <w:rsid w:val="00E31793"/>
    <w:rsid w:val="00E31E51"/>
    <w:rsid w:val="00E324E4"/>
    <w:rsid w:val="00E33E96"/>
    <w:rsid w:val="00E341F8"/>
    <w:rsid w:val="00E343CA"/>
    <w:rsid w:val="00E35005"/>
    <w:rsid w:val="00E35668"/>
    <w:rsid w:val="00E3598C"/>
    <w:rsid w:val="00E35A75"/>
    <w:rsid w:val="00E35B56"/>
    <w:rsid w:val="00E410E8"/>
    <w:rsid w:val="00E4118B"/>
    <w:rsid w:val="00E4258F"/>
    <w:rsid w:val="00E42AC6"/>
    <w:rsid w:val="00E43791"/>
    <w:rsid w:val="00E43E7D"/>
    <w:rsid w:val="00E46C11"/>
    <w:rsid w:val="00E47838"/>
    <w:rsid w:val="00E47922"/>
    <w:rsid w:val="00E51A46"/>
    <w:rsid w:val="00E52AE9"/>
    <w:rsid w:val="00E53E33"/>
    <w:rsid w:val="00E54258"/>
    <w:rsid w:val="00E54846"/>
    <w:rsid w:val="00E5499B"/>
    <w:rsid w:val="00E54D7C"/>
    <w:rsid w:val="00E55513"/>
    <w:rsid w:val="00E561AD"/>
    <w:rsid w:val="00E5672C"/>
    <w:rsid w:val="00E56904"/>
    <w:rsid w:val="00E60068"/>
    <w:rsid w:val="00E60603"/>
    <w:rsid w:val="00E6167D"/>
    <w:rsid w:val="00E61B2B"/>
    <w:rsid w:val="00E62FD3"/>
    <w:rsid w:val="00E63D8D"/>
    <w:rsid w:val="00E6480D"/>
    <w:rsid w:val="00E64B53"/>
    <w:rsid w:val="00E6665D"/>
    <w:rsid w:val="00E67905"/>
    <w:rsid w:val="00E67ACB"/>
    <w:rsid w:val="00E67E41"/>
    <w:rsid w:val="00E71403"/>
    <w:rsid w:val="00E71565"/>
    <w:rsid w:val="00E71C1D"/>
    <w:rsid w:val="00E7305A"/>
    <w:rsid w:val="00E74559"/>
    <w:rsid w:val="00E74D6A"/>
    <w:rsid w:val="00E77054"/>
    <w:rsid w:val="00E77217"/>
    <w:rsid w:val="00E77A85"/>
    <w:rsid w:val="00E80318"/>
    <w:rsid w:val="00E8069A"/>
    <w:rsid w:val="00E81096"/>
    <w:rsid w:val="00E82576"/>
    <w:rsid w:val="00E826EE"/>
    <w:rsid w:val="00E82726"/>
    <w:rsid w:val="00E843B3"/>
    <w:rsid w:val="00E84B11"/>
    <w:rsid w:val="00E86924"/>
    <w:rsid w:val="00E86E14"/>
    <w:rsid w:val="00E874AA"/>
    <w:rsid w:val="00E91051"/>
    <w:rsid w:val="00E91CC4"/>
    <w:rsid w:val="00E9282E"/>
    <w:rsid w:val="00E92D0F"/>
    <w:rsid w:val="00E93A75"/>
    <w:rsid w:val="00E94CBF"/>
    <w:rsid w:val="00E95235"/>
    <w:rsid w:val="00E95BB5"/>
    <w:rsid w:val="00E96D77"/>
    <w:rsid w:val="00E978CB"/>
    <w:rsid w:val="00EA0718"/>
    <w:rsid w:val="00EA1048"/>
    <w:rsid w:val="00EA3355"/>
    <w:rsid w:val="00EA3B10"/>
    <w:rsid w:val="00EA471E"/>
    <w:rsid w:val="00EA4DA6"/>
    <w:rsid w:val="00EA5A78"/>
    <w:rsid w:val="00EA5B94"/>
    <w:rsid w:val="00EB0463"/>
    <w:rsid w:val="00EB0FB9"/>
    <w:rsid w:val="00EB128C"/>
    <w:rsid w:val="00EB13AE"/>
    <w:rsid w:val="00EB1F28"/>
    <w:rsid w:val="00EB2B93"/>
    <w:rsid w:val="00EB2FCC"/>
    <w:rsid w:val="00EB3172"/>
    <w:rsid w:val="00EB42A9"/>
    <w:rsid w:val="00EB538F"/>
    <w:rsid w:val="00EB5F03"/>
    <w:rsid w:val="00EB67E2"/>
    <w:rsid w:val="00EB6EBA"/>
    <w:rsid w:val="00EB765E"/>
    <w:rsid w:val="00EC094D"/>
    <w:rsid w:val="00EC18F9"/>
    <w:rsid w:val="00EC1F04"/>
    <w:rsid w:val="00EC2F4F"/>
    <w:rsid w:val="00EC3E39"/>
    <w:rsid w:val="00EC46E1"/>
    <w:rsid w:val="00EC4DF2"/>
    <w:rsid w:val="00EC4FDE"/>
    <w:rsid w:val="00EC6A4A"/>
    <w:rsid w:val="00EC722D"/>
    <w:rsid w:val="00ED224C"/>
    <w:rsid w:val="00ED33DD"/>
    <w:rsid w:val="00ED4F67"/>
    <w:rsid w:val="00ED5100"/>
    <w:rsid w:val="00ED5917"/>
    <w:rsid w:val="00ED595E"/>
    <w:rsid w:val="00EE0A6E"/>
    <w:rsid w:val="00EE2C90"/>
    <w:rsid w:val="00EE32A2"/>
    <w:rsid w:val="00EE4B74"/>
    <w:rsid w:val="00EE4F21"/>
    <w:rsid w:val="00EE6C42"/>
    <w:rsid w:val="00EE6FDE"/>
    <w:rsid w:val="00EF026C"/>
    <w:rsid w:val="00EF0306"/>
    <w:rsid w:val="00EF0562"/>
    <w:rsid w:val="00EF0738"/>
    <w:rsid w:val="00EF109D"/>
    <w:rsid w:val="00EF1456"/>
    <w:rsid w:val="00EF283B"/>
    <w:rsid w:val="00EF53C6"/>
    <w:rsid w:val="00EF5E53"/>
    <w:rsid w:val="00EF5F16"/>
    <w:rsid w:val="00EF7142"/>
    <w:rsid w:val="00EF7648"/>
    <w:rsid w:val="00F00949"/>
    <w:rsid w:val="00F00AE5"/>
    <w:rsid w:val="00F01F6A"/>
    <w:rsid w:val="00F026B4"/>
    <w:rsid w:val="00F046D8"/>
    <w:rsid w:val="00F06347"/>
    <w:rsid w:val="00F075BF"/>
    <w:rsid w:val="00F0767D"/>
    <w:rsid w:val="00F07FEC"/>
    <w:rsid w:val="00F116F0"/>
    <w:rsid w:val="00F1194D"/>
    <w:rsid w:val="00F11EB1"/>
    <w:rsid w:val="00F134B6"/>
    <w:rsid w:val="00F142F3"/>
    <w:rsid w:val="00F14A48"/>
    <w:rsid w:val="00F15086"/>
    <w:rsid w:val="00F167AA"/>
    <w:rsid w:val="00F168C1"/>
    <w:rsid w:val="00F202EC"/>
    <w:rsid w:val="00F20D61"/>
    <w:rsid w:val="00F21749"/>
    <w:rsid w:val="00F221D0"/>
    <w:rsid w:val="00F2251D"/>
    <w:rsid w:val="00F22933"/>
    <w:rsid w:val="00F23E38"/>
    <w:rsid w:val="00F242B3"/>
    <w:rsid w:val="00F24BD1"/>
    <w:rsid w:val="00F25597"/>
    <w:rsid w:val="00F25E5A"/>
    <w:rsid w:val="00F307E1"/>
    <w:rsid w:val="00F31630"/>
    <w:rsid w:val="00F32689"/>
    <w:rsid w:val="00F3339B"/>
    <w:rsid w:val="00F3401F"/>
    <w:rsid w:val="00F34464"/>
    <w:rsid w:val="00F34DA6"/>
    <w:rsid w:val="00F35374"/>
    <w:rsid w:val="00F36F0D"/>
    <w:rsid w:val="00F36F6A"/>
    <w:rsid w:val="00F3711B"/>
    <w:rsid w:val="00F42B92"/>
    <w:rsid w:val="00F42BC5"/>
    <w:rsid w:val="00F4350E"/>
    <w:rsid w:val="00F44635"/>
    <w:rsid w:val="00F44966"/>
    <w:rsid w:val="00F44F30"/>
    <w:rsid w:val="00F461AA"/>
    <w:rsid w:val="00F465CD"/>
    <w:rsid w:val="00F47C81"/>
    <w:rsid w:val="00F50E8E"/>
    <w:rsid w:val="00F51F5C"/>
    <w:rsid w:val="00F538AE"/>
    <w:rsid w:val="00F54B92"/>
    <w:rsid w:val="00F5572A"/>
    <w:rsid w:val="00F56787"/>
    <w:rsid w:val="00F567A4"/>
    <w:rsid w:val="00F573D2"/>
    <w:rsid w:val="00F575C6"/>
    <w:rsid w:val="00F57F2A"/>
    <w:rsid w:val="00F61885"/>
    <w:rsid w:val="00F61A2E"/>
    <w:rsid w:val="00F61DAB"/>
    <w:rsid w:val="00F6267F"/>
    <w:rsid w:val="00F627D8"/>
    <w:rsid w:val="00F62B8D"/>
    <w:rsid w:val="00F62F8A"/>
    <w:rsid w:val="00F63383"/>
    <w:rsid w:val="00F6344B"/>
    <w:rsid w:val="00F63492"/>
    <w:rsid w:val="00F64351"/>
    <w:rsid w:val="00F65F03"/>
    <w:rsid w:val="00F6673C"/>
    <w:rsid w:val="00F6696C"/>
    <w:rsid w:val="00F67427"/>
    <w:rsid w:val="00F7018C"/>
    <w:rsid w:val="00F70A29"/>
    <w:rsid w:val="00F71B5A"/>
    <w:rsid w:val="00F71FDD"/>
    <w:rsid w:val="00F71FDF"/>
    <w:rsid w:val="00F75CF0"/>
    <w:rsid w:val="00F76438"/>
    <w:rsid w:val="00F76F61"/>
    <w:rsid w:val="00F779A3"/>
    <w:rsid w:val="00F8118D"/>
    <w:rsid w:val="00F820AD"/>
    <w:rsid w:val="00F83C7B"/>
    <w:rsid w:val="00F83D10"/>
    <w:rsid w:val="00F83E99"/>
    <w:rsid w:val="00F84278"/>
    <w:rsid w:val="00F850C1"/>
    <w:rsid w:val="00F851BB"/>
    <w:rsid w:val="00F853F5"/>
    <w:rsid w:val="00F86693"/>
    <w:rsid w:val="00F87473"/>
    <w:rsid w:val="00F91419"/>
    <w:rsid w:val="00F916CB"/>
    <w:rsid w:val="00F91949"/>
    <w:rsid w:val="00F93BE6"/>
    <w:rsid w:val="00F9424F"/>
    <w:rsid w:val="00F94F94"/>
    <w:rsid w:val="00F951E4"/>
    <w:rsid w:val="00F95621"/>
    <w:rsid w:val="00F95C57"/>
    <w:rsid w:val="00F9661D"/>
    <w:rsid w:val="00F96671"/>
    <w:rsid w:val="00F96E1A"/>
    <w:rsid w:val="00F96FD5"/>
    <w:rsid w:val="00FA19DE"/>
    <w:rsid w:val="00FA2766"/>
    <w:rsid w:val="00FA4059"/>
    <w:rsid w:val="00FA6050"/>
    <w:rsid w:val="00FA6161"/>
    <w:rsid w:val="00FA78A4"/>
    <w:rsid w:val="00FA7C87"/>
    <w:rsid w:val="00FB2445"/>
    <w:rsid w:val="00FB2549"/>
    <w:rsid w:val="00FB30D6"/>
    <w:rsid w:val="00FB3A77"/>
    <w:rsid w:val="00FB42DA"/>
    <w:rsid w:val="00FB4FC3"/>
    <w:rsid w:val="00FB5DB1"/>
    <w:rsid w:val="00FB6341"/>
    <w:rsid w:val="00FB672C"/>
    <w:rsid w:val="00FB6D77"/>
    <w:rsid w:val="00FB72B2"/>
    <w:rsid w:val="00FB7600"/>
    <w:rsid w:val="00FB7A40"/>
    <w:rsid w:val="00FB7B24"/>
    <w:rsid w:val="00FC1443"/>
    <w:rsid w:val="00FC16B4"/>
    <w:rsid w:val="00FC1ADC"/>
    <w:rsid w:val="00FC235D"/>
    <w:rsid w:val="00FC4409"/>
    <w:rsid w:val="00FC498E"/>
    <w:rsid w:val="00FC52D9"/>
    <w:rsid w:val="00FC65EE"/>
    <w:rsid w:val="00FD0ABC"/>
    <w:rsid w:val="00FD0C8B"/>
    <w:rsid w:val="00FD186D"/>
    <w:rsid w:val="00FD1BE6"/>
    <w:rsid w:val="00FD299D"/>
    <w:rsid w:val="00FD2DC5"/>
    <w:rsid w:val="00FD3090"/>
    <w:rsid w:val="00FD30A4"/>
    <w:rsid w:val="00FD4225"/>
    <w:rsid w:val="00FD45A0"/>
    <w:rsid w:val="00FD4896"/>
    <w:rsid w:val="00FD5841"/>
    <w:rsid w:val="00FD5F4E"/>
    <w:rsid w:val="00FD6871"/>
    <w:rsid w:val="00FD6C5E"/>
    <w:rsid w:val="00FD7B97"/>
    <w:rsid w:val="00FE1489"/>
    <w:rsid w:val="00FE2514"/>
    <w:rsid w:val="00FE46DF"/>
    <w:rsid w:val="00FE4B17"/>
    <w:rsid w:val="00FE4DEE"/>
    <w:rsid w:val="00FE796C"/>
    <w:rsid w:val="00FF1083"/>
    <w:rsid w:val="00FF2C38"/>
    <w:rsid w:val="00FF3B97"/>
    <w:rsid w:val="00FF3FC4"/>
    <w:rsid w:val="00FF42E6"/>
    <w:rsid w:val="00FF493B"/>
    <w:rsid w:val="00FF4F67"/>
    <w:rsid w:val="00FF4FB6"/>
    <w:rsid w:val="00FF56B1"/>
    <w:rsid w:val="00FF69FF"/>
    <w:rsid w:val="00FF73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A73659"/>
  <w15:chartTrackingRefBased/>
  <w15:docId w15:val="{A45ADD39-F705-4B60-A801-F7557F18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ootnote Text Char Char Char,Footnote Text Char Char Char Char Char Char,Footnote Text Char1,Footnote Text Char1 Char,Footnote Text Char1 Char1 Char Char1 Char,Footnote Text Char2,Footnote Text Char2 Char Char1 Char,Footnote Text Char7 Cha"/>
    <w:basedOn w:val="Normal"/>
    <w:link w:val="FootnoteTextChar"/>
    <w:qFormat/>
  </w:style>
  <w:style w:type="character" w:styleId="FootnoteReference">
    <w:name w:val="footnote reference"/>
    <w:aliases w:val="(NECG) Footnote Reference,Appel note de bas de p,FR,Footnote Reference/,Style 12,Style 124,Style 13,Style 17,Style 3,Style 4,Style 6,Style 7,fr,o"/>
    <w:rPr>
      <w:vertAlign w:val="superscript"/>
    </w:rPr>
  </w:style>
  <w:style w:type="paragraph" w:styleId="BodyText">
    <w:name w:val="Body Text"/>
    <w:basedOn w:val="Normal"/>
    <w:pPr>
      <w:widowControl w:val="0"/>
    </w:pPr>
    <w:rPr>
      <w:sz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 Char Char Char,Footnote Text Char Char Char Char Char Char Char,Footnote Text Char1 Char Char,Footnote Text Char1 Char1 Char Char1 Char Char,Footnote Text Char2 Char,Footnote Text Char2 Char Char1 Char Char"/>
    <w:link w:val="FootnoteText"/>
    <w:uiPriority w:val="99"/>
    <w:rPr>
      <w:lang w:val="en-US" w:eastAsia="en-US" w:bidi="ar-SA"/>
    </w:rPr>
  </w:style>
  <w:style w:type="character" w:customStyle="1" w:styleId="documentbody1">
    <w:name w:val="documentbody1"/>
    <w:rPr>
      <w:rFonts w:ascii="Verdana" w:hAnsi="Verdana" w:hint="default"/>
      <w:sz w:val="19"/>
      <w:szCs w:val="19"/>
    </w:rPr>
  </w:style>
  <w:style w:type="character" w:styleId="Hyperlink">
    <w:name w:val="Hyperlink"/>
    <w:uiPriority w:val="99"/>
    <w:rPr>
      <w:color w:val="0000FF"/>
      <w:u w:val="single"/>
    </w:rPr>
  </w:style>
  <w:style w:type="character" w:customStyle="1" w:styleId="searchterm1">
    <w:name w:val="searchterm1"/>
    <w:rPr>
      <w:b/>
      <w:bCs/>
      <w:shd w:val="clear" w:color="auto" w:fill="FFFF00"/>
    </w:rPr>
  </w:style>
  <w:style w:type="character" w:customStyle="1" w:styleId="starpage1">
    <w:name w:val="starpage1"/>
    <w:rPr>
      <w:b/>
      <w:bCs/>
      <w:i/>
      <w:iCs/>
      <w:color w:val="800080"/>
    </w:rPr>
  </w:style>
  <w:style w:type="character" w:customStyle="1" w:styleId="documentbody5">
    <w:name w:val="documentbody5"/>
    <w:rPr>
      <w:rFonts w:ascii="Verdana" w:hAnsi="Verdana" w:hint="default"/>
      <w:sz w:val="19"/>
      <w:szCs w:val="19"/>
    </w:rPr>
  </w:style>
  <w:style w:type="character" w:customStyle="1" w:styleId="searchterm3">
    <w:name w:val="searchterm3"/>
    <w:rPr>
      <w:b/>
      <w:bCs/>
      <w:shd w:val="clear" w:color="auto" w:fill="FFFF00"/>
    </w:rPr>
  </w:style>
  <w:style w:type="character" w:customStyle="1" w:styleId="italics1">
    <w:name w:val="italics1"/>
    <w:rPr>
      <w:i/>
      <w:iCs/>
    </w:rPr>
  </w:style>
  <w:style w:type="character" w:customStyle="1" w:styleId="FooterChar">
    <w:name w:val="Footer Char"/>
    <w:link w:val="Footer"/>
    <w:rPr>
      <w:lang w:val="en-US" w:eastAsia="en-US" w:bidi="ar-SA"/>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rrfootnote Char Char"/>
    <w:locked/>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uiPriority w:val="20"/>
    <w:qFormat/>
    <w:rsid w:val="00AC2FC2"/>
    <w:rPr>
      <w:i/>
      <w:iCs/>
    </w:rPr>
  </w:style>
  <w:style w:type="character" w:customStyle="1" w:styleId="cosearchterm">
    <w:name w:val="co_searchterm"/>
    <w:rsid w:val="00AC2FC2"/>
  </w:style>
  <w:style w:type="paragraph" w:styleId="Revision">
    <w:name w:val="Revision"/>
    <w:hidden/>
    <w:uiPriority w:val="99"/>
    <w:semiHidden/>
    <w:rsid w:val="00B97C67"/>
  </w:style>
  <w:style w:type="character" w:styleId="UnresolvedMention">
    <w:name w:val="Unresolved Mention"/>
    <w:uiPriority w:val="99"/>
    <w:semiHidden/>
    <w:unhideWhenUsed/>
    <w:rsid w:val="00697B4C"/>
    <w:rPr>
      <w:color w:val="605E5C"/>
      <w:shd w:val="clear" w:color="auto" w:fill="E1DFDD"/>
    </w:rPr>
  </w:style>
  <w:style w:type="paragraph" w:customStyle="1" w:styleId="ParaNum">
    <w:name w:val="ParaNum"/>
    <w:basedOn w:val="Normal"/>
    <w:rsid w:val="004E5180"/>
    <w:pPr>
      <w:widowControl w:val="0"/>
      <w:numPr>
        <w:numId w:val="4"/>
      </w:numPr>
      <w:tabs>
        <w:tab w:val="clear" w:pos="1080"/>
        <w:tab w:val="num" w:pos="1440"/>
      </w:tabs>
      <w:spacing w:after="120"/>
    </w:pPr>
    <w:rPr>
      <w:snapToGrid w:val="0"/>
      <w:kern w:val="28"/>
      <w:sz w:val="22"/>
    </w:rPr>
  </w:style>
  <w:style w:type="paragraph" w:styleId="EndnoteText">
    <w:name w:val="endnote text"/>
    <w:basedOn w:val="Normal"/>
    <w:link w:val="EndnoteTextChar"/>
    <w:rsid w:val="0099400B"/>
  </w:style>
  <w:style w:type="character" w:customStyle="1" w:styleId="EndnoteTextChar">
    <w:name w:val="Endnote Text Char"/>
    <w:basedOn w:val="DefaultParagraphFont"/>
    <w:link w:val="EndnoteText"/>
    <w:rsid w:val="0099400B"/>
  </w:style>
  <w:style w:type="paragraph" w:styleId="BodyText2">
    <w:name w:val="Body Text 2"/>
    <w:basedOn w:val="Normal"/>
    <w:link w:val="BodyText2Char"/>
    <w:uiPriority w:val="99"/>
    <w:unhideWhenUsed/>
    <w:rsid w:val="00CF1B63"/>
    <w:pPr>
      <w:snapToGrid w:val="0"/>
    </w:pPr>
    <w:rPr>
      <w:rFonts w:eastAsiaTheme="minorHAnsi"/>
      <w:sz w:val="22"/>
      <w:szCs w:val="22"/>
    </w:rPr>
  </w:style>
  <w:style w:type="character" w:customStyle="1" w:styleId="BodyText2Char">
    <w:name w:val="Body Text 2 Char"/>
    <w:basedOn w:val="DefaultParagraphFont"/>
    <w:link w:val="BodyText2"/>
    <w:uiPriority w:val="99"/>
    <w:rsid w:val="00CF1B6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telecomlaw.bna.com/terc/display/link_res.adp?fedfid=27792279&amp;fname=fccrcd_6_193&amp;vname=comrgdec"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MB\Audio\WAGNER\wewc,%20callahan%20character%20sal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wewc, callahan character sale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