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10E8E" w:rsidRPr="00375DD6" w:rsidP="00110E8E" w14:paraId="2DDB1684" w14:textId="77777777">
      <w:pPr>
        <w:jc w:val="center"/>
        <w:rPr>
          <w:b/>
          <w:szCs w:val="22"/>
        </w:rPr>
      </w:pPr>
      <w:r w:rsidRPr="00375DD6">
        <w:rPr>
          <w:b/>
          <w:kern w:val="0"/>
          <w:szCs w:val="22"/>
        </w:rPr>
        <w:t>Before</w:t>
      </w:r>
      <w:r w:rsidRPr="00375DD6">
        <w:rPr>
          <w:b/>
          <w:szCs w:val="22"/>
        </w:rPr>
        <w:t xml:space="preserve"> the</w:t>
      </w:r>
    </w:p>
    <w:p w:rsidR="00110E8E" w:rsidRPr="00375DD6" w:rsidP="00110E8E" w14:paraId="48FB9D78" w14:textId="77777777">
      <w:pPr>
        <w:pStyle w:val="StyleBoldCentered"/>
        <w:rPr>
          <w:rFonts w:ascii="Times New Roman" w:hAnsi="Times New Roman"/>
        </w:rPr>
      </w:pPr>
      <w:r w:rsidRPr="00375DD6">
        <w:rPr>
          <w:rFonts w:ascii="Times New Roman" w:hAnsi="Times New Roman"/>
        </w:rPr>
        <w:t>F</w:t>
      </w:r>
      <w:r w:rsidRPr="00375DD6">
        <w:rPr>
          <w:rFonts w:ascii="Times New Roman" w:hAnsi="Times New Roman"/>
          <w:caps w:val="0"/>
        </w:rPr>
        <w:t>ederal Communications Commission</w:t>
      </w:r>
    </w:p>
    <w:p w:rsidR="00110E8E" w:rsidRPr="00375DD6" w:rsidP="00110E8E" w14:paraId="77D4E46D" w14:textId="77777777">
      <w:pPr>
        <w:pStyle w:val="StyleBoldCentered"/>
        <w:rPr>
          <w:rFonts w:ascii="Times New Roman" w:hAnsi="Times New Roman"/>
        </w:rPr>
      </w:pPr>
      <w:r w:rsidRPr="00375DD6">
        <w:rPr>
          <w:rFonts w:ascii="Times New Roman" w:hAnsi="Times New Roman"/>
          <w:caps w:val="0"/>
        </w:rPr>
        <w:t>Washington, D.C. 20554</w:t>
      </w:r>
    </w:p>
    <w:p w:rsidR="00110E8E" w:rsidRPr="00375DD6" w:rsidP="00110E8E" w14:paraId="3D4C0FA7" w14:textId="77777777">
      <w:pPr>
        <w:rPr>
          <w:szCs w:val="22"/>
        </w:rPr>
      </w:pPr>
    </w:p>
    <w:p w:rsidR="00110E8E" w:rsidRPr="00375DD6" w:rsidP="00110E8E" w14:paraId="2A013C6E" w14:textId="77777777">
      <w:pPr>
        <w:rPr>
          <w:szCs w:val="22"/>
        </w:rPr>
      </w:pPr>
    </w:p>
    <w:tbl>
      <w:tblPr>
        <w:tblW w:w="0" w:type="auto"/>
        <w:tblLayout w:type="fixed"/>
        <w:tblLook w:val="0000"/>
      </w:tblPr>
      <w:tblGrid>
        <w:gridCol w:w="4698"/>
        <w:gridCol w:w="630"/>
        <w:gridCol w:w="4248"/>
      </w:tblGrid>
      <w:tr w14:paraId="3CD15167" w14:textId="77777777" w:rsidTr="001859BA">
        <w:tblPrEx>
          <w:tblW w:w="0" w:type="auto"/>
          <w:tblLayout w:type="fixed"/>
          <w:tblLook w:val="0000"/>
        </w:tblPrEx>
        <w:tc>
          <w:tcPr>
            <w:tcW w:w="4698" w:type="dxa"/>
          </w:tcPr>
          <w:p w:rsidR="00110E8E" w:rsidRPr="00375DD6" w:rsidP="001859BA" w14:paraId="0C781BBC" w14:textId="77777777">
            <w:pPr>
              <w:tabs>
                <w:tab w:val="center" w:pos="4680"/>
              </w:tabs>
              <w:suppressAutoHyphens/>
              <w:rPr>
                <w:spacing w:val="-2"/>
                <w:szCs w:val="22"/>
              </w:rPr>
            </w:pPr>
            <w:r w:rsidRPr="00375DD6">
              <w:rPr>
                <w:spacing w:val="-2"/>
                <w:szCs w:val="22"/>
              </w:rPr>
              <w:t>In the Matter of</w:t>
            </w:r>
          </w:p>
          <w:p w:rsidR="00110E8E" w:rsidRPr="00375DD6" w:rsidP="001859BA" w14:paraId="76CCB19E" w14:textId="77777777">
            <w:pPr>
              <w:tabs>
                <w:tab w:val="center" w:pos="4680"/>
              </w:tabs>
              <w:suppressAutoHyphens/>
              <w:rPr>
                <w:spacing w:val="-2"/>
                <w:szCs w:val="22"/>
              </w:rPr>
            </w:pPr>
          </w:p>
          <w:p w:rsidR="00110E8E" w:rsidRPr="00375DD6" w:rsidP="001859BA" w14:paraId="25C6EEB0" w14:textId="208090C0">
            <w:pPr>
              <w:tabs>
                <w:tab w:val="center" w:pos="4680"/>
              </w:tabs>
              <w:suppressAutoHyphens/>
              <w:rPr>
                <w:spacing w:val="-2"/>
                <w:szCs w:val="22"/>
              </w:rPr>
            </w:pPr>
            <w:r w:rsidRPr="00375DD6">
              <w:rPr>
                <w:spacing w:val="-2"/>
                <w:szCs w:val="22"/>
              </w:rPr>
              <w:t>Spanish Broadcasting System</w:t>
            </w:r>
          </w:p>
          <w:p w:rsidR="00110E8E" w:rsidRPr="00375DD6" w:rsidP="001859BA" w14:paraId="5BBFAC2E" w14:textId="77777777">
            <w:pPr>
              <w:tabs>
                <w:tab w:val="center" w:pos="4680"/>
              </w:tabs>
              <w:suppressAutoHyphens/>
              <w:rPr>
                <w:spacing w:val="-2"/>
                <w:szCs w:val="22"/>
              </w:rPr>
            </w:pPr>
          </w:p>
          <w:p w:rsidR="00110E8E" w:rsidRPr="00375DD6" w:rsidP="001859BA" w14:paraId="633D3D2C" w14:textId="77777777">
            <w:pPr>
              <w:tabs>
                <w:tab w:val="center" w:pos="4680"/>
              </w:tabs>
              <w:suppressAutoHyphens/>
              <w:rPr>
                <w:spacing w:val="-2"/>
                <w:szCs w:val="22"/>
              </w:rPr>
            </w:pPr>
            <w:r w:rsidRPr="00375DD6">
              <w:rPr>
                <w:spacing w:val="-2"/>
                <w:szCs w:val="22"/>
              </w:rPr>
              <w:t xml:space="preserve">Petition for Declaratory Ruling Under Section </w:t>
            </w:r>
          </w:p>
          <w:p w:rsidR="00110E8E" w:rsidRPr="00375DD6" w:rsidP="001859BA" w14:paraId="3F60A05E" w14:textId="77777777">
            <w:pPr>
              <w:tabs>
                <w:tab w:val="center" w:pos="4680"/>
              </w:tabs>
              <w:suppressAutoHyphens/>
              <w:rPr>
                <w:spacing w:val="-2"/>
                <w:szCs w:val="22"/>
              </w:rPr>
            </w:pPr>
            <w:r w:rsidRPr="00375DD6">
              <w:rPr>
                <w:spacing w:val="-2"/>
                <w:szCs w:val="22"/>
              </w:rPr>
              <w:t>310(b)(4) of the Communications Act of 1934, as Amended</w:t>
            </w:r>
          </w:p>
        </w:tc>
        <w:tc>
          <w:tcPr>
            <w:tcW w:w="630" w:type="dxa"/>
          </w:tcPr>
          <w:p w:rsidR="00110E8E" w:rsidRPr="00375DD6" w:rsidP="001859BA" w14:paraId="78F518C0" w14:textId="77777777">
            <w:pPr>
              <w:tabs>
                <w:tab w:val="center" w:pos="4680"/>
              </w:tabs>
              <w:suppressAutoHyphens/>
              <w:rPr>
                <w:b/>
                <w:spacing w:val="-2"/>
                <w:szCs w:val="22"/>
              </w:rPr>
            </w:pPr>
            <w:r w:rsidRPr="00375DD6">
              <w:rPr>
                <w:b/>
                <w:spacing w:val="-2"/>
                <w:szCs w:val="22"/>
              </w:rPr>
              <w:t>)</w:t>
            </w:r>
          </w:p>
          <w:p w:rsidR="00110E8E" w:rsidRPr="00375DD6" w:rsidP="001859BA" w14:paraId="6DC37F73" w14:textId="77777777">
            <w:pPr>
              <w:tabs>
                <w:tab w:val="center" w:pos="4680"/>
              </w:tabs>
              <w:suppressAutoHyphens/>
              <w:rPr>
                <w:b/>
                <w:spacing w:val="-2"/>
                <w:szCs w:val="22"/>
              </w:rPr>
            </w:pPr>
            <w:r w:rsidRPr="00375DD6">
              <w:rPr>
                <w:b/>
                <w:spacing w:val="-2"/>
                <w:szCs w:val="22"/>
              </w:rPr>
              <w:t>)</w:t>
            </w:r>
          </w:p>
          <w:p w:rsidR="00110E8E" w:rsidRPr="00375DD6" w:rsidP="001859BA" w14:paraId="7FFD48CC" w14:textId="77777777">
            <w:pPr>
              <w:tabs>
                <w:tab w:val="center" w:pos="4680"/>
              </w:tabs>
              <w:suppressAutoHyphens/>
              <w:rPr>
                <w:b/>
                <w:spacing w:val="-2"/>
                <w:szCs w:val="22"/>
              </w:rPr>
            </w:pPr>
            <w:r w:rsidRPr="00375DD6">
              <w:rPr>
                <w:b/>
                <w:spacing w:val="-2"/>
                <w:szCs w:val="22"/>
              </w:rPr>
              <w:t>)</w:t>
            </w:r>
          </w:p>
          <w:p w:rsidR="00110E8E" w:rsidRPr="00375DD6" w:rsidP="001859BA" w14:paraId="32DEBB36" w14:textId="77777777">
            <w:pPr>
              <w:tabs>
                <w:tab w:val="center" w:pos="4680"/>
              </w:tabs>
              <w:suppressAutoHyphens/>
              <w:rPr>
                <w:b/>
                <w:spacing w:val="-2"/>
                <w:szCs w:val="22"/>
              </w:rPr>
            </w:pPr>
            <w:r w:rsidRPr="00375DD6">
              <w:rPr>
                <w:b/>
                <w:spacing w:val="-2"/>
                <w:szCs w:val="22"/>
              </w:rPr>
              <w:t>)</w:t>
            </w:r>
          </w:p>
          <w:p w:rsidR="00110E8E" w:rsidRPr="00375DD6" w:rsidP="001859BA" w14:paraId="25C0DF42" w14:textId="77777777">
            <w:pPr>
              <w:tabs>
                <w:tab w:val="center" w:pos="4680"/>
              </w:tabs>
              <w:suppressAutoHyphens/>
              <w:rPr>
                <w:b/>
                <w:spacing w:val="-2"/>
                <w:szCs w:val="22"/>
              </w:rPr>
            </w:pPr>
            <w:r w:rsidRPr="00375DD6">
              <w:rPr>
                <w:b/>
                <w:spacing w:val="-2"/>
                <w:szCs w:val="22"/>
              </w:rPr>
              <w:t>)</w:t>
            </w:r>
          </w:p>
          <w:p w:rsidR="00110E8E" w:rsidRPr="00375DD6" w:rsidP="001859BA" w14:paraId="7341BC3E" w14:textId="77777777">
            <w:pPr>
              <w:tabs>
                <w:tab w:val="center" w:pos="4680"/>
              </w:tabs>
              <w:suppressAutoHyphens/>
              <w:rPr>
                <w:b/>
                <w:spacing w:val="-2"/>
                <w:szCs w:val="22"/>
              </w:rPr>
            </w:pPr>
            <w:r w:rsidRPr="00375DD6">
              <w:rPr>
                <w:b/>
                <w:spacing w:val="-2"/>
                <w:szCs w:val="22"/>
              </w:rPr>
              <w:t>)</w:t>
            </w:r>
          </w:p>
          <w:p w:rsidR="00110E8E" w:rsidRPr="00375DD6" w:rsidP="001859BA" w14:paraId="3BDF8B7D" w14:textId="77777777">
            <w:pPr>
              <w:tabs>
                <w:tab w:val="center" w:pos="4680"/>
              </w:tabs>
              <w:suppressAutoHyphens/>
              <w:rPr>
                <w:b/>
                <w:spacing w:val="-2"/>
                <w:szCs w:val="22"/>
              </w:rPr>
            </w:pPr>
            <w:r w:rsidRPr="00375DD6">
              <w:rPr>
                <w:b/>
                <w:spacing w:val="-2"/>
                <w:szCs w:val="22"/>
              </w:rPr>
              <w:t>)</w:t>
            </w:r>
          </w:p>
        </w:tc>
        <w:tc>
          <w:tcPr>
            <w:tcW w:w="4248" w:type="dxa"/>
          </w:tcPr>
          <w:p w:rsidR="00110E8E" w:rsidRPr="00375DD6" w:rsidP="001859BA" w14:paraId="09F702B8" w14:textId="77777777">
            <w:pPr>
              <w:tabs>
                <w:tab w:val="center" w:pos="4680"/>
              </w:tabs>
              <w:suppressAutoHyphens/>
              <w:rPr>
                <w:spacing w:val="-2"/>
                <w:szCs w:val="22"/>
              </w:rPr>
            </w:pPr>
          </w:p>
          <w:p w:rsidR="00110E8E" w:rsidRPr="00375DD6" w:rsidP="001859BA" w14:paraId="64300B2F" w14:textId="77777777">
            <w:pPr>
              <w:pStyle w:val="TOAHeading"/>
              <w:tabs>
                <w:tab w:val="center" w:pos="4680"/>
                <w:tab w:val="clear" w:pos="9360"/>
              </w:tabs>
              <w:rPr>
                <w:spacing w:val="-2"/>
                <w:szCs w:val="22"/>
              </w:rPr>
            </w:pPr>
          </w:p>
          <w:p w:rsidR="00110E8E" w:rsidRPr="00375DD6" w:rsidP="001859BA" w14:paraId="2229E8B6" w14:textId="77777777">
            <w:pPr>
              <w:tabs>
                <w:tab w:val="center" w:pos="4680"/>
              </w:tabs>
              <w:suppressAutoHyphens/>
              <w:rPr>
                <w:spacing w:val="-2"/>
                <w:szCs w:val="22"/>
              </w:rPr>
            </w:pPr>
            <w:r w:rsidRPr="00375DD6">
              <w:rPr>
                <w:spacing w:val="-2"/>
                <w:szCs w:val="22"/>
              </w:rPr>
              <w:t>MB Docket No. 22-61</w:t>
            </w:r>
          </w:p>
        </w:tc>
      </w:tr>
    </w:tbl>
    <w:p w:rsidR="00110E8E" w:rsidRPr="00375DD6" w:rsidP="00110E8E" w14:paraId="452CBA9A" w14:textId="77777777">
      <w:pPr>
        <w:rPr>
          <w:szCs w:val="22"/>
        </w:rPr>
      </w:pPr>
    </w:p>
    <w:p w:rsidR="00110E8E" w:rsidRPr="00375DD6" w:rsidP="00110E8E" w14:paraId="5FFF8C25" w14:textId="77777777">
      <w:pPr>
        <w:pStyle w:val="StyleBoldCentered"/>
        <w:rPr>
          <w:rFonts w:ascii="Times New Roman" w:hAnsi="Times New Roman"/>
        </w:rPr>
      </w:pPr>
      <w:r w:rsidRPr="00375DD6">
        <w:rPr>
          <w:rFonts w:ascii="Times New Roman" w:hAnsi="Times New Roman"/>
        </w:rPr>
        <w:t>Declaratory ruling</w:t>
      </w:r>
    </w:p>
    <w:p w:rsidR="00110E8E" w:rsidRPr="00375DD6" w:rsidP="00110E8E" w14:paraId="69B05E5A" w14:textId="77777777">
      <w:pPr>
        <w:tabs>
          <w:tab w:val="left" w:pos="-720"/>
          <w:tab w:val="left" w:pos="2662"/>
        </w:tabs>
        <w:suppressAutoHyphens/>
        <w:spacing w:line="227" w:lineRule="auto"/>
        <w:rPr>
          <w:spacing w:val="-2"/>
          <w:szCs w:val="22"/>
        </w:rPr>
      </w:pPr>
      <w:r w:rsidRPr="00375DD6">
        <w:rPr>
          <w:spacing w:val="-2"/>
          <w:szCs w:val="22"/>
        </w:rPr>
        <w:tab/>
      </w:r>
    </w:p>
    <w:p w:rsidR="00110E8E" w:rsidRPr="00375DD6" w:rsidP="00110E8E" w14:paraId="2E2086A7" w14:textId="6D051887">
      <w:pPr>
        <w:tabs>
          <w:tab w:val="left" w:pos="720"/>
          <w:tab w:val="right" w:pos="9360"/>
        </w:tabs>
        <w:suppressAutoHyphens/>
        <w:spacing w:line="227" w:lineRule="auto"/>
        <w:rPr>
          <w:spacing w:val="-2"/>
          <w:szCs w:val="22"/>
        </w:rPr>
      </w:pPr>
      <w:r w:rsidRPr="00375DD6">
        <w:rPr>
          <w:b/>
          <w:spacing w:val="-2"/>
          <w:szCs w:val="22"/>
        </w:rPr>
        <w:t xml:space="preserve">Adopted:  February </w:t>
      </w:r>
      <w:r w:rsidR="00802F0C">
        <w:rPr>
          <w:b/>
          <w:spacing w:val="-2"/>
          <w:szCs w:val="22"/>
        </w:rPr>
        <w:t>2</w:t>
      </w:r>
      <w:r w:rsidRPr="00375DD6">
        <w:rPr>
          <w:b/>
          <w:spacing w:val="-2"/>
          <w:szCs w:val="22"/>
        </w:rPr>
        <w:t>, 2023</w:t>
      </w:r>
      <w:r w:rsidRPr="00375DD6">
        <w:rPr>
          <w:b/>
          <w:spacing w:val="-2"/>
          <w:szCs w:val="22"/>
        </w:rPr>
        <w:tab/>
        <w:t xml:space="preserve">Released:  February </w:t>
      </w:r>
      <w:r w:rsidR="00802F0C">
        <w:rPr>
          <w:b/>
          <w:spacing w:val="-2"/>
          <w:szCs w:val="22"/>
        </w:rPr>
        <w:t>3</w:t>
      </w:r>
      <w:r w:rsidRPr="00375DD6">
        <w:rPr>
          <w:b/>
          <w:spacing w:val="-2"/>
          <w:szCs w:val="22"/>
        </w:rPr>
        <w:t>, 2023</w:t>
      </w:r>
    </w:p>
    <w:p w:rsidR="00110E8E" w:rsidRPr="00375DD6" w:rsidP="00110E8E" w14:paraId="30DA73FC" w14:textId="77777777">
      <w:pPr>
        <w:rPr>
          <w:szCs w:val="22"/>
        </w:rPr>
      </w:pPr>
    </w:p>
    <w:p w:rsidR="00110E8E" w:rsidRPr="00375DD6" w:rsidP="00110E8E" w14:paraId="47A050AE" w14:textId="77777777">
      <w:pPr>
        <w:rPr>
          <w:spacing w:val="-2"/>
          <w:szCs w:val="22"/>
        </w:rPr>
      </w:pPr>
      <w:r w:rsidRPr="00375DD6">
        <w:rPr>
          <w:szCs w:val="22"/>
        </w:rPr>
        <w:t xml:space="preserve">By the </w:t>
      </w:r>
      <w:r w:rsidRPr="00375DD6">
        <w:rPr>
          <w:spacing w:val="-2"/>
          <w:szCs w:val="22"/>
        </w:rPr>
        <w:t>Chief, Media Bureau:</w:t>
      </w:r>
    </w:p>
    <w:p w:rsidR="00110E8E" w:rsidRPr="00375DD6" w:rsidP="00110E8E" w14:paraId="6C43FDA6" w14:textId="77777777">
      <w:pPr>
        <w:rPr>
          <w:spacing w:val="-2"/>
          <w:szCs w:val="22"/>
        </w:rPr>
      </w:pPr>
    </w:p>
    <w:p w:rsidR="00110E8E" w:rsidRPr="00375DD6" w:rsidP="00110E8E" w14:paraId="0766AC5D" w14:textId="77777777">
      <w:pPr>
        <w:pStyle w:val="Heading1"/>
        <w:rPr>
          <w:rFonts w:ascii="Times New Roman" w:hAnsi="Times New Roman"/>
          <w:szCs w:val="22"/>
        </w:rPr>
      </w:pPr>
      <w:r w:rsidRPr="00375DD6">
        <w:rPr>
          <w:rFonts w:ascii="Times New Roman" w:hAnsi="Times New Roman"/>
          <w:szCs w:val="22"/>
        </w:rPr>
        <w:t>INTRODUCTION</w:t>
      </w:r>
    </w:p>
    <w:p w:rsidR="00110E8E" w:rsidRPr="00375DD6" w:rsidP="00110E8E" w14:paraId="08EF245C" w14:textId="511364DE">
      <w:pPr>
        <w:numPr>
          <w:ilvl w:val="0"/>
          <w:numId w:val="1"/>
        </w:numPr>
        <w:tabs>
          <w:tab w:val="clear" w:pos="1080"/>
        </w:tabs>
        <w:spacing w:after="120"/>
        <w:rPr>
          <w:szCs w:val="22"/>
        </w:rPr>
      </w:pPr>
      <w:r w:rsidRPr="00375DD6">
        <w:rPr>
          <w:szCs w:val="22"/>
        </w:rPr>
        <w:t xml:space="preserve">In this Declaratory Ruling (Declaratory Ruling), </w:t>
      </w:r>
      <w:r w:rsidRPr="00375DD6">
        <w:rPr>
          <w:spacing w:val="-2"/>
          <w:szCs w:val="22"/>
        </w:rPr>
        <w:t>the Media Bureau addresses the petition for declaratory ruling (Petition)</w:t>
      </w:r>
      <w:r>
        <w:rPr>
          <w:spacing w:val="-2"/>
          <w:szCs w:val="22"/>
          <w:vertAlign w:val="superscript"/>
        </w:rPr>
        <w:footnoteReference w:id="3"/>
      </w:r>
      <w:r w:rsidRPr="00375DD6">
        <w:rPr>
          <w:spacing w:val="-2"/>
          <w:szCs w:val="22"/>
        </w:rPr>
        <w:t xml:space="preserve"> filed by </w:t>
      </w:r>
      <w:r w:rsidRPr="00375DD6" w:rsidR="00696DD7">
        <w:rPr>
          <w:rFonts w:eastAsia="Calibri"/>
          <w:snapToGrid/>
          <w:kern w:val="0"/>
          <w:szCs w:val="22"/>
        </w:rPr>
        <w:t>Spanish</w:t>
      </w:r>
      <w:r w:rsidRPr="00375DD6">
        <w:rPr>
          <w:snapToGrid/>
          <w:kern w:val="0"/>
          <w:szCs w:val="22"/>
        </w:rPr>
        <w:t xml:space="preserve"> </w:t>
      </w:r>
      <w:r w:rsidRPr="00375DD6" w:rsidR="00696DD7">
        <w:rPr>
          <w:rFonts w:eastAsia="Calibri"/>
          <w:snapToGrid/>
          <w:kern w:val="0"/>
          <w:szCs w:val="22"/>
        </w:rPr>
        <w:t>Broadcasting</w:t>
      </w:r>
      <w:r w:rsidRPr="00375DD6">
        <w:rPr>
          <w:rFonts w:eastAsia="Calibri"/>
          <w:snapToGrid/>
          <w:kern w:val="0"/>
          <w:szCs w:val="22"/>
        </w:rPr>
        <w:t xml:space="preserve"> </w:t>
      </w:r>
      <w:r w:rsidRPr="00375DD6" w:rsidR="00696DD7">
        <w:rPr>
          <w:rFonts w:eastAsia="Calibri"/>
          <w:snapToGrid/>
          <w:kern w:val="0"/>
          <w:szCs w:val="22"/>
        </w:rPr>
        <w:t>System, Inc</w:t>
      </w:r>
      <w:r w:rsidRPr="00375DD6">
        <w:rPr>
          <w:snapToGrid/>
          <w:kern w:val="0"/>
          <w:szCs w:val="22"/>
        </w:rPr>
        <w:t>. (</w:t>
      </w:r>
      <w:r w:rsidRPr="00375DD6" w:rsidR="00696DD7">
        <w:rPr>
          <w:snapToGrid/>
          <w:kern w:val="0"/>
          <w:szCs w:val="22"/>
        </w:rPr>
        <w:t>SBS</w:t>
      </w:r>
      <w:r w:rsidRPr="00375DD6">
        <w:rPr>
          <w:snapToGrid/>
          <w:kern w:val="0"/>
          <w:szCs w:val="22"/>
        </w:rPr>
        <w:t>).</w:t>
      </w:r>
      <w:r>
        <w:rPr>
          <w:rStyle w:val="FootnoteReference"/>
          <w:kern w:val="0"/>
          <w:sz w:val="22"/>
          <w:szCs w:val="22"/>
        </w:rPr>
        <w:footnoteReference w:id="4"/>
      </w:r>
      <w:r w:rsidRPr="00375DD6">
        <w:rPr>
          <w:spacing w:val="-2"/>
          <w:szCs w:val="22"/>
        </w:rPr>
        <w:t xml:space="preserve">  The Petition asks the Commission to exercise its discretion to permit </w:t>
      </w:r>
      <w:r w:rsidRPr="00375DD6" w:rsidR="00696DD7">
        <w:rPr>
          <w:spacing w:val="-2"/>
          <w:szCs w:val="22"/>
        </w:rPr>
        <w:t>SBS</w:t>
      </w:r>
      <w:r w:rsidRPr="00375DD6">
        <w:rPr>
          <w:spacing w:val="-2"/>
          <w:szCs w:val="22"/>
        </w:rPr>
        <w:t xml:space="preserve"> to exceed the 25% benchmark for </w:t>
      </w:r>
      <w:r w:rsidR="00587A80">
        <w:rPr>
          <w:spacing w:val="-2"/>
          <w:szCs w:val="22"/>
        </w:rPr>
        <w:t xml:space="preserve">equity </w:t>
      </w:r>
      <w:r w:rsidRPr="00375DD6">
        <w:rPr>
          <w:spacing w:val="-2"/>
          <w:szCs w:val="22"/>
        </w:rPr>
        <w:t>investment set out in section 310(b)(4) of the Communications Act of 1934, as amended (the Act)</w:t>
      </w:r>
      <w:r w:rsidR="006B055D">
        <w:rPr>
          <w:spacing w:val="-2"/>
          <w:szCs w:val="22"/>
        </w:rPr>
        <w:t>,</w:t>
      </w:r>
      <w:r>
        <w:rPr>
          <w:spacing w:val="-2"/>
          <w:szCs w:val="22"/>
          <w:vertAlign w:val="superscript"/>
        </w:rPr>
        <w:footnoteReference w:id="5"/>
      </w:r>
      <w:r w:rsidRPr="00375DD6">
        <w:rPr>
          <w:spacing w:val="-2"/>
          <w:szCs w:val="22"/>
        </w:rPr>
        <w:t xml:space="preserve"> and sections 1.5000 </w:t>
      </w:r>
      <w:r w:rsidRPr="00375DD6">
        <w:rPr>
          <w:i/>
          <w:iCs/>
          <w:spacing w:val="-2"/>
          <w:szCs w:val="22"/>
        </w:rPr>
        <w:t>et seq.</w:t>
      </w:r>
      <w:r w:rsidRPr="00375DD6">
        <w:rPr>
          <w:spacing w:val="-2"/>
          <w:szCs w:val="22"/>
        </w:rPr>
        <w:t xml:space="preserve"> of the Commission’s rules (Rules).</w:t>
      </w:r>
      <w:r>
        <w:rPr>
          <w:rStyle w:val="FootnoteReference"/>
          <w:spacing w:val="-2"/>
          <w:sz w:val="22"/>
          <w:szCs w:val="22"/>
        </w:rPr>
        <w:footnoteReference w:id="6"/>
      </w:r>
      <w:r w:rsidRPr="00375DD6">
        <w:rPr>
          <w:spacing w:val="-2"/>
          <w:szCs w:val="22"/>
        </w:rPr>
        <w:t xml:space="preserve">  </w:t>
      </w:r>
      <w:r w:rsidRPr="00375DD6" w:rsidR="00500774">
        <w:rPr>
          <w:spacing w:val="-2"/>
          <w:szCs w:val="22"/>
        </w:rPr>
        <w:t xml:space="preserve">As discussed below, the Petition seeks authority for foreign </w:t>
      </w:r>
      <w:r w:rsidRPr="00375DD6" w:rsidR="00500774">
        <w:rPr>
          <w:spacing w:val="-2"/>
          <w:szCs w:val="22"/>
        </w:rPr>
        <w:t xml:space="preserve">investors to indirectly own up to 49.99% of SBS’s </w:t>
      </w:r>
      <w:r w:rsidRPr="00375DD6" w:rsidR="00500774">
        <w:rPr>
          <w:i/>
          <w:iCs/>
          <w:spacing w:val="-2"/>
          <w:szCs w:val="22"/>
        </w:rPr>
        <w:t>equity</w:t>
      </w:r>
      <w:r w:rsidRPr="00375DD6" w:rsidR="00500774">
        <w:rPr>
          <w:spacing w:val="-2"/>
          <w:szCs w:val="22"/>
        </w:rPr>
        <w:t xml:space="preserve"> in the aggregate.</w:t>
      </w:r>
      <w:r>
        <w:rPr>
          <w:rStyle w:val="FootnoteReference"/>
          <w:spacing w:val="-2"/>
          <w:sz w:val="22"/>
          <w:szCs w:val="22"/>
        </w:rPr>
        <w:footnoteReference w:id="7"/>
      </w:r>
      <w:r w:rsidRPr="00375DD6" w:rsidR="00500774">
        <w:rPr>
          <w:spacing w:val="-2"/>
          <w:szCs w:val="22"/>
        </w:rPr>
        <w:t xml:space="preserve">  The Petition does not seek specific or advance approval </w:t>
      </w:r>
      <w:r w:rsidRPr="00375DD6" w:rsidR="00957C35">
        <w:rPr>
          <w:spacing w:val="-2"/>
          <w:szCs w:val="22"/>
        </w:rPr>
        <w:t>f</w:t>
      </w:r>
      <w:r w:rsidRPr="00375DD6" w:rsidR="00500774">
        <w:rPr>
          <w:spacing w:val="-2"/>
          <w:szCs w:val="22"/>
        </w:rPr>
        <w:t>or any individual or entity</w:t>
      </w:r>
      <w:r w:rsidRPr="00375DD6">
        <w:rPr>
          <w:spacing w:val="-2"/>
          <w:szCs w:val="22"/>
        </w:rPr>
        <w:t>.</w:t>
      </w:r>
      <w:r>
        <w:rPr>
          <w:spacing w:val="-2"/>
          <w:szCs w:val="22"/>
          <w:vertAlign w:val="superscript"/>
        </w:rPr>
        <w:footnoteReference w:id="8"/>
      </w:r>
      <w:r w:rsidRPr="00375DD6">
        <w:rPr>
          <w:spacing w:val="-2"/>
          <w:szCs w:val="22"/>
        </w:rPr>
        <w:t xml:space="preserve">  No comments or oppositions were filed on the Petition.</w:t>
      </w:r>
      <w:r>
        <w:rPr>
          <w:rStyle w:val="FootnoteReference"/>
          <w:spacing w:val="-2"/>
          <w:sz w:val="22"/>
          <w:szCs w:val="22"/>
        </w:rPr>
        <w:footnoteReference w:id="9"/>
      </w:r>
      <w:r w:rsidRPr="00375DD6">
        <w:rPr>
          <w:spacing w:val="-2"/>
          <w:szCs w:val="22"/>
        </w:rPr>
        <w:t xml:space="preserve">  As discussed below, and consistent with the input we received from the </w:t>
      </w:r>
      <w:r w:rsidRPr="00375DD6" w:rsidR="00500774">
        <w:rPr>
          <w:spacing w:val="-2"/>
          <w:szCs w:val="22"/>
        </w:rPr>
        <w:t>National Telecommunications and Information Administration (NTIA) on behalf of the Committee for the Assessment of Foreign Participation in the United States Telecommunications Services Sector (Committee)</w:t>
      </w:r>
      <w:r w:rsidRPr="00375DD6">
        <w:rPr>
          <w:spacing w:val="-2"/>
          <w:szCs w:val="22"/>
        </w:rPr>
        <w:t>, we find that it will serve the public interest to grant the Petition, subject to the conditions specified below.</w:t>
      </w:r>
      <w:r>
        <w:rPr>
          <w:rStyle w:val="FootnoteReference"/>
          <w:spacing w:val="-2"/>
          <w:szCs w:val="22"/>
        </w:rPr>
        <w:footnoteReference w:id="10"/>
      </w:r>
    </w:p>
    <w:p w:rsidR="00DF6842" w:rsidRPr="00375DD6" w:rsidP="00BD1294" w14:paraId="77706D95" w14:textId="40FD5C1E">
      <w:pPr>
        <w:pStyle w:val="Heading1"/>
        <w:rPr>
          <w:rFonts w:ascii="Times New Roman" w:hAnsi="Times New Roman"/>
          <w:szCs w:val="22"/>
        </w:rPr>
      </w:pPr>
      <w:r w:rsidRPr="00375DD6">
        <w:rPr>
          <w:rFonts w:ascii="Times New Roman" w:hAnsi="Times New Roman"/>
          <w:szCs w:val="22"/>
        </w:rPr>
        <w:t>background</w:t>
      </w:r>
    </w:p>
    <w:p w:rsidR="002B129A" w:rsidRPr="00375DD6" w:rsidP="002B129A" w14:paraId="0B405404" w14:textId="79F7A174">
      <w:pPr>
        <w:widowControl/>
        <w:numPr>
          <w:ilvl w:val="0"/>
          <w:numId w:val="1"/>
        </w:numPr>
        <w:tabs>
          <w:tab w:val="clear" w:pos="1080"/>
        </w:tabs>
        <w:spacing w:after="120"/>
        <w:rPr>
          <w:rFonts w:eastAsia="Calibri"/>
          <w:snapToGrid/>
          <w:color w:val="000000"/>
          <w:kern w:val="0"/>
          <w:szCs w:val="22"/>
        </w:rPr>
      </w:pPr>
      <w:r w:rsidRPr="00375DD6">
        <w:rPr>
          <w:rFonts w:eastAsia="Calibri"/>
          <w:i/>
          <w:iCs/>
          <w:snapToGrid/>
          <w:color w:val="000000"/>
          <w:kern w:val="0"/>
          <w:szCs w:val="22"/>
        </w:rPr>
        <w:t>SBS Settlement and Transactions</w:t>
      </w:r>
      <w:r w:rsidRPr="00375DD6">
        <w:rPr>
          <w:rFonts w:eastAsia="Calibri"/>
          <w:snapToGrid/>
          <w:color w:val="000000"/>
          <w:kern w:val="0"/>
          <w:szCs w:val="22"/>
        </w:rPr>
        <w:t xml:space="preserve">.  </w:t>
      </w:r>
      <w:r w:rsidRPr="00375DD6">
        <w:rPr>
          <w:rFonts w:eastAsia="Calibri"/>
          <w:snapToGrid/>
          <w:color w:val="000000"/>
          <w:kern w:val="0"/>
          <w:szCs w:val="22"/>
        </w:rPr>
        <w:t xml:space="preserve">The Petition submits that since November 2017, SBS has been involved in litigation concerning, among other </w:t>
      </w:r>
      <w:r w:rsidRPr="00375DD6" w:rsidR="006D1210">
        <w:rPr>
          <w:rFonts w:eastAsia="Calibri"/>
          <w:snapToGrid/>
          <w:color w:val="000000"/>
          <w:kern w:val="0"/>
          <w:szCs w:val="22"/>
        </w:rPr>
        <w:t>issues</w:t>
      </w:r>
      <w:r w:rsidRPr="00375DD6">
        <w:rPr>
          <w:rFonts w:eastAsia="Calibri"/>
          <w:snapToGrid/>
          <w:color w:val="000000"/>
          <w:kern w:val="0"/>
          <w:szCs w:val="22"/>
        </w:rPr>
        <w:t>, the application of the FCC’s foreign ownership rules and the validity of certain transactions involving its 10 ¾% Series B Cumulative Exchangeable Redeemable Preferred Stock (Series B Preferred stock).</w:t>
      </w:r>
      <w:r>
        <w:rPr>
          <w:rStyle w:val="FootnoteReference"/>
          <w:rFonts w:eastAsia="Calibri"/>
          <w:kern w:val="0"/>
          <w:sz w:val="22"/>
          <w:szCs w:val="22"/>
        </w:rPr>
        <w:footnoteReference w:id="11"/>
      </w:r>
      <w:r w:rsidRPr="00375DD6">
        <w:rPr>
          <w:rFonts w:eastAsia="Calibri"/>
          <w:snapToGrid/>
          <w:color w:val="000000"/>
          <w:kern w:val="0"/>
          <w:szCs w:val="22"/>
        </w:rPr>
        <w:t xml:space="preserve">  Petitioner notes that the litigation was settled on February 17, 2021</w:t>
      </w:r>
      <w:r w:rsidR="002E6369">
        <w:rPr>
          <w:rFonts w:eastAsia="Calibri"/>
          <w:snapToGrid/>
          <w:color w:val="000000"/>
          <w:kern w:val="0"/>
          <w:szCs w:val="22"/>
        </w:rPr>
        <w:t>,</w:t>
      </w:r>
      <w:r w:rsidRPr="00375DD6">
        <w:rPr>
          <w:rFonts w:eastAsia="Calibri"/>
          <w:snapToGrid/>
          <w:color w:val="000000"/>
          <w:kern w:val="0"/>
          <w:szCs w:val="22"/>
        </w:rPr>
        <w:t xml:space="preserve"> without disposition of the underlying issues.</w:t>
      </w:r>
      <w:r>
        <w:rPr>
          <w:rStyle w:val="FootnoteReference"/>
          <w:rFonts w:eastAsia="Calibri"/>
          <w:kern w:val="0"/>
          <w:sz w:val="22"/>
          <w:szCs w:val="22"/>
        </w:rPr>
        <w:footnoteReference w:id="12"/>
      </w:r>
      <w:r w:rsidRPr="00375DD6">
        <w:rPr>
          <w:rFonts w:eastAsia="Calibri"/>
          <w:snapToGrid/>
          <w:color w:val="000000"/>
          <w:kern w:val="0"/>
          <w:szCs w:val="22"/>
        </w:rPr>
        <w:t xml:space="preserve">  As a result of the settlement, Petitioner states that the plaintiffs have received or will receive a combination of cash and new shares of SBS’s Class A Common Stock.</w:t>
      </w:r>
      <w:r>
        <w:rPr>
          <w:rStyle w:val="FootnoteReference"/>
          <w:rFonts w:eastAsia="Calibri"/>
          <w:kern w:val="0"/>
          <w:sz w:val="22"/>
          <w:szCs w:val="22"/>
        </w:rPr>
        <w:footnoteReference w:id="13"/>
      </w:r>
      <w:r w:rsidRPr="00375DD6">
        <w:rPr>
          <w:rFonts w:eastAsia="Calibri"/>
          <w:snapToGrid/>
          <w:color w:val="000000"/>
          <w:kern w:val="0"/>
          <w:szCs w:val="22"/>
        </w:rPr>
        <w:t xml:space="preserve">  Since some of the settling parties are non-U.S. investment funds or include one </w:t>
      </w:r>
      <w:r w:rsidRPr="00375DD6" w:rsidR="005C0ED1">
        <w:rPr>
          <w:rFonts w:eastAsia="Calibri"/>
          <w:snapToGrid/>
          <w:color w:val="000000"/>
          <w:kern w:val="0"/>
          <w:szCs w:val="22"/>
        </w:rPr>
        <w:t xml:space="preserve">or </w:t>
      </w:r>
      <w:r w:rsidRPr="00375DD6">
        <w:rPr>
          <w:rFonts w:eastAsia="Calibri"/>
          <w:snapToGrid/>
          <w:color w:val="000000"/>
          <w:kern w:val="0"/>
          <w:szCs w:val="22"/>
        </w:rPr>
        <w:t xml:space="preserve">more interest holders who are not U.S. citizens or U.S.-organized business entities, Petitioner states that issuance of the total number of shares required to implement the settlement fully could increase SBS’s aggregate foreign ownership above the 25% threshold set forth in </w:t>
      </w:r>
      <w:r w:rsidRPr="00375DD6" w:rsidR="005C0ED1">
        <w:rPr>
          <w:rFonts w:eastAsia="Calibri"/>
          <w:snapToGrid/>
          <w:color w:val="000000"/>
          <w:kern w:val="0"/>
          <w:szCs w:val="22"/>
        </w:rPr>
        <w:t>s</w:t>
      </w:r>
      <w:r w:rsidRPr="00375DD6">
        <w:rPr>
          <w:rFonts w:eastAsia="Calibri"/>
          <w:snapToGrid/>
          <w:color w:val="000000"/>
          <w:kern w:val="0"/>
          <w:szCs w:val="22"/>
        </w:rPr>
        <w:t>ection 310(b) of the Act.</w:t>
      </w:r>
      <w:r>
        <w:rPr>
          <w:rStyle w:val="FootnoteReference"/>
          <w:rFonts w:eastAsia="Calibri"/>
          <w:kern w:val="0"/>
          <w:sz w:val="22"/>
          <w:szCs w:val="22"/>
        </w:rPr>
        <w:footnoteReference w:id="14"/>
      </w:r>
      <w:r w:rsidRPr="00375DD6">
        <w:rPr>
          <w:rFonts w:eastAsia="Calibri"/>
          <w:snapToGrid/>
          <w:color w:val="000000"/>
          <w:kern w:val="0"/>
          <w:szCs w:val="22"/>
        </w:rPr>
        <w:t xml:space="preserve">  SBS seeks the Commission’s approval for non-U.S. entities or individuals to hold up to 49.99% of its </w:t>
      </w:r>
      <w:r w:rsidRPr="006B055D">
        <w:rPr>
          <w:rFonts w:eastAsia="Calibri"/>
          <w:snapToGrid/>
          <w:color w:val="000000"/>
          <w:kern w:val="0"/>
          <w:szCs w:val="22"/>
        </w:rPr>
        <w:t>equity</w:t>
      </w:r>
      <w:r w:rsidRPr="00375DD6">
        <w:rPr>
          <w:rFonts w:eastAsia="Calibri"/>
          <w:snapToGrid/>
          <w:color w:val="000000"/>
          <w:kern w:val="0"/>
          <w:szCs w:val="22"/>
        </w:rPr>
        <w:t xml:space="preserve"> in the aggregate.</w:t>
      </w:r>
      <w:r>
        <w:rPr>
          <w:rStyle w:val="FootnoteReference"/>
          <w:rFonts w:eastAsia="Calibri"/>
          <w:kern w:val="0"/>
          <w:sz w:val="22"/>
          <w:szCs w:val="22"/>
        </w:rPr>
        <w:footnoteReference w:id="15"/>
      </w:r>
    </w:p>
    <w:p w:rsidR="002B129A" w:rsidRPr="00375DD6" w:rsidP="002B129A" w14:paraId="5AF6539C" w14:textId="68C7C1DC">
      <w:pPr>
        <w:widowControl/>
        <w:numPr>
          <w:ilvl w:val="0"/>
          <w:numId w:val="1"/>
        </w:numPr>
        <w:tabs>
          <w:tab w:val="clear" w:pos="1080"/>
        </w:tabs>
        <w:spacing w:after="120"/>
        <w:rPr>
          <w:rFonts w:eastAsia="Calibri"/>
          <w:snapToGrid/>
          <w:color w:val="000000"/>
          <w:kern w:val="0"/>
          <w:szCs w:val="22"/>
        </w:rPr>
      </w:pPr>
      <w:r w:rsidRPr="00375DD6">
        <w:rPr>
          <w:i/>
          <w:iCs/>
          <w:szCs w:val="22"/>
        </w:rPr>
        <w:t>Corporate Structure</w:t>
      </w:r>
      <w:r w:rsidRPr="00375DD6">
        <w:rPr>
          <w:szCs w:val="22"/>
        </w:rPr>
        <w:t xml:space="preserve">.  The Petition lays out in detail the proposed ownership structure of SBS.  Following the completion of the transactions contemplated by the settlement and this Petition, SBS would have three classes of common stock outstanding </w:t>
      </w:r>
      <w:r w:rsidRPr="00375DD6">
        <w:rPr>
          <w:rFonts w:eastAsiaTheme="minorHAnsi"/>
          <w:snapToGrid/>
          <w:szCs w:val="22"/>
        </w:rPr>
        <w:t>— Class A Common Stock, Class B Common Stock, and Series C Convertible Preferred Stock (collectively, SBS’s Stock).</w:t>
      </w:r>
      <w:r>
        <w:rPr>
          <w:rStyle w:val="FootnoteReference"/>
          <w:rFonts w:eastAsiaTheme="minorHAnsi"/>
          <w:kern w:val="0"/>
          <w:sz w:val="22"/>
          <w:szCs w:val="22"/>
        </w:rPr>
        <w:footnoteReference w:id="16"/>
      </w:r>
      <w:r w:rsidRPr="00375DD6">
        <w:rPr>
          <w:rFonts w:eastAsiaTheme="minorHAnsi"/>
          <w:snapToGrid/>
          <w:szCs w:val="22"/>
        </w:rPr>
        <w:t xml:space="preserve">  Raúl </w:t>
      </w:r>
      <w:r w:rsidRPr="00375DD6">
        <w:rPr>
          <w:rFonts w:eastAsiaTheme="minorHAnsi"/>
          <w:snapToGrid/>
          <w:szCs w:val="22"/>
        </w:rPr>
        <w:t>Alarcón</w:t>
      </w:r>
      <w:r w:rsidRPr="00375DD6">
        <w:rPr>
          <w:rFonts w:eastAsiaTheme="minorHAnsi"/>
          <w:snapToGrid/>
          <w:szCs w:val="22"/>
        </w:rPr>
        <w:t>, a United States citizen, is the only individual or entity that would hold an attributable interest in SBS.</w:t>
      </w:r>
      <w:r>
        <w:rPr>
          <w:rStyle w:val="FootnoteReference"/>
          <w:rFonts w:eastAsiaTheme="minorHAnsi"/>
          <w:kern w:val="0"/>
          <w:sz w:val="22"/>
          <w:szCs w:val="22"/>
        </w:rPr>
        <w:footnoteReference w:id="17"/>
      </w:r>
      <w:r w:rsidRPr="00375DD6">
        <w:rPr>
          <w:rFonts w:eastAsiaTheme="minorHAnsi"/>
          <w:snapToGrid/>
          <w:szCs w:val="22"/>
        </w:rPr>
        <w:t xml:space="preserve">   Mr. </w:t>
      </w:r>
      <w:r w:rsidRPr="00375DD6">
        <w:rPr>
          <w:rFonts w:eastAsiaTheme="minorHAnsi"/>
          <w:snapToGrid/>
          <w:szCs w:val="22"/>
        </w:rPr>
        <w:t>Alarcón</w:t>
      </w:r>
      <w:r w:rsidRPr="00375DD6">
        <w:rPr>
          <w:rFonts w:eastAsiaTheme="minorHAnsi"/>
          <w:snapToGrid/>
          <w:szCs w:val="22"/>
        </w:rPr>
        <w:t xml:space="preserve"> would hold an approximately 80% voting interest in SBS and a 34% equity interest in SBS based on his interests in SBS’s Stock.</w:t>
      </w:r>
      <w:r>
        <w:rPr>
          <w:rStyle w:val="FootnoteReference"/>
          <w:rFonts w:eastAsiaTheme="minorHAnsi"/>
          <w:kern w:val="0"/>
          <w:sz w:val="22"/>
          <w:szCs w:val="22"/>
        </w:rPr>
        <w:footnoteReference w:id="18"/>
      </w:r>
      <w:r w:rsidRPr="00375DD6">
        <w:rPr>
          <w:rFonts w:eastAsiaTheme="minorHAnsi"/>
          <w:snapToGrid/>
          <w:szCs w:val="22"/>
        </w:rPr>
        <w:t xml:space="preserve">  The remainder of SBS’s stock would be held by various domestic and </w:t>
      </w:r>
      <w:r w:rsidRPr="00375DD6">
        <w:rPr>
          <w:rFonts w:eastAsiaTheme="minorHAnsi"/>
          <w:snapToGrid/>
          <w:szCs w:val="22"/>
        </w:rPr>
        <w:t>foreign investors.</w:t>
      </w:r>
      <w:r>
        <w:rPr>
          <w:rStyle w:val="FootnoteReference"/>
          <w:rFonts w:eastAsiaTheme="minorHAnsi"/>
          <w:kern w:val="0"/>
          <w:sz w:val="22"/>
          <w:szCs w:val="22"/>
        </w:rPr>
        <w:footnoteReference w:id="19"/>
      </w:r>
      <w:r w:rsidRPr="00375DD6" w:rsidR="00483CF5">
        <w:rPr>
          <w:spacing w:val="-2"/>
          <w:szCs w:val="22"/>
        </w:rPr>
        <w:t xml:space="preserve">  No foreign </w:t>
      </w:r>
      <w:r w:rsidR="007869A7">
        <w:rPr>
          <w:spacing w:val="-2"/>
          <w:szCs w:val="22"/>
        </w:rPr>
        <w:t>individual or entity</w:t>
      </w:r>
      <w:r w:rsidRPr="00375DD6" w:rsidR="007869A7">
        <w:rPr>
          <w:spacing w:val="-2"/>
          <w:szCs w:val="22"/>
        </w:rPr>
        <w:t xml:space="preserve"> </w:t>
      </w:r>
      <w:r w:rsidRPr="00375DD6" w:rsidR="00483CF5">
        <w:rPr>
          <w:spacing w:val="-2"/>
          <w:szCs w:val="22"/>
        </w:rPr>
        <w:t>would hold more than a 5% voting or equity interest in SBS.</w:t>
      </w:r>
      <w:r>
        <w:rPr>
          <w:rStyle w:val="FootnoteReference"/>
          <w:spacing w:val="-2"/>
          <w:sz w:val="22"/>
          <w:szCs w:val="22"/>
        </w:rPr>
        <w:footnoteReference w:id="20"/>
      </w:r>
      <w:r w:rsidRPr="00375DD6" w:rsidR="00483CF5">
        <w:rPr>
          <w:spacing w:val="-2"/>
          <w:szCs w:val="22"/>
        </w:rPr>
        <w:t xml:space="preserve">  </w:t>
      </w:r>
    </w:p>
    <w:p w:rsidR="00DF6842" w:rsidRPr="00375DD6" w:rsidP="002B129A" w14:paraId="08943012" w14:textId="10E899F5">
      <w:pPr>
        <w:pStyle w:val="ParaNum"/>
        <w:rPr>
          <w:snapToGrid/>
          <w:kern w:val="0"/>
          <w:szCs w:val="22"/>
        </w:rPr>
      </w:pPr>
      <w:r w:rsidRPr="00375DD6">
        <w:rPr>
          <w:i/>
          <w:iCs/>
          <w:snapToGrid/>
          <w:kern w:val="0"/>
          <w:szCs w:val="22"/>
        </w:rPr>
        <w:t xml:space="preserve">Public Interest Showing.  </w:t>
      </w:r>
      <w:r w:rsidRPr="00375DD6" w:rsidR="00C81443">
        <w:rPr>
          <w:szCs w:val="22"/>
        </w:rPr>
        <w:t>SBS</w:t>
      </w:r>
      <w:r w:rsidRPr="00375DD6">
        <w:rPr>
          <w:snapToGrid/>
          <w:kern w:val="0"/>
          <w:szCs w:val="22"/>
        </w:rPr>
        <w:t xml:space="preserve"> contends that granting the Petition is in the public interest because it </w:t>
      </w:r>
      <w:r w:rsidRPr="00375DD6" w:rsidR="003A5DB6">
        <w:rPr>
          <w:szCs w:val="22"/>
        </w:rPr>
        <w:t>would</w:t>
      </w:r>
      <w:r w:rsidRPr="00375DD6">
        <w:rPr>
          <w:szCs w:val="22"/>
        </w:rPr>
        <w:t xml:space="preserve">, </w:t>
      </w:r>
      <w:r w:rsidRPr="00375DD6">
        <w:rPr>
          <w:i/>
          <w:iCs/>
          <w:szCs w:val="22"/>
        </w:rPr>
        <w:t>inter alia</w:t>
      </w:r>
      <w:r w:rsidRPr="00375DD6">
        <w:rPr>
          <w:szCs w:val="22"/>
        </w:rPr>
        <w:t>, further the Commission’s goal</w:t>
      </w:r>
      <w:r w:rsidRPr="00375DD6" w:rsidR="00477C0B">
        <w:rPr>
          <w:szCs w:val="22"/>
        </w:rPr>
        <w:t>s</w:t>
      </w:r>
      <w:r w:rsidRPr="00375DD6">
        <w:rPr>
          <w:szCs w:val="22"/>
        </w:rPr>
        <w:t xml:space="preserve"> </w:t>
      </w:r>
      <w:r w:rsidRPr="00375DD6" w:rsidR="008D77B0">
        <w:rPr>
          <w:snapToGrid/>
          <w:kern w:val="0"/>
          <w:szCs w:val="22"/>
        </w:rPr>
        <w:t xml:space="preserve">of </w:t>
      </w:r>
      <w:r w:rsidRPr="00375DD6">
        <w:rPr>
          <w:szCs w:val="22"/>
        </w:rPr>
        <w:t>encouraging foreign investment in the broadcast industry</w:t>
      </w:r>
      <w:r w:rsidRPr="00375DD6" w:rsidR="008D77B0">
        <w:rPr>
          <w:szCs w:val="22"/>
        </w:rPr>
        <w:t xml:space="preserve"> and</w:t>
      </w:r>
      <w:r w:rsidRPr="00375DD6">
        <w:rPr>
          <w:szCs w:val="22"/>
        </w:rPr>
        <w:t xml:space="preserve"> promot</w:t>
      </w:r>
      <w:r w:rsidRPr="00375DD6" w:rsidR="008D77B0">
        <w:rPr>
          <w:szCs w:val="22"/>
        </w:rPr>
        <w:t>ing</w:t>
      </w:r>
      <w:r w:rsidRPr="00375DD6">
        <w:rPr>
          <w:szCs w:val="22"/>
        </w:rPr>
        <w:t xml:space="preserve"> regulatory flexibility</w:t>
      </w:r>
      <w:r w:rsidRPr="00375DD6">
        <w:rPr>
          <w:snapToGrid/>
          <w:kern w:val="0"/>
          <w:szCs w:val="22"/>
        </w:rPr>
        <w:t>.</w:t>
      </w:r>
      <w:r>
        <w:rPr>
          <w:rStyle w:val="FootnoteReference"/>
          <w:kern w:val="0"/>
          <w:sz w:val="22"/>
          <w:szCs w:val="22"/>
        </w:rPr>
        <w:footnoteReference w:id="21"/>
      </w:r>
      <w:r w:rsidRPr="00375DD6">
        <w:rPr>
          <w:snapToGrid/>
          <w:kern w:val="0"/>
          <w:szCs w:val="22"/>
        </w:rPr>
        <w:t xml:space="preserve">  </w:t>
      </w:r>
      <w:r w:rsidRPr="00375DD6" w:rsidR="008D77B0">
        <w:rPr>
          <w:snapToGrid/>
          <w:kern w:val="0"/>
          <w:szCs w:val="22"/>
        </w:rPr>
        <w:t xml:space="preserve">SBS also asserts that approval of the Petition </w:t>
      </w:r>
      <w:r w:rsidRPr="00375DD6" w:rsidR="0078363B">
        <w:rPr>
          <w:snapToGrid/>
          <w:kern w:val="0"/>
          <w:szCs w:val="22"/>
        </w:rPr>
        <w:t>would</w:t>
      </w:r>
      <w:r w:rsidRPr="00375DD6" w:rsidR="008D77B0">
        <w:rPr>
          <w:snapToGrid/>
          <w:kern w:val="0"/>
          <w:szCs w:val="22"/>
        </w:rPr>
        <w:t xml:space="preserve"> serve the public interest by “affirming the ability of SBS and the proposed new shareholders to settle a long-standing legal dispute,” which settlement comes in connection with a “timely refinancing of SBS’s debt that has placed it on a firmer financial footing and poised for growth as the U.S. economy recovers.”</w:t>
      </w:r>
      <w:r>
        <w:rPr>
          <w:rStyle w:val="FootnoteReference"/>
          <w:snapToGrid/>
          <w:kern w:val="0"/>
          <w:sz w:val="22"/>
          <w:szCs w:val="22"/>
        </w:rPr>
        <w:footnoteReference w:id="22"/>
      </w:r>
      <w:r w:rsidRPr="00375DD6" w:rsidR="008D77B0">
        <w:rPr>
          <w:snapToGrid/>
          <w:kern w:val="0"/>
          <w:szCs w:val="22"/>
        </w:rPr>
        <w:t xml:space="preserve">  </w:t>
      </w:r>
      <w:r w:rsidRPr="00375DD6">
        <w:rPr>
          <w:snapToGrid/>
          <w:kern w:val="0"/>
          <w:szCs w:val="22"/>
        </w:rPr>
        <w:t xml:space="preserve">Furthermore, </w:t>
      </w:r>
      <w:r w:rsidRPr="00375DD6" w:rsidR="008D77B0">
        <w:rPr>
          <w:snapToGrid/>
          <w:kern w:val="0"/>
          <w:szCs w:val="22"/>
        </w:rPr>
        <w:t>SBS</w:t>
      </w:r>
      <w:r w:rsidRPr="00375DD6">
        <w:rPr>
          <w:snapToGrid/>
          <w:kern w:val="0"/>
          <w:szCs w:val="22"/>
        </w:rPr>
        <w:t xml:space="preserve"> states that a grant </w:t>
      </w:r>
      <w:r w:rsidRPr="00375DD6" w:rsidR="0078363B">
        <w:rPr>
          <w:snapToGrid/>
          <w:kern w:val="0"/>
          <w:szCs w:val="22"/>
        </w:rPr>
        <w:t>would</w:t>
      </w:r>
      <w:r w:rsidRPr="00375DD6">
        <w:rPr>
          <w:snapToGrid/>
          <w:kern w:val="0"/>
          <w:szCs w:val="22"/>
        </w:rPr>
        <w:t xml:space="preserve"> not pose any national security</w:t>
      </w:r>
      <w:r w:rsidRPr="00375DD6" w:rsidR="008D77B0">
        <w:rPr>
          <w:snapToGrid/>
          <w:kern w:val="0"/>
          <w:szCs w:val="22"/>
        </w:rPr>
        <w:t>, trade policy,</w:t>
      </w:r>
      <w:r w:rsidRPr="00375DD6">
        <w:rPr>
          <w:snapToGrid/>
          <w:kern w:val="0"/>
          <w:szCs w:val="22"/>
        </w:rPr>
        <w:t xml:space="preserve"> or law enforcement concerns</w:t>
      </w:r>
      <w:r w:rsidRPr="00375DD6" w:rsidR="008D77B0">
        <w:rPr>
          <w:snapToGrid/>
          <w:kern w:val="0"/>
          <w:szCs w:val="22"/>
        </w:rPr>
        <w:t xml:space="preserve">, noting that </w:t>
      </w:r>
      <w:r w:rsidRPr="00375DD6" w:rsidR="008D77B0">
        <w:rPr>
          <w:rFonts w:eastAsiaTheme="minorHAnsi"/>
          <w:snapToGrid/>
          <w:kern w:val="0"/>
          <w:szCs w:val="22"/>
        </w:rPr>
        <w:t xml:space="preserve">Raúl </w:t>
      </w:r>
      <w:r w:rsidRPr="00375DD6" w:rsidR="008D77B0">
        <w:rPr>
          <w:rFonts w:eastAsiaTheme="minorHAnsi"/>
          <w:snapToGrid/>
          <w:kern w:val="0"/>
          <w:szCs w:val="22"/>
        </w:rPr>
        <w:t>Alarcón</w:t>
      </w:r>
      <w:r w:rsidRPr="00375DD6" w:rsidR="008D77B0">
        <w:rPr>
          <w:rFonts w:eastAsiaTheme="minorHAnsi"/>
          <w:snapToGrid/>
          <w:kern w:val="0"/>
          <w:szCs w:val="22"/>
        </w:rPr>
        <w:t xml:space="preserve">, a United States citizen, has long held over 75% of SBS’s voting power, and will continue to </w:t>
      </w:r>
      <w:r w:rsidR="006B055D">
        <w:rPr>
          <w:rFonts w:eastAsiaTheme="minorHAnsi"/>
          <w:snapToGrid/>
          <w:kern w:val="0"/>
          <w:szCs w:val="22"/>
        </w:rPr>
        <w:t>do so</w:t>
      </w:r>
      <w:r w:rsidRPr="00375DD6" w:rsidR="008D77B0">
        <w:rPr>
          <w:rFonts w:eastAsiaTheme="minorHAnsi"/>
          <w:snapToGrid/>
          <w:kern w:val="0"/>
          <w:szCs w:val="22"/>
        </w:rPr>
        <w:t xml:space="preserve"> following</w:t>
      </w:r>
      <w:r w:rsidRPr="00375DD6" w:rsidR="0078363B">
        <w:rPr>
          <w:rFonts w:eastAsiaTheme="minorHAnsi"/>
          <w:snapToGrid/>
          <w:kern w:val="0"/>
          <w:szCs w:val="22"/>
        </w:rPr>
        <w:t xml:space="preserve"> the</w:t>
      </w:r>
      <w:r w:rsidRPr="00375DD6" w:rsidR="008D77B0">
        <w:rPr>
          <w:rFonts w:eastAsiaTheme="minorHAnsi"/>
          <w:snapToGrid/>
          <w:kern w:val="0"/>
          <w:szCs w:val="22"/>
        </w:rPr>
        <w:t xml:space="preserve"> issuance of all Class A Common shares to be issued in exchange for Series B Preferred holdings.</w:t>
      </w:r>
      <w:r>
        <w:rPr>
          <w:rStyle w:val="FootnoteReference"/>
          <w:rFonts w:eastAsiaTheme="minorHAnsi"/>
          <w:snapToGrid/>
          <w:kern w:val="0"/>
          <w:szCs w:val="22"/>
        </w:rPr>
        <w:footnoteReference w:id="23"/>
      </w:r>
      <w:r w:rsidRPr="00375DD6" w:rsidR="008D77B0">
        <w:rPr>
          <w:rFonts w:eastAsiaTheme="minorHAnsi"/>
          <w:snapToGrid/>
          <w:kern w:val="0"/>
          <w:szCs w:val="22"/>
        </w:rPr>
        <w:t xml:space="preserve">  Moreover, SBS contends that the parties acquiring new common stock in SBS are well-established investment companies, a mix of both Canadian and U.S. entities.</w:t>
      </w:r>
      <w:r>
        <w:rPr>
          <w:rStyle w:val="FootnoteReference"/>
          <w:rFonts w:eastAsiaTheme="minorHAnsi"/>
          <w:snapToGrid/>
          <w:kern w:val="0"/>
          <w:sz w:val="22"/>
          <w:szCs w:val="22"/>
        </w:rPr>
        <w:footnoteReference w:id="24"/>
      </w:r>
      <w:r w:rsidRPr="00375DD6" w:rsidR="008D77B0">
        <w:rPr>
          <w:rFonts w:eastAsiaTheme="minorHAnsi"/>
          <w:snapToGrid/>
          <w:kern w:val="0"/>
          <w:szCs w:val="22"/>
        </w:rPr>
        <w:t xml:space="preserve">  </w:t>
      </w:r>
    </w:p>
    <w:p w:rsidR="00DF6842" w:rsidRPr="00375DD6" w:rsidP="00DF6842" w14:paraId="3804E441" w14:textId="64C5ABA3">
      <w:pPr>
        <w:numPr>
          <w:ilvl w:val="0"/>
          <w:numId w:val="1"/>
        </w:numPr>
        <w:tabs>
          <w:tab w:val="clear" w:pos="1080"/>
        </w:tabs>
        <w:spacing w:after="120"/>
        <w:rPr>
          <w:szCs w:val="22"/>
        </w:rPr>
      </w:pPr>
      <w:r w:rsidRPr="00375DD6">
        <w:rPr>
          <w:i/>
          <w:szCs w:val="22"/>
        </w:rPr>
        <w:t xml:space="preserve">National Security, Law Enforcement, Foreign Policy and Trade Policy Review.  </w:t>
      </w:r>
      <w:r w:rsidRPr="00375DD6">
        <w:rPr>
          <w:szCs w:val="22"/>
        </w:rPr>
        <w:t xml:space="preserve">Pursuant to Commission practice, we referred the Petition to the relevant Executive Branch agencies for their review of any national security, law enforcement, foreign policy, or trade policy concerns related to the foreign ownership of </w:t>
      </w:r>
      <w:r w:rsidRPr="00375DD6" w:rsidR="00F902F1">
        <w:rPr>
          <w:szCs w:val="22"/>
        </w:rPr>
        <w:t>SBS</w:t>
      </w:r>
      <w:r w:rsidRPr="00375DD6">
        <w:rPr>
          <w:szCs w:val="22"/>
        </w:rPr>
        <w:t>.</w:t>
      </w:r>
      <w:r>
        <w:rPr>
          <w:szCs w:val="22"/>
          <w:vertAlign w:val="superscript"/>
        </w:rPr>
        <w:footnoteReference w:id="25"/>
      </w:r>
      <w:r w:rsidRPr="00375DD6">
        <w:rPr>
          <w:szCs w:val="22"/>
        </w:rPr>
        <w:t xml:space="preserve">  </w:t>
      </w:r>
      <w:r w:rsidRPr="00375DD6">
        <w:rPr>
          <w:iCs/>
          <w:szCs w:val="22"/>
        </w:rPr>
        <w:t xml:space="preserve">On </w:t>
      </w:r>
      <w:r w:rsidRPr="00375DD6" w:rsidR="00F902F1">
        <w:rPr>
          <w:iCs/>
          <w:szCs w:val="22"/>
        </w:rPr>
        <w:t>February</w:t>
      </w:r>
      <w:r w:rsidRPr="00375DD6">
        <w:rPr>
          <w:iCs/>
          <w:szCs w:val="22"/>
        </w:rPr>
        <w:t xml:space="preserve"> 1</w:t>
      </w:r>
      <w:r w:rsidRPr="00375DD6" w:rsidR="00F902F1">
        <w:rPr>
          <w:iCs/>
          <w:szCs w:val="22"/>
        </w:rPr>
        <w:t>5</w:t>
      </w:r>
      <w:r w:rsidRPr="00375DD6">
        <w:rPr>
          <w:iCs/>
          <w:szCs w:val="22"/>
        </w:rPr>
        <w:t>, 202</w:t>
      </w:r>
      <w:r w:rsidRPr="00375DD6" w:rsidR="00F902F1">
        <w:rPr>
          <w:iCs/>
          <w:szCs w:val="22"/>
        </w:rPr>
        <w:t>2</w:t>
      </w:r>
      <w:r w:rsidRPr="00375DD6">
        <w:rPr>
          <w:iCs/>
          <w:szCs w:val="22"/>
        </w:rPr>
        <w:t xml:space="preserve">, </w:t>
      </w:r>
      <w:r w:rsidRPr="00375DD6">
        <w:rPr>
          <w:szCs w:val="22"/>
        </w:rPr>
        <w:t>the Committee notified the Commission that it was reviewing the Petition for any national security and law enforcement concerns that may be raised by foreign participation in the United States telecommunications services sector and requested that the Commission defer action on the Petition.</w:t>
      </w:r>
      <w:r>
        <w:rPr>
          <w:rStyle w:val="FootnoteReference"/>
          <w:sz w:val="22"/>
          <w:szCs w:val="22"/>
        </w:rPr>
        <w:footnoteReference w:id="26"/>
      </w:r>
      <w:r w:rsidRPr="00375DD6">
        <w:rPr>
          <w:szCs w:val="22"/>
        </w:rPr>
        <w:t xml:space="preserve">  Subsequently, on </w:t>
      </w:r>
      <w:r w:rsidRPr="00375DD6" w:rsidR="00F902F1">
        <w:rPr>
          <w:szCs w:val="22"/>
        </w:rPr>
        <w:t>July 29</w:t>
      </w:r>
      <w:r w:rsidRPr="00375DD6">
        <w:rPr>
          <w:szCs w:val="22"/>
        </w:rPr>
        <w:t>, 202</w:t>
      </w:r>
      <w:r w:rsidRPr="00375DD6" w:rsidR="00F902F1">
        <w:rPr>
          <w:szCs w:val="22"/>
        </w:rPr>
        <w:t>2</w:t>
      </w:r>
      <w:r w:rsidRPr="00375DD6">
        <w:rPr>
          <w:szCs w:val="22"/>
        </w:rPr>
        <w:t xml:space="preserve">, the Committee notified the Commission that </w:t>
      </w:r>
      <w:r w:rsidRPr="00375DD6" w:rsidR="00F902F1">
        <w:rPr>
          <w:szCs w:val="22"/>
        </w:rPr>
        <w:t>SBS</w:t>
      </w:r>
      <w:r w:rsidRPr="00375DD6">
        <w:rPr>
          <w:szCs w:val="22"/>
        </w:rPr>
        <w:t xml:space="preserve"> provided complete responses to the Committee’s initial questions and that it was conducting its</w:t>
      </w:r>
      <w:r w:rsidRPr="00375DD6" w:rsidR="00F902F1">
        <w:rPr>
          <w:szCs w:val="22"/>
        </w:rPr>
        <w:t xml:space="preserve"> </w:t>
      </w:r>
      <w:r w:rsidRPr="00375DD6">
        <w:rPr>
          <w:szCs w:val="22"/>
        </w:rPr>
        <w:t>review to assess whether granting the Petition would pose a risk to the national security or law enforcement interests of the United States.</w:t>
      </w:r>
      <w:r>
        <w:rPr>
          <w:rStyle w:val="FootnoteReference"/>
          <w:sz w:val="22"/>
          <w:szCs w:val="22"/>
        </w:rPr>
        <w:footnoteReference w:id="27"/>
      </w:r>
      <w:r w:rsidRPr="00375DD6">
        <w:rPr>
          <w:szCs w:val="22"/>
        </w:rPr>
        <w:t xml:space="preserve">  </w:t>
      </w:r>
      <w:r w:rsidRPr="00375DD6" w:rsidR="00046FD5">
        <w:rPr>
          <w:szCs w:val="22"/>
        </w:rPr>
        <w:t>On September 9, 2022, the Committee notified the Commission that SBS requested and received an extension of time to complete responses to questions posed by the Committee, and again notified the Commission o</w:t>
      </w:r>
      <w:r w:rsidRPr="00375DD6" w:rsidR="00477C0B">
        <w:rPr>
          <w:szCs w:val="22"/>
        </w:rPr>
        <w:t>f a further extension of time o</w:t>
      </w:r>
      <w:r w:rsidRPr="00375DD6" w:rsidR="00046FD5">
        <w:rPr>
          <w:szCs w:val="22"/>
        </w:rPr>
        <w:t xml:space="preserve">n September </w:t>
      </w:r>
      <w:r w:rsidRPr="00375DD6" w:rsidR="00046FD5">
        <w:rPr>
          <w:szCs w:val="22"/>
        </w:rPr>
        <w:t>30, 2022.</w:t>
      </w:r>
      <w:r>
        <w:rPr>
          <w:rStyle w:val="FootnoteReference"/>
          <w:sz w:val="22"/>
          <w:szCs w:val="22"/>
        </w:rPr>
        <w:footnoteReference w:id="28"/>
      </w:r>
      <w:r w:rsidRPr="00375DD6" w:rsidR="00046FD5">
        <w:rPr>
          <w:szCs w:val="22"/>
        </w:rPr>
        <w:t xml:space="preserve">  </w:t>
      </w:r>
      <w:r w:rsidRPr="00375DD6">
        <w:rPr>
          <w:szCs w:val="22"/>
        </w:rPr>
        <w:t xml:space="preserve">On December </w:t>
      </w:r>
      <w:r w:rsidRPr="00375DD6" w:rsidR="00046FD5">
        <w:rPr>
          <w:szCs w:val="22"/>
        </w:rPr>
        <w:t>8</w:t>
      </w:r>
      <w:r w:rsidRPr="00375DD6">
        <w:rPr>
          <w:szCs w:val="22"/>
        </w:rPr>
        <w:t>, 202</w:t>
      </w:r>
      <w:r w:rsidRPr="00375DD6" w:rsidR="00046FD5">
        <w:rPr>
          <w:szCs w:val="22"/>
        </w:rPr>
        <w:t>2</w:t>
      </w:r>
      <w:r w:rsidRPr="00375DD6">
        <w:rPr>
          <w:szCs w:val="22"/>
        </w:rPr>
        <w:t xml:space="preserve">, the NTIA submitted a </w:t>
      </w:r>
      <w:bookmarkStart w:id="3" w:name="_Hlk92375403"/>
      <w:r w:rsidRPr="00375DD6">
        <w:rPr>
          <w:szCs w:val="22"/>
        </w:rPr>
        <w:t>Petition to Adopt Conditions on behalf of the Committee (NTIA Petition)</w:t>
      </w:r>
      <w:bookmarkEnd w:id="3"/>
      <w:r w:rsidRPr="00375DD6">
        <w:rPr>
          <w:szCs w:val="22"/>
        </w:rPr>
        <w:t>.</w:t>
      </w:r>
      <w:r>
        <w:rPr>
          <w:rStyle w:val="FootnoteReference"/>
          <w:sz w:val="22"/>
          <w:szCs w:val="22"/>
        </w:rPr>
        <w:footnoteReference w:id="29"/>
      </w:r>
      <w:r w:rsidRPr="00375DD6">
        <w:rPr>
          <w:szCs w:val="22"/>
        </w:rPr>
        <w:t xml:space="preserve">  In this filing, the Committee advised the Commission that it has no objection to grant of this Petition, provided that the Commission condition its approval on the assurance of </w:t>
      </w:r>
      <w:r w:rsidRPr="00375DD6" w:rsidR="00046FD5">
        <w:rPr>
          <w:szCs w:val="22"/>
        </w:rPr>
        <w:t>SBS</w:t>
      </w:r>
      <w:r w:rsidRPr="00375DD6">
        <w:rPr>
          <w:szCs w:val="22"/>
        </w:rPr>
        <w:t xml:space="preserve"> that it will abide by the commitments and undertakings set forth in the 202</w:t>
      </w:r>
      <w:r w:rsidRPr="00375DD6" w:rsidR="00046FD5">
        <w:rPr>
          <w:szCs w:val="22"/>
        </w:rPr>
        <w:t>2</w:t>
      </w:r>
      <w:r w:rsidRPr="00375DD6">
        <w:rPr>
          <w:szCs w:val="22"/>
        </w:rPr>
        <w:t xml:space="preserve"> </w:t>
      </w:r>
      <w:r w:rsidRPr="00375DD6" w:rsidR="00046FD5">
        <w:rPr>
          <w:szCs w:val="22"/>
        </w:rPr>
        <w:t>SBS</w:t>
      </w:r>
      <w:r w:rsidRPr="00375DD6">
        <w:rPr>
          <w:szCs w:val="22"/>
        </w:rPr>
        <w:t>/DOJ Letter of Agreement.</w:t>
      </w:r>
      <w:r>
        <w:rPr>
          <w:rStyle w:val="FootnoteReference"/>
          <w:sz w:val="22"/>
          <w:szCs w:val="22"/>
        </w:rPr>
        <w:footnoteReference w:id="30"/>
      </w:r>
      <w:r w:rsidRPr="00375DD6">
        <w:rPr>
          <w:szCs w:val="22"/>
        </w:rPr>
        <w:t xml:space="preserve">  </w:t>
      </w:r>
    </w:p>
    <w:p w:rsidR="00DF6842" w:rsidRPr="00375DD6" w:rsidP="00DF6842" w14:paraId="2EB5508E" w14:textId="77777777">
      <w:pPr>
        <w:numPr>
          <w:ilvl w:val="0"/>
          <w:numId w:val="1"/>
        </w:numPr>
        <w:tabs>
          <w:tab w:val="clear" w:pos="1080"/>
        </w:tabs>
        <w:spacing w:after="120"/>
        <w:rPr>
          <w:szCs w:val="22"/>
        </w:rPr>
      </w:pPr>
      <w:r w:rsidRPr="00375DD6">
        <w:rPr>
          <w:i/>
          <w:iCs/>
          <w:szCs w:val="22"/>
        </w:rPr>
        <w:t>Standard of Review</w:t>
      </w:r>
      <w:r w:rsidRPr="00375DD6">
        <w:rPr>
          <w:szCs w:val="22"/>
        </w:rPr>
        <w:t xml:space="preserve">.  We </w:t>
      </w:r>
      <w:r w:rsidRPr="00375DD6">
        <w:rPr>
          <w:snapToGrid/>
          <w:kern w:val="0"/>
          <w:szCs w:val="22"/>
        </w:rPr>
        <w:t>review</w:t>
      </w:r>
      <w:r w:rsidRPr="00375DD6">
        <w:rPr>
          <w:szCs w:val="22"/>
        </w:rPr>
        <w:t xml:space="preserve"> the Petition under section 310(b)(4) of the Act, which states that “[n]o broadcast . . .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31"/>
      </w:r>
      <w:r w:rsidRPr="00375DD6">
        <w:rPr>
          <w:szCs w:val="22"/>
        </w:rPr>
        <w:t xml:space="preserve">  This section of the Act </w:t>
      </w:r>
      <w:r w:rsidRPr="00375DD6">
        <w:rPr>
          <w:snapToGrid/>
          <w:kern w:val="0"/>
          <w:szCs w:val="22"/>
        </w:rPr>
        <w:t>grants the Commission discretion to allow foreign investment in a licensee’s controlling U.S.-organized parent above 25 percent unless the Commission finds that the public interest would be served by refusing to permit such foreign investment.</w:t>
      </w:r>
      <w:r>
        <w:rPr>
          <w:rStyle w:val="FootnoteReference"/>
          <w:kern w:val="0"/>
          <w:sz w:val="22"/>
          <w:szCs w:val="22"/>
        </w:rPr>
        <w:footnoteReference w:id="32"/>
      </w:r>
      <w:r w:rsidRPr="00375DD6">
        <w:rPr>
          <w:snapToGrid/>
          <w:kern w:val="0"/>
          <w:szCs w:val="22"/>
        </w:rPr>
        <w:t xml:space="preserve">  </w:t>
      </w:r>
      <w:r w:rsidRPr="00375DD6">
        <w:rPr>
          <w:szCs w:val="22"/>
        </w:rPr>
        <w:t>In evaluating petitions relating to foreign ownership, the Commission affords appropriate deference to the expertise of the Executive Branch agencies on issues related to national security, law enforcement, foreign policy, and trade policy.</w:t>
      </w:r>
      <w:r>
        <w:rPr>
          <w:rStyle w:val="FootnoteReference"/>
          <w:sz w:val="22"/>
          <w:szCs w:val="22"/>
        </w:rPr>
        <w:footnoteReference w:id="33"/>
      </w:r>
    </w:p>
    <w:p w:rsidR="00DF6842" w:rsidRPr="00375DD6" w:rsidP="00DF6842" w14:paraId="7CE0213D" w14:textId="71C6D8E5">
      <w:pPr>
        <w:numPr>
          <w:ilvl w:val="0"/>
          <w:numId w:val="1"/>
        </w:numPr>
        <w:tabs>
          <w:tab w:val="clear" w:pos="1080"/>
        </w:tabs>
        <w:spacing w:after="120"/>
        <w:rPr>
          <w:szCs w:val="22"/>
        </w:rPr>
      </w:pPr>
      <w:r w:rsidRPr="00375DD6">
        <w:rPr>
          <w:szCs w:val="22"/>
        </w:rPr>
        <w:t xml:space="preserve">In the </w:t>
      </w:r>
      <w:r w:rsidRPr="00375DD6">
        <w:rPr>
          <w:i/>
          <w:iCs/>
          <w:szCs w:val="22"/>
        </w:rPr>
        <w:t>2016 Foreign Ownership Order</w:t>
      </w:r>
      <w:r w:rsidRPr="00375DD6">
        <w:rPr>
          <w:szCs w:val="22"/>
        </w:rPr>
        <w:t>, the Commission modified the broadcast licensee foreign ownership review process by extending the streamlined rules and procedures developed for review of foreign ownership of common carrier and certain aeronautical licensees under section 310(b)(4) to the broadcast context, with certain limited exceptions.</w:t>
      </w:r>
      <w:r>
        <w:rPr>
          <w:szCs w:val="22"/>
          <w:vertAlign w:val="superscript"/>
        </w:rPr>
        <w:footnoteReference w:id="34"/>
      </w:r>
      <w:r w:rsidRPr="00375DD6">
        <w:rPr>
          <w:szCs w:val="22"/>
        </w:rPr>
        <w:t xml:space="preserve">  The </w:t>
      </w:r>
      <w:r w:rsidRPr="00375DD6">
        <w:rPr>
          <w:i/>
          <w:szCs w:val="22"/>
        </w:rPr>
        <w:t xml:space="preserve">2016 Foreign Ownership Order </w:t>
      </w:r>
      <w:r w:rsidRPr="00375DD6">
        <w:rPr>
          <w:szCs w:val="22"/>
        </w:rPr>
        <w:t>expressly provides for processing of petitions requesting approval for up to and including 100% aggregate foreign voting and/or equity investment by unnamed and future foreign investors in the controlling U.S. parent of a broadcast licensee.</w:t>
      </w:r>
      <w:r>
        <w:rPr>
          <w:rStyle w:val="FootnoteReference"/>
          <w:sz w:val="22"/>
          <w:szCs w:val="22"/>
        </w:rPr>
        <w:footnoteReference w:id="35"/>
      </w:r>
      <w:r w:rsidRPr="00375DD6">
        <w:rPr>
          <w:szCs w:val="22"/>
        </w:rPr>
        <w:t xml:space="preserve">  To exercise in a meaningful way the discretion conferred by statute, the Commission must receive detailed information from the applicant sufficient for the Commission to make the public interest finding the statute requires.</w:t>
      </w:r>
      <w:r>
        <w:rPr>
          <w:rStyle w:val="FootnoteReference"/>
          <w:sz w:val="22"/>
          <w:szCs w:val="22"/>
        </w:rPr>
        <w:footnoteReference w:id="36"/>
      </w:r>
    </w:p>
    <w:p w:rsidR="00DF6842" w:rsidRPr="00375DD6" w:rsidP="00DF6842" w14:paraId="5BB6459F" w14:textId="77777777">
      <w:pPr>
        <w:pStyle w:val="Heading1"/>
        <w:tabs>
          <w:tab w:val="left" w:pos="720"/>
        </w:tabs>
        <w:rPr>
          <w:rFonts w:ascii="Times New Roman" w:hAnsi="Times New Roman"/>
          <w:szCs w:val="22"/>
        </w:rPr>
      </w:pPr>
      <w:r w:rsidRPr="00375DD6">
        <w:rPr>
          <w:rFonts w:ascii="Times New Roman" w:hAnsi="Times New Roman"/>
          <w:szCs w:val="22"/>
        </w:rPr>
        <w:t>Discussion</w:t>
      </w:r>
    </w:p>
    <w:p w:rsidR="00DF6842" w:rsidRPr="00375DD6" w:rsidP="00DF6842" w14:paraId="7A99DE5E" w14:textId="5DB1DF5C">
      <w:pPr>
        <w:numPr>
          <w:ilvl w:val="0"/>
          <w:numId w:val="1"/>
        </w:numPr>
        <w:tabs>
          <w:tab w:val="clear" w:pos="1080"/>
        </w:tabs>
        <w:spacing w:after="120"/>
        <w:rPr>
          <w:szCs w:val="22"/>
        </w:rPr>
      </w:pPr>
      <w:r w:rsidRPr="00375DD6">
        <w:rPr>
          <w:szCs w:val="22"/>
        </w:rPr>
        <w:t xml:space="preserve">We find </w:t>
      </w:r>
      <w:r w:rsidRPr="00375DD6">
        <w:rPr>
          <w:snapToGrid/>
          <w:kern w:val="0"/>
          <w:szCs w:val="22"/>
        </w:rPr>
        <w:t>that</w:t>
      </w:r>
      <w:r w:rsidRPr="00375DD6">
        <w:rPr>
          <w:szCs w:val="22"/>
        </w:rPr>
        <w:t xml:space="preserve"> the public interest is served by permitting foreign ownership of </w:t>
      </w:r>
      <w:r w:rsidRPr="00375DD6" w:rsidR="001130F4">
        <w:rPr>
          <w:szCs w:val="22"/>
        </w:rPr>
        <w:t>SBS</w:t>
      </w:r>
      <w:r w:rsidRPr="00375DD6">
        <w:rPr>
          <w:szCs w:val="22"/>
        </w:rPr>
        <w:t xml:space="preserve"> in excess of the 25% benchmark </w:t>
      </w:r>
      <w:r w:rsidR="002E6369">
        <w:rPr>
          <w:szCs w:val="22"/>
        </w:rPr>
        <w:t xml:space="preserve">for equity investment </w:t>
      </w:r>
      <w:r w:rsidRPr="00375DD6">
        <w:rPr>
          <w:szCs w:val="22"/>
        </w:rPr>
        <w:t xml:space="preserve">in section 310(b)(4) of the Act and grant the Petition </w:t>
      </w:r>
      <w:r w:rsidRPr="00375DD6">
        <w:rPr>
          <w:szCs w:val="22"/>
        </w:rPr>
        <w:t xml:space="preserve">subject to the conditions described below.  We also find that it is in the public interest to grant </w:t>
      </w:r>
      <w:r w:rsidRPr="00375DD6" w:rsidR="001130F4">
        <w:rPr>
          <w:szCs w:val="22"/>
        </w:rPr>
        <w:t>SBS’s</w:t>
      </w:r>
      <w:r w:rsidRPr="00375DD6">
        <w:rPr>
          <w:szCs w:val="22"/>
        </w:rPr>
        <w:t xml:space="preserve"> request to permit </w:t>
      </w:r>
      <w:r w:rsidRPr="00375DD6" w:rsidR="001130F4">
        <w:rPr>
          <w:spacing w:val="-2"/>
          <w:szCs w:val="22"/>
        </w:rPr>
        <w:t xml:space="preserve">foreign investors to indirectly own up to 49.99% of SBS’s </w:t>
      </w:r>
      <w:r w:rsidRPr="006B055D" w:rsidR="001130F4">
        <w:rPr>
          <w:spacing w:val="-2"/>
          <w:szCs w:val="22"/>
        </w:rPr>
        <w:t>equity</w:t>
      </w:r>
      <w:r w:rsidRPr="00375DD6" w:rsidR="001130F4">
        <w:rPr>
          <w:spacing w:val="-2"/>
          <w:szCs w:val="22"/>
        </w:rPr>
        <w:t xml:space="preserve"> in the aggregate</w:t>
      </w:r>
      <w:r w:rsidRPr="00375DD6">
        <w:rPr>
          <w:szCs w:val="22"/>
        </w:rPr>
        <w:t xml:space="preserve">.  </w:t>
      </w:r>
      <w:r w:rsidRPr="00375DD6" w:rsidR="001130F4">
        <w:rPr>
          <w:szCs w:val="22"/>
        </w:rPr>
        <w:t xml:space="preserve">SBS does not make any requests for specific or advance approval under the Commission’s rules and therefore no such determinations are required in granting this Petition.  </w:t>
      </w:r>
    </w:p>
    <w:p w:rsidR="00DF6842" w:rsidRPr="00375DD6" w:rsidP="00DF6842" w14:paraId="7BF4B4C8" w14:textId="6BC6E5EA">
      <w:pPr>
        <w:numPr>
          <w:ilvl w:val="0"/>
          <w:numId w:val="1"/>
        </w:numPr>
        <w:tabs>
          <w:tab w:val="clear" w:pos="1080"/>
        </w:tabs>
        <w:spacing w:after="120"/>
        <w:rPr>
          <w:szCs w:val="22"/>
        </w:rPr>
      </w:pPr>
      <w:r w:rsidRPr="00375DD6">
        <w:rPr>
          <w:i/>
          <w:iCs/>
          <w:szCs w:val="22"/>
        </w:rPr>
        <w:t>Section 310(b)(4) Determination and Public Interest Analysis</w:t>
      </w:r>
      <w:r w:rsidRPr="00375DD6">
        <w:rPr>
          <w:szCs w:val="22"/>
        </w:rPr>
        <w:t>.  Pursuant to section 310(b)</w:t>
      </w:r>
      <w:r w:rsidR="00F425B2">
        <w:rPr>
          <w:szCs w:val="22"/>
        </w:rPr>
        <w:t>(4)</w:t>
      </w:r>
      <w:r w:rsidRPr="00375DD6">
        <w:rPr>
          <w:szCs w:val="22"/>
        </w:rPr>
        <w:t xml:space="preserve"> of the Act, as well as sections 1.5001 through 1.5004 of the Commission’s rules, we </w:t>
      </w:r>
      <w:r w:rsidRPr="00375DD6" w:rsidR="007A2853">
        <w:rPr>
          <w:szCs w:val="22"/>
        </w:rPr>
        <w:t>find that</w:t>
      </w:r>
      <w:r w:rsidRPr="00375DD6">
        <w:rPr>
          <w:szCs w:val="22"/>
        </w:rPr>
        <w:t xml:space="preserve"> the public interest is served by permitting foreign ownership of </w:t>
      </w:r>
      <w:r w:rsidRPr="00375DD6" w:rsidR="007A2853">
        <w:rPr>
          <w:szCs w:val="22"/>
        </w:rPr>
        <w:t>SBS</w:t>
      </w:r>
      <w:r w:rsidRPr="00375DD6">
        <w:rPr>
          <w:szCs w:val="22"/>
        </w:rPr>
        <w:t xml:space="preserve"> in excess of the 25% benchmark </w:t>
      </w:r>
      <w:r w:rsidR="002E6369">
        <w:rPr>
          <w:szCs w:val="22"/>
        </w:rPr>
        <w:t xml:space="preserve">for equity investments </w:t>
      </w:r>
      <w:r w:rsidRPr="00375DD6">
        <w:rPr>
          <w:szCs w:val="22"/>
        </w:rPr>
        <w:t xml:space="preserve">set forth in section 310(b)(4) of the Act, and consequently, grant the Petition as conditioned below.  We </w:t>
      </w:r>
      <w:r w:rsidRPr="00375DD6" w:rsidR="000347EB">
        <w:rPr>
          <w:szCs w:val="22"/>
        </w:rPr>
        <w:t>also</w:t>
      </w:r>
      <w:r w:rsidRPr="00375DD6">
        <w:rPr>
          <w:szCs w:val="22"/>
        </w:rPr>
        <w:t xml:space="preserve"> </w:t>
      </w:r>
      <w:r w:rsidRPr="00375DD6" w:rsidR="000347EB">
        <w:rPr>
          <w:szCs w:val="22"/>
        </w:rPr>
        <w:t>find that</w:t>
      </w:r>
      <w:r w:rsidRPr="00375DD6">
        <w:rPr>
          <w:szCs w:val="22"/>
        </w:rPr>
        <w:t xml:space="preserve"> it is in the public interest to grant </w:t>
      </w:r>
      <w:r w:rsidRPr="00375DD6" w:rsidR="000347EB">
        <w:rPr>
          <w:szCs w:val="22"/>
        </w:rPr>
        <w:t>SBS’s</w:t>
      </w:r>
      <w:r w:rsidRPr="00375DD6">
        <w:rPr>
          <w:szCs w:val="22"/>
        </w:rPr>
        <w:t xml:space="preserve"> request </w:t>
      </w:r>
      <w:r w:rsidRPr="00375DD6" w:rsidR="000347EB">
        <w:rPr>
          <w:spacing w:val="-2"/>
          <w:szCs w:val="22"/>
        </w:rPr>
        <w:t xml:space="preserve">for foreign investors to indirectly own up to 49.99% of SBS’s </w:t>
      </w:r>
      <w:r w:rsidRPr="006B055D" w:rsidR="000347EB">
        <w:rPr>
          <w:spacing w:val="-2"/>
          <w:szCs w:val="22"/>
        </w:rPr>
        <w:t>equity</w:t>
      </w:r>
      <w:r w:rsidRPr="00F425B2" w:rsidR="000347EB">
        <w:rPr>
          <w:spacing w:val="-2"/>
          <w:szCs w:val="22"/>
        </w:rPr>
        <w:t xml:space="preserve"> </w:t>
      </w:r>
      <w:r w:rsidRPr="00375DD6" w:rsidR="000347EB">
        <w:rPr>
          <w:spacing w:val="-2"/>
          <w:szCs w:val="22"/>
        </w:rPr>
        <w:t>in the aggregate</w:t>
      </w:r>
      <w:r w:rsidRPr="00375DD6">
        <w:rPr>
          <w:szCs w:val="22"/>
        </w:rPr>
        <w:t xml:space="preserve">.  </w:t>
      </w:r>
      <w:r w:rsidRPr="00375DD6" w:rsidR="000347EB">
        <w:rPr>
          <w:szCs w:val="22"/>
        </w:rPr>
        <w:t>Specifically, we</w:t>
      </w:r>
      <w:r w:rsidRPr="00375DD6">
        <w:rPr>
          <w:szCs w:val="22"/>
        </w:rPr>
        <w:t xml:space="preserve"> conclude that grant of </w:t>
      </w:r>
      <w:r w:rsidRPr="00375DD6" w:rsidR="000347EB">
        <w:rPr>
          <w:szCs w:val="22"/>
        </w:rPr>
        <w:t>SBS’s</w:t>
      </w:r>
      <w:r w:rsidRPr="00375DD6">
        <w:rPr>
          <w:szCs w:val="22"/>
        </w:rPr>
        <w:t xml:space="preserve"> Petition is in the public interest because it, </w:t>
      </w:r>
      <w:r w:rsidRPr="00375DD6">
        <w:rPr>
          <w:i/>
          <w:iCs/>
          <w:szCs w:val="22"/>
        </w:rPr>
        <w:t>inter alia</w:t>
      </w:r>
      <w:r w:rsidRPr="00375DD6">
        <w:rPr>
          <w:szCs w:val="22"/>
        </w:rPr>
        <w:t>, provides the company with greater access to foreign capital and thereby contributes to the strengthening of the broadcast industry.</w:t>
      </w:r>
      <w:r>
        <w:rPr>
          <w:rStyle w:val="FootnoteReference"/>
          <w:sz w:val="22"/>
          <w:szCs w:val="22"/>
        </w:rPr>
        <w:footnoteReference w:id="37"/>
      </w:r>
      <w:r w:rsidRPr="00375DD6">
        <w:rPr>
          <w:szCs w:val="22"/>
        </w:rPr>
        <w:t xml:space="preserve">  Lastly, the Committee has indicated that it has no objection to a grant of the Petition so long as </w:t>
      </w:r>
      <w:r w:rsidRPr="00375DD6" w:rsidR="000347EB">
        <w:rPr>
          <w:szCs w:val="22"/>
        </w:rPr>
        <w:t>SBS</w:t>
      </w:r>
      <w:r w:rsidRPr="00375DD6">
        <w:rPr>
          <w:snapToGrid/>
          <w:kern w:val="0"/>
          <w:szCs w:val="22"/>
        </w:rPr>
        <w:t xml:space="preserve"> </w:t>
      </w:r>
      <w:r w:rsidRPr="00375DD6">
        <w:rPr>
          <w:szCs w:val="22"/>
        </w:rPr>
        <w:t>compl</w:t>
      </w:r>
      <w:r w:rsidRPr="00375DD6" w:rsidR="000347EB">
        <w:rPr>
          <w:szCs w:val="22"/>
        </w:rPr>
        <w:t>ies</w:t>
      </w:r>
      <w:r w:rsidRPr="00375DD6">
        <w:rPr>
          <w:szCs w:val="22"/>
        </w:rPr>
        <w:t xml:space="preserve"> with the terms of the 202</w:t>
      </w:r>
      <w:r w:rsidRPr="00375DD6" w:rsidR="000347EB">
        <w:rPr>
          <w:szCs w:val="22"/>
        </w:rPr>
        <w:t>2</w:t>
      </w:r>
      <w:r w:rsidRPr="00375DD6">
        <w:rPr>
          <w:szCs w:val="22"/>
        </w:rPr>
        <w:t xml:space="preserve"> </w:t>
      </w:r>
      <w:r w:rsidRPr="00375DD6" w:rsidR="000347EB">
        <w:rPr>
          <w:szCs w:val="22"/>
        </w:rPr>
        <w:t>SBS</w:t>
      </w:r>
      <w:r w:rsidRPr="00375DD6">
        <w:rPr>
          <w:szCs w:val="22"/>
        </w:rPr>
        <w:t>/DOJ Letter of Agreement.</w:t>
      </w:r>
      <w:r>
        <w:rPr>
          <w:rStyle w:val="FootnoteReference"/>
          <w:sz w:val="22"/>
          <w:szCs w:val="22"/>
        </w:rPr>
        <w:footnoteReference w:id="38"/>
      </w:r>
      <w:r w:rsidRPr="00375DD6">
        <w:rPr>
          <w:szCs w:val="22"/>
        </w:rPr>
        <w:t xml:space="preserve">  </w:t>
      </w:r>
    </w:p>
    <w:p w:rsidR="00DF6842" w:rsidRPr="00375DD6" w:rsidP="00DF6842" w14:paraId="78D6B03F" w14:textId="6491700D">
      <w:pPr>
        <w:numPr>
          <w:ilvl w:val="0"/>
          <w:numId w:val="1"/>
        </w:numPr>
        <w:tabs>
          <w:tab w:val="clear" w:pos="1080"/>
        </w:tabs>
        <w:spacing w:after="120"/>
        <w:rPr>
          <w:szCs w:val="22"/>
        </w:rPr>
      </w:pPr>
      <w:r w:rsidRPr="00375DD6">
        <w:rPr>
          <w:i/>
          <w:iCs/>
          <w:szCs w:val="22"/>
        </w:rPr>
        <w:t xml:space="preserve">National Security and Law Enforcement Review.  </w:t>
      </w:r>
      <w:r w:rsidRPr="00375DD6">
        <w:rPr>
          <w:szCs w:val="22"/>
        </w:rPr>
        <w:t>As stated, as part of its public interest analysis, the Commission coordinates petitions for section 310(b) foreign ownership rulings with the relevant Executive Branch agencies for national security, law enforcement, foreign policy and trade policy issues.</w:t>
      </w:r>
      <w:r>
        <w:rPr>
          <w:rStyle w:val="FootnoteReference"/>
          <w:sz w:val="22"/>
          <w:szCs w:val="22"/>
        </w:rPr>
        <w:footnoteReference w:id="39"/>
      </w:r>
      <w:r w:rsidRPr="00375DD6">
        <w:rPr>
          <w:szCs w:val="22"/>
        </w:rPr>
        <w:t xml:space="preserve">  At the request of the Committee, and in light of </w:t>
      </w:r>
      <w:r w:rsidRPr="00375DD6" w:rsidR="00D11D25">
        <w:rPr>
          <w:szCs w:val="22"/>
        </w:rPr>
        <w:t>SBS’s commitments and undertakings pursuant to the 2022 SBS/DOJ Letter of Agreement,</w:t>
      </w:r>
      <w:r w:rsidRPr="00375DD6">
        <w:rPr>
          <w:szCs w:val="22"/>
        </w:rPr>
        <w:t xml:space="preserve"> as well as the absence of any objection from </w:t>
      </w:r>
      <w:r w:rsidRPr="00375DD6" w:rsidR="00D11D25">
        <w:rPr>
          <w:szCs w:val="22"/>
        </w:rPr>
        <w:t>SBS</w:t>
      </w:r>
      <w:r w:rsidRPr="00375DD6">
        <w:rPr>
          <w:szCs w:val="22"/>
        </w:rPr>
        <w:t xml:space="preserve">, we grant the NTIA Petition.  Accordingly, we condition grant of the Petition on compliance by </w:t>
      </w:r>
      <w:r w:rsidRPr="00375DD6" w:rsidR="00D11D25">
        <w:rPr>
          <w:szCs w:val="22"/>
        </w:rPr>
        <w:t>SBS</w:t>
      </w:r>
      <w:r w:rsidRPr="00375DD6">
        <w:rPr>
          <w:szCs w:val="22"/>
        </w:rPr>
        <w:t xml:space="preserve"> with the commitments and undertakings set out in the 202</w:t>
      </w:r>
      <w:r w:rsidRPr="00375DD6" w:rsidR="00D11D25">
        <w:rPr>
          <w:szCs w:val="22"/>
        </w:rPr>
        <w:t>2</w:t>
      </w:r>
      <w:r w:rsidRPr="00375DD6">
        <w:rPr>
          <w:szCs w:val="22"/>
        </w:rPr>
        <w:t xml:space="preserve"> </w:t>
      </w:r>
      <w:r w:rsidRPr="00375DD6" w:rsidR="00D11D25">
        <w:rPr>
          <w:szCs w:val="22"/>
        </w:rPr>
        <w:t>SBS</w:t>
      </w:r>
      <w:r w:rsidRPr="00375DD6">
        <w:rPr>
          <w:szCs w:val="22"/>
        </w:rPr>
        <w:t>/DOJ Letter of Agreement.  A failure to comply with and/or remain in compliance with any of the provisions of the 202</w:t>
      </w:r>
      <w:r w:rsidRPr="00375DD6" w:rsidR="00D11D25">
        <w:rPr>
          <w:szCs w:val="22"/>
        </w:rPr>
        <w:t>2</w:t>
      </w:r>
      <w:r w:rsidRPr="00375DD6">
        <w:rPr>
          <w:szCs w:val="22"/>
        </w:rPr>
        <w:t xml:space="preserve"> </w:t>
      </w:r>
      <w:r w:rsidRPr="00375DD6" w:rsidR="006F3F71">
        <w:rPr>
          <w:szCs w:val="22"/>
        </w:rPr>
        <w:t>SBS</w:t>
      </w:r>
      <w:r w:rsidRPr="00375DD6">
        <w:rPr>
          <w:szCs w:val="22"/>
        </w:rPr>
        <w:t>/DOJ Letter of Agreement shall constitute a failure to meet a condition of this Declaratory Ruling and</w:t>
      </w:r>
      <w:r w:rsidR="00D924E0">
        <w:rPr>
          <w:szCs w:val="22"/>
        </w:rPr>
        <w:t xml:space="preserve"> potential violation of section 31</w:t>
      </w:r>
      <w:r w:rsidR="00C763D9">
        <w:rPr>
          <w:szCs w:val="22"/>
        </w:rPr>
        <w:t>0(b)(4) of the Act, which</w:t>
      </w:r>
      <w:r w:rsidRPr="00375DD6">
        <w:rPr>
          <w:szCs w:val="22"/>
        </w:rPr>
        <w:t xml:space="preserve"> </w:t>
      </w:r>
      <w:r w:rsidR="00C763D9">
        <w:rPr>
          <w:szCs w:val="22"/>
        </w:rPr>
        <w:t xml:space="preserve">could </w:t>
      </w:r>
      <w:r w:rsidRPr="00375DD6">
        <w:rPr>
          <w:szCs w:val="22"/>
        </w:rPr>
        <w:t>result in monetary sanctions or other enforcement action by the Commission.</w:t>
      </w:r>
      <w:r>
        <w:rPr>
          <w:rStyle w:val="FootnoteReference"/>
          <w:szCs w:val="22"/>
        </w:rPr>
        <w:footnoteReference w:id="40"/>
      </w:r>
      <w:r w:rsidRPr="00375DD6">
        <w:rPr>
          <w:szCs w:val="22"/>
        </w:rPr>
        <w:t xml:space="preserve">  </w:t>
      </w:r>
    </w:p>
    <w:p w:rsidR="00DF6842" w:rsidRPr="00375DD6" w:rsidP="00DF6842" w14:paraId="5F345433" w14:textId="4D7AA843">
      <w:pPr>
        <w:numPr>
          <w:ilvl w:val="0"/>
          <w:numId w:val="1"/>
        </w:numPr>
        <w:tabs>
          <w:tab w:val="clear" w:pos="1080"/>
        </w:tabs>
        <w:spacing w:after="120"/>
        <w:rPr>
          <w:szCs w:val="22"/>
        </w:rPr>
      </w:pPr>
      <w:r w:rsidRPr="00375DD6">
        <w:rPr>
          <w:i/>
          <w:iCs/>
          <w:szCs w:val="22"/>
        </w:rPr>
        <w:t xml:space="preserve">Additional Terms and Conditions.  </w:t>
      </w:r>
      <w:r w:rsidRPr="00375DD6">
        <w:rPr>
          <w:szCs w:val="22"/>
        </w:rPr>
        <w:t>In addition to compliance with the terms of the 202</w:t>
      </w:r>
      <w:r w:rsidRPr="00375DD6" w:rsidR="00117B1F">
        <w:rPr>
          <w:szCs w:val="22"/>
        </w:rPr>
        <w:t>2</w:t>
      </w:r>
      <w:r w:rsidRPr="00375DD6">
        <w:rPr>
          <w:szCs w:val="22"/>
        </w:rPr>
        <w:t xml:space="preserve"> </w:t>
      </w:r>
      <w:r w:rsidRPr="00375DD6" w:rsidR="00117B1F">
        <w:rPr>
          <w:szCs w:val="22"/>
        </w:rPr>
        <w:t>SBS</w:t>
      </w:r>
      <w:r w:rsidRPr="00375DD6">
        <w:rPr>
          <w:szCs w:val="22"/>
        </w:rPr>
        <w:t xml:space="preserve">/DOJ Letter of Agreement, this ruling is subject to the terms and conditions set forth in section 1.5004 of the Commission’s rules, including the requirement to obtain Commission approval before foreign ownership of </w:t>
      </w:r>
      <w:r w:rsidRPr="00375DD6" w:rsidR="00117B1F">
        <w:rPr>
          <w:szCs w:val="22"/>
        </w:rPr>
        <w:t>SBS</w:t>
      </w:r>
      <w:r w:rsidRPr="00375DD6">
        <w:rPr>
          <w:szCs w:val="22"/>
        </w:rPr>
        <w:t xml:space="preserve"> exceeds the terms and conditions of this ruling.</w:t>
      </w:r>
      <w:r>
        <w:rPr>
          <w:rStyle w:val="FootnoteReference"/>
          <w:sz w:val="22"/>
          <w:szCs w:val="22"/>
        </w:rPr>
        <w:footnoteReference w:id="41"/>
      </w:r>
      <w:r w:rsidRPr="00375DD6">
        <w:rPr>
          <w:szCs w:val="22"/>
        </w:rPr>
        <w:t xml:space="preserve">  This includes the </w:t>
      </w:r>
      <w:r w:rsidRPr="00375DD6">
        <w:rPr>
          <w:szCs w:val="22"/>
        </w:rPr>
        <w:t xml:space="preserve">requirement that </w:t>
      </w:r>
      <w:r w:rsidRPr="00375DD6" w:rsidR="00117B1F">
        <w:rPr>
          <w:szCs w:val="22"/>
        </w:rPr>
        <w:t>SBS</w:t>
      </w:r>
      <w:r w:rsidRPr="00375DD6">
        <w:rPr>
          <w:szCs w:val="22"/>
        </w:rPr>
        <w:t xml:space="preserve"> obtain Commission approval for any new or additional foreign individual, entity, or group of such individuals or entities to hold, directly and/or indirectly, more than 5% (or more than 10% for certain investors) of the equity and/or voting interests, or a controlling interest, in the company.</w:t>
      </w:r>
      <w:r>
        <w:rPr>
          <w:rStyle w:val="FootnoteReference"/>
          <w:sz w:val="22"/>
          <w:szCs w:val="22"/>
        </w:rPr>
        <w:footnoteReference w:id="42"/>
      </w:r>
      <w:r w:rsidRPr="00375DD6">
        <w:rPr>
          <w:szCs w:val="22"/>
        </w:rPr>
        <w:t xml:space="preserve">  If, at any time, </w:t>
      </w:r>
      <w:r w:rsidRPr="00375DD6" w:rsidR="00117B1F">
        <w:rPr>
          <w:szCs w:val="22"/>
        </w:rPr>
        <w:t>SBS</w:t>
      </w:r>
      <w:r w:rsidRPr="00375DD6">
        <w:rPr>
          <w:szCs w:val="22"/>
        </w:rPr>
        <w:t xml:space="preserve"> knows, or has reason to know, that it is no longer in compliance with this Declaratory Ruling, the terms of the 202</w:t>
      </w:r>
      <w:r w:rsidRPr="00375DD6" w:rsidR="00117B1F">
        <w:rPr>
          <w:szCs w:val="22"/>
        </w:rPr>
        <w:t>2</w:t>
      </w:r>
      <w:r w:rsidRPr="00375DD6">
        <w:rPr>
          <w:szCs w:val="22"/>
        </w:rPr>
        <w:t xml:space="preserve"> </w:t>
      </w:r>
      <w:r w:rsidRPr="00375DD6" w:rsidR="00117B1F">
        <w:rPr>
          <w:szCs w:val="22"/>
        </w:rPr>
        <w:t>SBS</w:t>
      </w:r>
      <w:r w:rsidRPr="00375DD6">
        <w:rPr>
          <w:szCs w:val="22"/>
        </w:rPr>
        <w:t xml:space="preserve">/DOJ Letter of Agreement, section 310(b) of the Act, or the Commission’s foreign ownership rules, </w:t>
      </w:r>
      <w:r w:rsidRPr="00375DD6" w:rsidR="00117B1F">
        <w:rPr>
          <w:szCs w:val="22"/>
        </w:rPr>
        <w:t>SBS</w:t>
      </w:r>
      <w:r w:rsidRPr="00375DD6">
        <w:rPr>
          <w:szCs w:val="22"/>
        </w:rPr>
        <w:t xml:space="preserve"> shall file a statement with the Commission explaining the circumstances within 30 days of the date that it knew, or had reason to know, that it was no longer in compliance.</w:t>
      </w:r>
      <w:r>
        <w:rPr>
          <w:rStyle w:val="FootnoteReference"/>
          <w:sz w:val="22"/>
          <w:szCs w:val="22"/>
        </w:rPr>
        <w:footnoteReference w:id="43"/>
      </w:r>
      <w:r w:rsidRPr="00375DD6">
        <w:rPr>
          <w:szCs w:val="22"/>
        </w:rPr>
        <w:t xml:space="preserve">  </w:t>
      </w:r>
      <w:r w:rsidRPr="00375DD6" w:rsidR="00117B1F">
        <w:rPr>
          <w:szCs w:val="22"/>
        </w:rPr>
        <w:t>SBS</w:t>
      </w:r>
      <w:r w:rsidRPr="00375DD6">
        <w:rPr>
          <w:szCs w:val="22"/>
        </w:rPr>
        <w:t xml:space="preserve"> may be subject to enforcement action by the Commission for such non-compliance, including an order requiring divestiture of the foreign investment.</w:t>
      </w:r>
      <w:r>
        <w:rPr>
          <w:rStyle w:val="FootnoteReference"/>
          <w:sz w:val="22"/>
          <w:szCs w:val="22"/>
        </w:rPr>
        <w:footnoteReference w:id="44"/>
      </w:r>
    </w:p>
    <w:p w:rsidR="00DF6842" w:rsidRPr="00375DD6" w:rsidP="00DF6842" w14:paraId="758F1758" w14:textId="77777777">
      <w:pPr>
        <w:pStyle w:val="Heading1"/>
        <w:tabs>
          <w:tab w:val="left" w:pos="720"/>
        </w:tabs>
        <w:rPr>
          <w:rFonts w:ascii="Times New Roman" w:hAnsi="Times New Roman"/>
          <w:szCs w:val="22"/>
        </w:rPr>
      </w:pPr>
      <w:r w:rsidRPr="00375DD6">
        <w:rPr>
          <w:rFonts w:ascii="Times New Roman" w:hAnsi="Times New Roman"/>
          <w:szCs w:val="22"/>
        </w:rPr>
        <w:t>Ordering clauses</w:t>
      </w:r>
    </w:p>
    <w:p w:rsidR="00DF6842" w:rsidRPr="00375DD6" w:rsidP="00DF6842" w14:paraId="0D7F7D9D" w14:textId="6E7F5174">
      <w:pPr>
        <w:numPr>
          <w:ilvl w:val="0"/>
          <w:numId w:val="1"/>
        </w:numPr>
        <w:tabs>
          <w:tab w:val="clear" w:pos="1080"/>
        </w:tabs>
        <w:spacing w:after="120"/>
        <w:rPr>
          <w:szCs w:val="22"/>
        </w:rPr>
      </w:pPr>
      <w:r w:rsidRPr="00375DD6">
        <w:rPr>
          <w:szCs w:val="22"/>
        </w:rPr>
        <w:t xml:space="preserve">Accordingly, </w:t>
      </w:r>
      <w:r w:rsidRPr="00375DD6">
        <w:rPr>
          <w:b/>
          <w:bCs/>
          <w:szCs w:val="22"/>
        </w:rPr>
        <w:t>IT IS ORDERED</w:t>
      </w:r>
      <w:r w:rsidRPr="00375DD6">
        <w:rPr>
          <w:szCs w:val="22"/>
        </w:rPr>
        <w:t xml:space="preserve"> that, pursuant to section 310(b)(4) of the Communications Act of 1934, as amended, 47 U.S.C. § 310(b)(4), and sections 1.5001 through 1.5004 of the Commission’s rules, 47 C.F.R. §§ 1.5001-04, and pursuant to authority delegated to the Media Bureau in sections 0.61 and 0.283 of the Commission’s rules, 47 CFR §§ 0.61, 0.283, the Petition for Declaratory Ruling filed by </w:t>
      </w:r>
      <w:bookmarkStart w:id="4" w:name="_Hlk92042921"/>
      <w:r w:rsidRPr="00375DD6" w:rsidR="008167EA">
        <w:rPr>
          <w:szCs w:val="22"/>
        </w:rPr>
        <w:t>Spanish Broadcasting System, Inc</w:t>
      </w:r>
      <w:r w:rsidRPr="00375DD6">
        <w:rPr>
          <w:szCs w:val="22"/>
        </w:rPr>
        <w:t>.</w:t>
      </w:r>
      <w:bookmarkEnd w:id="4"/>
      <w:r w:rsidRPr="00375DD6">
        <w:rPr>
          <w:szCs w:val="22"/>
        </w:rPr>
        <w:t xml:space="preserve">, </w:t>
      </w:r>
      <w:r w:rsidRPr="00375DD6">
        <w:rPr>
          <w:b/>
          <w:bCs/>
          <w:szCs w:val="22"/>
        </w:rPr>
        <w:t>IS GRANTED</w:t>
      </w:r>
      <w:r w:rsidRPr="00375DD6">
        <w:rPr>
          <w:szCs w:val="22"/>
        </w:rPr>
        <w:t xml:space="preserve"> subject to the conditions specified herein.</w:t>
      </w:r>
      <w:r w:rsidR="001F3AC2">
        <w:rPr>
          <w:szCs w:val="22"/>
        </w:rPr>
        <w:t xml:space="preserve"> </w:t>
      </w:r>
    </w:p>
    <w:p w:rsidR="00DF6842" w:rsidRPr="00375DD6" w:rsidP="00DF6842" w14:paraId="6F02A036" w14:textId="7236A4B1">
      <w:pPr>
        <w:numPr>
          <w:ilvl w:val="0"/>
          <w:numId w:val="1"/>
        </w:numPr>
        <w:tabs>
          <w:tab w:val="clear" w:pos="1080"/>
        </w:tabs>
        <w:spacing w:after="120"/>
        <w:rPr>
          <w:szCs w:val="22"/>
        </w:rPr>
      </w:pPr>
      <w:r w:rsidRPr="00375DD6">
        <w:rPr>
          <w:b/>
          <w:bCs/>
          <w:szCs w:val="22"/>
        </w:rPr>
        <w:t>IT IS FURTHER ORDERED</w:t>
      </w:r>
      <w:r w:rsidRPr="00375DD6">
        <w:rPr>
          <w:szCs w:val="22"/>
        </w:rPr>
        <w:t xml:space="preserve"> that, pursuant to sections 154(</w:t>
      </w:r>
      <w:r w:rsidRPr="00375DD6">
        <w:rPr>
          <w:szCs w:val="22"/>
        </w:rPr>
        <w:t>i</w:t>
      </w:r>
      <w:r w:rsidRPr="00375DD6">
        <w:rPr>
          <w:szCs w:val="22"/>
        </w:rPr>
        <w:t>)-(j) and 310(b) of the Communications Act of 1934, as amended, 47 U.S.C. §§ 154(</w:t>
      </w:r>
      <w:r w:rsidRPr="00375DD6">
        <w:rPr>
          <w:szCs w:val="22"/>
        </w:rPr>
        <w:t>i</w:t>
      </w:r>
      <w:r w:rsidRPr="00375DD6">
        <w:rPr>
          <w:szCs w:val="22"/>
        </w:rPr>
        <w:t xml:space="preserve">)-(j), 310(b), and sections 1.40001-04 of the Commission’s rules, 47 C.F.R. §§ 1.40001-04, the Petition to Adopt Conditions filed by the National Telecommunications and Information Administration on </w:t>
      </w:r>
      <w:r w:rsidRPr="00375DD6" w:rsidR="008167EA">
        <w:rPr>
          <w:szCs w:val="22"/>
        </w:rPr>
        <w:t>December</w:t>
      </w:r>
      <w:r w:rsidRPr="00375DD6">
        <w:rPr>
          <w:szCs w:val="22"/>
        </w:rPr>
        <w:t xml:space="preserve"> </w:t>
      </w:r>
      <w:r w:rsidRPr="00375DD6" w:rsidR="008167EA">
        <w:rPr>
          <w:szCs w:val="22"/>
        </w:rPr>
        <w:t>8</w:t>
      </w:r>
      <w:r w:rsidRPr="00375DD6">
        <w:rPr>
          <w:szCs w:val="22"/>
        </w:rPr>
        <w:t>, 202</w:t>
      </w:r>
      <w:r w:rsidRPr="00375DD6" w:rsidR="008167EA">
        <w:rPr>
          <w:szCs w:val="22"/>
        </w:rPr>
        <w:t>2</w:t>
      </w:r>
      <w:r w:rsidRPr="00375DD6">
        <w:rPr>
          <w:szCs w:val="22"/>
        </w:rPr>
        <w:t xml:space="preserve">, </w:t>
      </w:r>
      <w:r w:rsidRPr="00375DD6">
        <w:rPr>
          <w:b/>
          <w:bCs/>
          <w:szCs w:val="22"/>
        </w:rPr>
        <w:t>IS GRANTED</w:t>
      </w:r>
      <w:r w:rsidRPr="00375DD6">
        <w:rPr>
          <w:szCs w:val="22"/>
        </w:rPr>
        <w:t>.</w:t>
      </w:r>
    </w:p>
    <w:p w:rsidR="00DF6842" w:rsidRPr="00375DD6" w:rsidP="00DF6842" w14:paraId="52C92FF4" w14:textId="0A183CB2">
      <w:pPr>
        <w:widowControl/>
        <w:numPr>
          <w:ilvl w:val="0"/>
          <w:numId w:val="1"/>
        </w:numPr>
        <w:tabs>
          <w:tab w:val="clear" w:pos="1080"/>
        </w:tabs>
        <w:spacing w:after="120"/>
        <w:rPr>
          <w:szCs w:val="22"/>
        </w:rPr>
      </w:pPr>
      <w:r w:rsidRPr="00375DD6">
        <w:rPr>
          <w:b/>
          <w:bCs/>
          <w:szCs w:val="22"/>
        </w:rPr>
        <w:t>IT IS FURTHER ORDERED</w:t>
      </w:r>
      <w:r w:rsidRPr="00375DD6">
        <w:rPr>
          <w:szCs w:val="22"/>
        </w:rPr>
        <w:t xml:space="preserve"> that, pursuant to sections 154(</w:t>
      </w:r>
      <w:r w:rsidRPr="00375DD6">
        <w:rPr>
          <w:szCs w:val="22"/>
        </w:rPr>
        <w:t>i</w:t>
      </w:r>
      <w:r w:rsidRPr="00375DD6">
        <w:rPr>
          <w:szCs w:val="22"/>
        </w:rPr>
        <w:t>)-(j), 303(r), 309, and 310(b) of the Communications Act of 1934, as amended, 47 U.S.C. §§ 154(</w:t>
      </w:r>
      <w:r w:rsidRPr="00375DD6">
        <w:rPr>
          <w:szCs w:val="22"/>
        </w:rPr>
        <w:t>i</w:t>
      </w:r>
      <w:r w:rsidRPr="00375DD6">
        <w:rPr>
          <w:szCs w:val="22"/>
        </w:rPr>
        <w:t xml:space="preserve">)-(j), 303(r), 309, and 310(b), and sections 1.40001-04 of the Commission’s rules, 47 C.F.R. §§ 1.40001-04, grant of the Petition for Declaratory Ruling is </w:t>
      </w:r>
      <w:r w:rsidRPr="00375DD6">
        <w:rPr>
          <w:b/>
          <w:bCs/>
          <w:szCs w:val="22"/>
        </w:rPr>
        <w:t>CONDITIONED UPON</w:t>
      </w:r>
      <w:r w:rsidRPr="00375DD6">
        <w:rPr>
          <w:szCs w:val="22"/>
        </w:rPr>
        <w:t xml:space="preserve"> compliance by </w:t>
      </w:r>
      <w:r w:rsidRPr="00375DD6" w:rsidR="008167EA">
        <w:rPr>
          <w:szCs w:val="22"/>
        </w:rPr>
        <w:t>Spanish Broadcasting System, Inc</w:t>
      </w:r>
      <w:r w:rsidRPr="00375DD6">
        <w:rPr>
          <w:szCs w:val="22"/>
        </w:rPr>
        <w:t xml:space="preserve">. with the commitments and undertakings set forth in the November </w:t>
      </w:r>
      <w:r w:rsidRPr="00375DD6" w:rsidR="008167EA">
        <w:rPr>
          <w:szCs w:val="22"/>
        </w:rPr>
        <w:t>28</w:t>
      </w:r>
      <w:r w:rsidRPr="00375DD6">
        <w:rPr>
          <w:szCs w:val="22"/>
        </w:rPr>
        <w:t>, 202</w:t>
      </w:r>
      <w:r w:rsidRPr="00375DD6" w:rsidR="008167EA">
        <w:rPr>
          <w:szCs w:val="22"/>
        </w:rPr>
        <w:t>2</w:t>
      </w:r>
      <w:r w:rsidRPr="00375DD6">
        <w:rPr>
          <w:szCs w:val="22"/>
        </w:rPr>
        <w:t xml:space="preserve">, Letter of Agreement between </w:t>
      </w:r>
      <w:r w:rsidRPr="00375DD6" w:rsidR="008167EA">
        <w:rPr>
          <w:szCs w:val="22"/>
        </w:rPr>
        <w:t>Spanish Broadcasting</w:t>
      </w:r>
      <w:r w:rsidRPr="00375DD6" w:rsidR="00156668">
        <w:rPr>
          <w:szCs w:val="22"/>
        </w:rPr>
        <w:t xml:space="preserve"> System</w:t>
      </w:r>
      <w:r w:rsidRPr="00375DD6" w:rsidR="008167EA">
        <w:rPr>
          <w:szCs w:val="22"/>
        </w:rPr>
        <w:t>, Inc</w:t>
      </w:r>
      <w:r w:rsidRPr="00375DD6">
        <w:rPr>
          <w:szCs w:val="22"/>
        </w:rPr>
        <w:t xml:space="preserve">. and the U.S. Department of Justice.  </w:t>
      </w:r>
    </w:p>
    <w:p w:rsidR="00DF6842" w:rsidRPr="00375DD6" w:rsidP="000D1234" w14:paraId="0B4172B2" w14:textId="77777777">
      <w:pPr>
        <w:widowControl/>
        <w:numPr>
          <w:ilvl w:val="0"/>
          <w:numId w:val="1"/>
        </w:numPr>
        <w:tabs>
          <w:tab w:val="clear" w:pos="1080"/>
        </w:tabs>
        <w:spacing w:after="120"/>
        <w:rPr>
          <w:szCs w:val="22"/>
        </w:rPr>
      </w:pPr>
      <w:r w:rsidRPr="00375DD6">
        <w:rPr>
          <w:b/>
          <w:bCs/>
          <w:szCs w:val="22"/>
        </w:rPr>
        <w:t>IT IS FURTHER ORDERED</w:t>
      </w:r>
      <w:r w:rsidRPr="00375DD6">
        <w:rPr>
          <w:szCs w:val="22"/>
        </w:rPr>
        <w:t xml:space="preserve"> that this Declaratory Ruling </w:t>
      </w:r>
      <w:r w:rsidRPr="00375DD6">
        <w:rPr>
          <w:b/>
          <w:bCs/>
          <w:szCs w:val="22"/>
        </w:rPr>
        <w:t>SHALL BE EFFECTIVE</w:t>
      </w:r>
      <w:r w:rsidRPr="00375DD6">
        <w:rPr>
          <w:szCs w:val="22"/>
        </w:rPr>
        <w:t xml:space="preserve"> upon release.</w:t>
      </w:r>
    </w:p>
    <w:p w:rsidR="00DF6842" w:rsidRPr="00375DD6" w:rsidP="000D1234" w14:paraId="68D9BBFA" w14:textId="77777777">
      <w:pPr>
        <w:widowControl/>
        <w:rPr>
          <w:szCs w:val="22"/>
        </w:rPr>
      </w:pPr>
      <w:r w:rsidRPr="00375DD6">
        <w:rPr>
          <w:szCs w:val="22"/>
        </w:rPr>
        <w:tab/>
      </w:r>
      <w:r w:rsidRPr="00375DD6">
        <w:rPr>
          <w:szCs w:val="22"/>
        </w:rPr>
        <w:tab/>
      </w:r>
      <w:r w:rsidRPr="00375DD6">
        <w:rPr>
          <w:szCs w:val="22"/>
        </w:rPr>
        <w:tab/>
      </w:r>
      <w:r w:rsidRPr="00375DD6">
        <w:rPr>
          <w:szCs w:val="22"/>
        </w:rPr>
        <w:tab/>
      </w:r>
      <w:r w:rsidRPr="00375DD6">
        <w:rPr>
          <w:szCs w:val="22"/>
        </w:rPr>
        <w:tab/>
      </w:r>
      <w:r w:rsidRPr="00375DD6">
        <w:rPr>
          <w:szCs w:val="22"/>
        </w:rPr>
        <w:tab/>
        <w:t>FEDERAL COMMUNICATIONS COMMISSION</w:t>
      </w:r>
    </w:p>
    <w:p w:rsidR="00DF6842" w:rsidRPr="00375DD6" w:rsidP="000D1234" w14:paraId="040D5132" w14:textId="77777777">
      <w:pPr>
        <w:widowControl/>
        <w:rPr>
          <w:szCs w:val="22"/>
        </w:rPr>
      </w:pPr>
    </w:p>
    <w:p w:rsidR="00DF6842" w:rsidRPr="00375DD6" w:rsidP="000D1234" w14:paraId="0DF0A9CF" w14:textId="77777777">
      <w:pPr>
        <w:widowControl/>
        <w:rPr>
          <w:szCs w:val="22"/>
        </w:rPr>
      </w:pPr>
    </w:p>
    <w:p w:rsidR="00DF6842" w:rsidP="000D1234" w14:paraId="2C37D15A" w14:textId="03C22852">
      <w:pPr>
        <w:widowControl/>
        <w:rPr>
          <w:szCs w:val="22"/>
        </w:rPr>
      </w:pPr>
    </w:p>
    <w:p w:rsidR="000D1234" w:rsidRPr="00375DD6" w:rsidP="000D1234" w14:paraId="4A918693" w14:textId="77777777">
      <w:pPr>
        <w:widowControl/>
        <w:rPr>
          <w:szCs w:val="22"/>
        </w:rPr>
      </w:pPr>
    </w:p>
    <w:p w:rsidR="00DF6842" w:rsidRPr="00375DD6" w:rsidP="000D1234" w14:paraId="74672303" w14:textId="77777777">
      <w:pPr>
        <w:widowControl/>
        <w:rPr>
          <w:szCs w:val="22"/>
        </w:rPr>
      </w:pPr>
      <w:r w:rsidRPr="00375DD6">
        <w:rPr>
          <w:szCs w:val="22"/>
        </w:rPr>
        <w:tab/>
      </w:r>
      <w:r w:rsidRPr="00375DD6">
        <w:rPr>
          <w:szCs w:val="22"/>
        </w:rPr>
        <w:tab/>
      </w:r>
      <w:r w:rsidRPr="00375DD6">
        <w:rPr>
          <w:szCs w:val="22"/>
        </w:rPr>
        <w:tab/>
      </w:r>
      <w:r w:rsidRPr="00375DD6">
        <w:rPr>
          <w:szCs w:val="22"/>
        </w:rPr>
        <w:tab/>
      </w:r>
      <w:r w:rsidRPr="00375DD6">
        <w:rPr>
          <w:szCs w:val="22"/>
        </w:rPr>
        <w:tab/>
      </w:r>
      <w:r w:rsidRPr="00375DD6">
        <w:rPr>
          <w:szCs w:val="22"/>
        </w:rPr>
        <w:tab/>
        <w:t xml:space="preserve">Holly Saurer </w:t>
      </w:r>
    </w:p>
    <w:p w:rsidR="00DF6842" w:rsidRPr="004679CA" w:rsidP="004679CA" w14:paraId="50EBFEA0" w14:textId="1E461E57">
      <w:pPr>
        <w:widowControl/>
        <w:rPr>
          <w:szCs w:val="22"/>
        </w:rPr>
      </w:pPr>
      <w:r w:rsidRPr="00375DD6">
        <w:rPr>
          <w:szCs w:val="22"/>
        </w:rPr>
        <w:tab/>
      </w:r>
      <w:r w:rsidRPr="00375DD6">
        <w:rPr>
          <w:szCs w:val="22"/>
        </w:rPr>
        <w:tab/>
      </w:r>
      <w:r w:rsidRPr="00375DD6">
        <w:rPr>
          <w:szCs w:val="22"/>
        </w:rPr>
        <w:tab/>
      </w:r>
      <w:r w:rsidRPr="00375DD6">
        <w:rPr>
          <w:szCs w:val="22"/>
        </w:rPr>
        <w:tab/>
      </w:r>
      <w:r w:rsidRPr="00375DD6">
        <w:rPr>
          <w:szCs w:val="22"/>
        </w:rPr>
        <w:tab/>
      </w:r>
      <w:r w:rsidRPr="00375DD6">
        <w:rPr>
          <w:szCs w:val="22"/>
        </w:rPr>
        <w:tab/>
        <w:t>Chief, 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rsidP="0055614C" w14:paraId="1499B7A1" w14:textId="77777777">
    <w:pPr>
      <w:pStyle w:val="Footer"/>
      <w:framePr w:wrap="around" w:vAnchor="text" w:hAnchor="margin" w:xAlign="center" w:y="1"/>
    </w:pPr>
    <w:r>
      <w:fldChar w:fldCharType="begin"/>
    </w:r>
    <w:r>
      <w:instrText xml:space="preserve">PAGE  </w:instrText>
    </w:r>
    <w:r w:rsidR="00B27BBA">
      <w:fldChar w:fldCharType="separate"/>
    </w:r>
    <w:r>
      <w:fldChar w:fldCharType="end"/>
    </w:r>
  </w:p>
  <w:p w:rsidR="00490361" w14:paraId="682647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14:paraId="669C79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90361" w14:paraId="1BE5D92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14:paraId="7884F3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0E8E" w:rsidP="00110E8E" w14:paraId="63F6FEBF" w14:textId="77777777">
      <w:r>
        <w:separator/>
      </w:r>
    </w:p>
  </w:footnote>
  <w:footnote w:type="continuationSeparator" w:id="1">
    <w:p w:rsidR="00110E8E" w:rsidP="00110E8E" w14:paraId="7ECE4958" w14:textId="77777777">
      <w:r>
        <w:continuationSeparator/>
      </w:r>
    </w:p>
  </w:footnote>
  <w:footnote w:type="continuationNotice" w:id="2">
    <w:p w:rsidR="00B4457F" w14:paraId="7D428E73" w14:textId="77777777"/>
  </w:footnote>
  <w:footnote w:id="3">
    <w:p w:rsidR="00110E8E" w:rsidRPr="00375DD6" w:rsidP="00F34100" w14:paraId="37F0588D" w14:textId="2DE39551">
      <w:pPr>
        <w:pStyle w:val="FootnoteText"/>
      </w:pPr>
      <w:r w:rsidRPr="00375DD6">
        <w:rPr>
          <w:rStyle w:val="FootnoteReference"/>
        </w:rPr>
        <w:footnoteRef/>
      </w:r>
      <w:r w:rsidRPr="00375DD6">
        <w:t xml:space="preserve"> </w:t>
      </w:r>
      <w:r w:rsidRPr="00375DD6" w:rsidR="005269F1">
        <w:t>Spanish Broadcasting System, Inc.,</w:t>
      </w:r>
      <w:r w:rsidRPr="00375DD6">
        <w:t xml:space="preserve"> Restated Petition for Declaratory Ruling, MB Docket No. 2</w:t>
      </w:r>
      <w:r w:rsidRPr="00375DD6" w:rsidR="005269F1">
        <w:t>2</w:t>
      </w:r>
      <w:r w:rsidRPr="00375DD6">
        <w:t>-</w:t>
      </w:r>
      <w:r w:rsidRPr="00375DD6" w:rsidR="005269F1">
        <w:t>61</w:t>
      </w:r>
      <w:r w:rsidRPr="00375DD6">
        <w:t xml:space="preserve"> (filed </w:t>
      </w:r>
      <w:r w:rsidRPr="00375DD6" w:rsidR="005269F1">
        <w:t>Feb</w:t>
      </w:r>
      <w:r w:rsidRPr="00375DD6">
        <w:t xml:space="preserve">. </w:t>
      </w:r>
      <w:r w:rsidRPr="00375DD6" w:rsidR="005269F1">
        <w:t>3</w:t>
      </w:r>
      <w:r w:rsidRPr="00375DD6">
        <w:t>, 202</w:t>
      </w:r>
      <w:r w:rsidRPr="00375DD6" w:rsidR="005269F1">
        <w:t>2</w:t>
      </w:r>
      <w:r w:rsidRPr="00375DD6">
        <w:t xml:space="preserve">) (Petition).  </w:t>
      </w:r>
      <w:r w:rsidRPr="00375DD6" w:rsidR="005269F1">
        <w:t>SBS</w:t>
      </w:r>
      <w:r w:rsidRPr="00375DD6">
        <w:t xml:space="preserve"> filed a supplement to its Petition on </w:t>
      </w:r>
      <w:r w:rsidRPr="00375DD6" w:rsidR="005269F1">
        <w:t>May</w:t>
      </w:r>
      <w:r w:rsidRPr="00375DD6">
        <w:t xml:space="preserve"> </w:t>
      </w:r>
      <w:r w:rsidRPr="00375DD6" w:rsidR="005269F1">
        <w:t>31</w:t>
      </w:r>
      <w:r w:rsidRPr="00375DD6">
        <w:t>, 202</w:t>
      </w:r>
      <w:r w:rsidRPr="00375DD6" w:rsidR="005269F1">
        <w:t>2</w:t>
      </w:r>
      <w:r w:rsidR="00241989">
        <w:t>,</w:t>
      </w:r>
      <w:r w:rsidRPr="00375DD6">
        <w:t xml:space="preserve"> to </w:t>
      </w:r>
      <w:r w:rsidRPr="00375DD6" w:rsidR="005269F1">
        <w:t xml:space="preserve">add two additional existing direct shareholders that are entities organized outside the United States, correct the pre-Petition and proposed post-Petition equity and voting </w:t>
      </w:r>
      <w:r w:rsidR="00140E22">
        <w:t>interest</w:t>
      </w:r>
      <w:r w:rsidR="00B4457F">
        <w:t>s</w:t>
      </w:r>
      <w:r w:rsidR="00140E22">
        <w:t xml:space="preserve"> </w:t>
      </w:r>
      <w:r w:rsidRPr="00375DD6" w:rsidR="005269F1">
        <w:t>held by non-U.S. entities and individuals</w:t>
      </w:r>
      <w:r w:rsidRPr="00375DD6" w:rsidR="00580F69">
        <w:t xml:space="preserve"> (</w:t>
      </w:r>
      <w:r w:rsidRPr="00375DD6" w:rsidR="005269F1">
        <w:t>or to be held upon grant of the Petition by such shareholders</w:t>
      </w:r>
      <w:r w:rsidRPr="00375DD6" w:rsidR="00580F69">
        <w:t>),</w:t>
      </w:r>
      <w:r w:rsidRPr="00375DD6" w:rsidR="005269F1">
        <w:t xml:space="preserve"> and make other small changes.</w:t>
      </w:r>
      <w:r w:rsidRPr="00375DD6">
        <w:t xml:space="preserve">  </w:t>
      </w:r>
      <w:r w:rsidRPr="00375DD6">
        <w:rPr>
          <w:i/>
          <w:iCs/>
        </w:rPr>
        <w:t xml:space="preserve">See </w:t>
      </w:r>
      <w:r w:rsidRPr="00375DD6" w:rsidR="005269F1">
        <w:t>Spanish Broadcasting System, Inc., Letter,</w:t>
      </w:r>
      <w:r w:rsidRPr="00375DD6">
        <w:t xml:space="preserve"> MB Docket No. 2</w:t>
      </w:r>
      <w:r w:rsidRPr="00375DD6" w:rsidR="005269F1">
        <w:t>2</w:t>
      </w:r>
      <w:r w:rsidRPr="00375DD6">
        <w:t>-</w:t>
      </w:r>
      <w:r w:rsidRPr="00375DD6" w:rsidR="005269F1">
        <w:t>61</w:t>
      </w:r>
      <w:r w:rsidRPr="00375DD6">
        <w:t xml:space="preserve"> (</w:t>
      </w:r>
      <w:r w:rsidRPr="00375DD6" w:rsidR="005269F1">
        <w:t>dated</w:t>
      </w:r>
      <w:r w:rsidRPr="00375DD6">
        <w:t xml:space="preserve"> </w:t>
      </w:r>
      <w:r w:rsidRPr="00375DD6" w:rsidR="005269F1">
        <w:t>May</w:t>
      </w:r>
      <w:r w:rsidRPr="00375DD6">
        <w:t xml:space="preserve"> </w:t>
      </w:r>
      <w:r w:rsidRPr="00375DD6" w:rsidR="005269F1">
        <w:t>31</w:t>
      </w:r>
      <w:r w:rsidRPr="00375DD6">
        <w:t>, 202</w:t>
      </w:r>
      <w:r w:rsidRPr="00375DD6" w:rsidR="005269F1">
        <w:t>2</w:t>
      </w:r>
      <w:r w:rsidRPr="00375DD6">
        <w:t>) (</w:t>
      </w:r>
      <w:bookmarkStart w:id="0" w:name="_Hlk91601783"/>
      <w:r w:rsidRPr="00375DD6">
        <w:t>Petition Supplement</w:t>
      </w:r>
      <w:bookmarkEnd w:id="0"/>
      <w:r w:rsidRPr="00375DD6">
        <w:t>).</w:t>
      </w:r>
    </w:p>
  </w:footnote>
  <w:footnote w:id="4">
    <w:p w:rsidR="00110E8E" w:rsidRPr="00375DD6" w:rsidP="00F34100" w14:paraId="1A81D9AA" w14:textId="577E2EDF">
      <w:pPr>
        <w:pStyle w:val="FootnoteText"/>
      </w:pPr>
      <w:r w:rsidRPr="00375DD6">
        <w:rPr>
          <w:rStyle w:val="FootnoteReference"/>
        </w:rPr>
        <w:footnoteRef/>
      </w:r>
      <w:r w:rsidRPr="00375DD6">
        <w:t xml:space="preserve"> </w:t>
      </w:r>
      <w:r w:rsidRPr="00375DD6" w:rsidR="00492D9C">
        <w:t>SBS</w:t>
      </w:r>
      <w:r w:rsidRPr="00375DD6" w:rsidR="003C1DB2">
        <w:t xml:space="preserve"> is a U.S. Hispanic-controlled media and entertainment company serving the Spanish-speaking residents of the United States.</w:t>
      </w:r>
      <w:r w:rsidRPr="00375DD6" w:rsidR="00FB6396">
        <w:t xml:space="preserve">  Petition at 3.</w:t>
      </w:r>
      <w:r w:rsidRPr="00375DD6" w:rsidR="003C1DB2">
        <w:t xml:space="preserve">  As part of a litigation settlement, certain investors would receive a combination of cash and new shares of SBS’s Class A Common Stock.  </w:t>
      </w:r>
      <w:r w:rsidRPr="00375DD6" w:rsidR="00AC2EAE">
        <w:t>Petition</w:t>
      </w:r>
      <w:r w:rsidRPr="00375DD6" w:rsidR="003C1DB2">
        <w:t xml:space="preserve"> at 2-3.  </w:t>
      </w:r>
      <w:r w:rsidRPr="00375DD6" w:rsidR="00F76DFC">
        <w:t>The issuance of the total number of shares required to implement the settlement could cause the aggregate equity foreign ownership of SBS to exceed section 310(b)(4)’s 25% benchmark</w:t>
      </w:r>
      <w:r w:rsidR="00587A80">
        <w:t>s</w:t>
      </w:r>
      <w:r w:rsidRPr="00375DD6" w:rsidR="00F76DFC">
        <w:t xml:space="preserve"> because some of the parties are foreign entities and/or individuals.  </w:t>
      </w:r>
      <w:r w:rsidRPr="00375DD6" w:rsidR="00F76DFC">
        <w:rPr>
          <w:i/>
          <w:iCs/>
        </w:rPr>
        <w:t>Id</w:t>
      </w:r>
      <w:r w:rsidRPr="00375DD6" w:rsidR="00F76DFC">
        <w:t xml:space="preserve">.  </w:t>
      </w:r>
      <w:r w:rsidRPr="00375DD6" w:rsidR="00F76DFC">
        <w:rPr>
          <w:i/>
          <w:iCs/>
        </w:rPr>
        <w:t xml:space="preserve">See also </w:t>
      </w:r>
      <w:r w:rsidRPr="00375DD6" w:rsidR="00F76DFC">
        <w:t>47 § CFR 1.5000(a)(1)</w:t>
      </w:r>
      <w:r w:rsidRPr="00375DD6" w:rsidR="00AC2EAE">
        <w:t xml:space="preserve"> (a broadcast licensee shall “obtain such approval, </w:t>
      </w:r>
      <w:r w:rsidRPr="00375DD6" w:rsidR="00AC2EAE">
        <w:rPr>
          <w:i/>
          <w:iCs/>
        </w:rPr>
        <w:t>before</w:t>
      </w:r>
      <w:r w:rsidRPr="00375DD6" w:rsidR="00AC2EAE">
        <w:t xml:space="preserve"> the aggregate foreign ownership of any controlling, U.S.-organized parent company exceeds, directly and/or indirectly, 25 percent of the U.S. parent’s </w:t>
      </w:r>
      <w:r w:rsidRPr="004679CA" w:rsidR="00AC2EAE">
        <w:t>equity interests and/or 25 percent of its voting interests</w:t>
      </w:r>
      <w:r w:rsidRPr="00375DD6" w:rsidR="00AC2EAE">
        <w:t xml:space="preserve"> . . .”) (emphasis added).</w:t>
      </w:r>
    </w:p>
  </w:footnote>
  <w:footnote w:id="5">
    <w:p w:rsidR="00110E8E" w:rsidRPr="00375DD6" w:rsidP="00F34100" w14:paraId="02880A54" w14:textId="56DB0BA3">
      <w:pPr>
        <w:pStyle w:val="FootnoteText"/>
      </w:pPr>
      <w:r w:rsidRPr="00375DD6">
        <w:rPr>
          <w:rStyle w:val="FootnoteReference"/>
        </w:rPr>
        <w:footnoteRef/>
      </w:r>
      <w:r w:rsidRPr="00375DD6">
        <w:t xml:space="preserve"> Section 310(b)(4) of the Act states:</w:t>
      </w:r>
      <w:r w:rsidR="00F65711">
        <w:t xml:space="preserve"> </w:t>
      </w:r>
      <w:r w:rsidR="002B101A">
        <w:t xml:space="preserve"> </w:t>
      </w:r>
    </w:p>
    <w:p w:rsidR="00110E8E" w:rsidRPr="00375DD6" w:rsidP="00F34100" w14:paraId="3800FB81" w14:textId="77777777">
      <w:pPr>
        <w:pStyle w:val="FootnoteText"/>
        <w:widowControl w:val="0"/>
        <w:ind w:left="432" w:right="432"/>
        <w:jc w:val="both"/>
      </w:pPr>
      <w:r w:rsidRPr="00375DD6">
        <w:t xml:space="preserve">No broadcast or common carrier or aeronautical </w:t>
      </w:r>
      <w:r w:rsidRPr="00375DD6">
        <w:t>en</w:t>
      </w:r>
      <w:r w:rsidRPr="00375DD6">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p w:rsidR="00110E8E" w:rsidRPr="00375DD6" w:rsidP="00F34100" w14:paraId="18BD462E" w14:textId="77777777">
      <w:pPr>
        <w:pStyle w:val="FootnoteText"/>
        <w:widowControl w:val="0"/>
      </w:pPr>
      <w:r w:rsidRPr="00375DD6">
        <w:t>47 U.S.C. § 310(b)(4).</w:t>
      </w:r>
    </w:p>
  </w:footnote>
  <w:footnote w:id="6">
    <w:p w:rsidR="00110E8E" w:rsidRPr="00375DD6" w:rsidP="00F34100" w14:paraId="303A13AD" w14:textId="12EE3EC0">
      <w:pPr>
        <w:pStyle w:val="FootnoteText"/>
      </w:pPr>
      <w:r w:rsidRPr="00375DD6">
        <w:rPr>
          <w:rStyle w:val="FootnoteReference"/>
        </w:rPr>
        <w:footnoteRef/>
      </w:r>
      <w:r w:rsidRPr="00375DD6">
        <w:t xml:space="preserve"> </w:t>
      </w:r>
      <w:r w:rsidRPr="00375DD6">
        <w:rPr>
          <w:i/>
          <w:iCs/>
        </w:rPr>
        <w:t xml:space="preserve">See </w:t>
      </w:r>
      <w:r w:rsidRPr="00375DD6">
        <w:t xml:space="preserve">47 U.S.C. § 310(b)(4); </w:t>
      </w:r>
      <w:bookmarkStart w:id="1" w:name="_Hlk91797902"/>
      <w:r w:rsidRPr="00375DD6">
        <w:t xml:space="preserve">47 CFR §§ 1.5000 </w:t>
      </w:r>
      <w:bookmarkEnd w:id="1"/>
      <w:r w:rsidRPr="00375DD6">
        <w:rPr>
          <w:i/>
          <w:iCs/>
        </w:rPr>
        <w:t>et seq.</w:t>
      </w:r>
      <w:r w:rsidRPr="00375DD6">
        <w:t xml:space="preserve">; </w:t>
      </w:r>
      <w:r w:rsidRPr="00375DD6">
        <w:rPr>
          <w:i/>
          <w:iCs/>
        </w:rPr>
        <w:t>Review of Foreign Ownership Policies for Broadcast, Common Carrier and Aeronautical Radio Licensees Under Section 310(b)(4) of the Communications Act of 1934, as Amended</w:t>
      </w:r>
      <w:r w:rsidRPr="00375DD6">
        <w:t xml:space="preserve">, GN Docket No. 15-236, Report and Order, 31 FCC </w:t>
      </w:r>
      <w:r w:rsidRPr="00375DD6">
        <w:t>Rcd</w:t>
      </w:r>
      <w:r w:rsidRPr="00375DD6">
        <w:t xml:space="preserve"> 11272 (2016) (</w:t>
      </w:r>
      <w:bookmarkStart w:id="2" w:name="_Hlk91692751"/>
      <w:r w:rsidRPr="00375DD6">
        <w:rPr>
          <w:i/>
          <w:iCs/>
        </w:rPr>
        <w:t>2016 Foreign Ownership Order</w:t>
      </w:r>
      <w:bookmarkEnd w:id="2"/>
      <w:r w:rsidRPr="00375DD6">
        <w:t xml:space="preserve">), </w:t>
      </w:r>
      <w:r w:rsidRPr="00375DD6">
        <w:rPr>
          <w:i/>
          <w:iCs/>
        </w:rPr>
        <w:t>pet. for recon. dismissed</w:t>
      </w:r>
      <w:r w:rsidRPr="00375DD6">
        <w:t xml:space="preserve">, 32 FCC </w:t>
      </w:r>
      <w:r w:rsidRPr="00375DD6">
        <w:t>Rcd</w:t>
      </w:r>
      <w:r w:rsidRPr="00375DD6">
        <w:t xml:space="preserve"> 4780 (2017).  </w:t>
      </w:r>
    </w:p>
  </w:footnote>
  <w:footnote w:id="7">
    <w:p w:rsidR="00500774" w:rsidRPr="00375DD6" w:rsidP="00F34100" w14:paraId="1992BC9C" w14:textId="67EFEA42">
      <w:pPr>
        <w:pStyle w:val="FootnoteText"/>
      </w:pPr>
      <w:r w:rsidRPr="00375DD6">
        <w:rPr>
          <w:rStyle w:val="FootnoteReference"/>
        </w:rPr>
        <w:footnoteRef/>
      </w:r>
      <w:r w:rsidRPr="00375DD6">
        <w:t xml:space="preserve"> Petition at 2-3, 9.  SBS seeks approval for foreign investors to hold up to 49.99% </w:t>
      </w:r>
      <w:r w:rsidR="00BA7126">
        <w:t xml:space="preserve">aggregate </w:t>
      </w:r>
      <w:r w:rsidRPr="006B055D" w:rsidR="00A10545">
        <w:t>equity</w:t>
      </w:r>
      <w:r w:rsidRPr="00375DD6" w:rsidR="00A10545">
        <w:t xml:space="preserve"> interest </w:t>
      </w:r>
      <w:r w:rsidR="007B7D69">
        <w:t xml:space="preserve">in </w:t>
      </w:r>
      <w:r w:rsidRPr="00375DD6">
        <w:t>the company</w:t>
      </w:r>
      <w:r w:rsidR="007B7D69">
        <w:t xml:space="preserve">. </w:t>
      </w:r>
      <w:r w:rsidRPr="00375DD6">
        <w:t xml:space="preserve"> It does not seek approval for foreign investors to exceed </w:t>
      </w:r>
      <w:r w:rsidR="004935A8">
        <w:t xml:space="preserve">the 25% benchmark </w:t>
      </w:r>
      <w:r w:rsidR="004765B6">
        <w:t xml:space="preserve">for voting interest set out </w:t>
      </w:r>
      <w:r w:rsidR="004935A8">
        <w:t xml:space="preserve">in </w:t>
      </w:r>
      <w:r w:rsidRPr="00375DD6">
        <w:t>section 310(b)(4)</w:t>
      </w:r>
      <w:r w:rsidRPr="00375DD6" w:rsidR="005269F1">
        <w:t xml:space="preserve">.  </w:t>
      </w:r>
      <w:r w:rsidRPr="00375DD6" w:rsidR="005269F1">
        <w:rPr>
          <w:i/>
          <w:iCs/>
        </w:rPr>
        <w:t>Id</w:t>
      </w:r>
      <w:r w:rsidRPr="00375DD6" w:rsidR="005269F1">
        <w:t xml:space="preserve">. </w:t>
      </w:r>
    </w:p>
  </w:footnote>
  <w:footnote w:id="8">
    <w:p w:rsidR="00110E8E" w:rsidRPr="00375DD6" w:rsidP="00F34100" w14:paraId="3F1199D5" w14:textId="2B1CEBC8">
      <w:pPr>
        <w:pStyle w:val="FootnoteText"/>
      </w:pPr>
      <w:r w:rsidRPr="00375DD6">
        <w:rPr>
          <w:rStyle w:val="FootnoteReference"/>
        </w:rPr>
        <w:footnoteRef/>
      </w:r>
      <w:r w:rsidRPr="00375DD6">
        <w:t xml:space="preserve"> </w:t>
      </w:r>
      <w:r w:rsidRPr="00375DD6" w:rsidR="005269F1">
        <w:rPr>
          <w:rFonts w:eastAsiaTheme="minorHAnsi"/>
          <w:i/>
          <w:iCs/>
        </w:rPr>
        <w:t xml:space="preserve">Id. </w:t>
      </w:r>
      <w:r w:rsidRPr="00375DD6" w:rsidR="005269F1">
        <w:rPr>
          <w:rFonts w:eastAsiaTheme="minorHAnsi"/>
        </w:rPr>
        <w:t>at 9.</w:t>
      </w:r>
      <w:r w:rsidRPr="001B67A8" w:rsidR="001B67A8">
        <w:rPr>
          <w:rFonts w:eastAsiaTheme="minorHAnsi"/>
          <w:i/>
          <w:iCs/>
        </w:rPr>
        <w:t xml:space="preserve"> </w:t>
      </w:r>
      <w:r w:rsidR="004679CA">
        <w:rPr>
          <w:rFonts w:eastAsiaTheme="minorHAnsi"/>
          <w:i/>
          <w:iCs/>
        </w:rPr>
        <w:t xml:space="preserve"> </w:t>
      </w:r>
      <w:r w:rsidRPr="00B9581C" w:rsidR="001B67A8">
        <w:rPr>
          <w:rFonts w:eastAsiaTheme="minorHAnsi"/>
          <w:i/>
          <w:iCs/>
        </w:rPr>
        <w:t>See</w:t>
      </w:r>
      <w:r w:rsidR="001B67A8">
        <w:rPr>
          <w:rFonts w:eastAsiaTheme="minorHAnsi"/>
        </w:rPr>
        <w:t xml:space="preserve"> </w:t>
      </w:r>
      <w:r w:rsidR="005C6179">
        <w:rPr>
          <w:rFonts w:eastAsiaTheme="minorHAnsi"/>
        </w:rPr>
        <w:t xml:space="preserve">47 CFR </w:t>
      </w:r>
      <w:r w:rsidRPr="00B9581C" w:rsidR="005C6179">
        <w:rPr>
          <w:rFonts w:eastAsiaTheme="minorHAnsi"/>
        </w:rPr>
        <w:t>§ 1.5001</w:t>
      </w:r>
      <w:r w:rsidR="005C6179">
        <w:rPr>
          <w:rFonts w:eastAsiaTheme="minorHAnsi"/>
        </w:rPr>
        <w:t>(</w:t>
      </w:r>
      <w:r w:rsidR="005C6179">
        <w:rPr>
          <w:rFonts w:eastAsiaTheme="minorHAnsi"/>
        </w:rPr>
        <w:t>i</w:t>
      </w:r>
      <w:r w:rsidR="005C6179">
        <w:rPr>
          <w:rFonts w:eastAsiaTheme="minorHAnsi"/>
        </w:rPr>
        <w:t>)</w:t>
      </w:r>
      <w:r w:rsidR="00291746">
        <w:rPr>
          <w:rFonts w:eastAsiaTheme="minorHAnsi"/>
        </w:rPr>
        <w:t xml:space="preserve">, 47 CFR </w:t>
      </w:r>
      <w:r w:rsidRPr="00B9581C" w:rsidR="00291746">
        <w:rPr>
          <w:rFonts w:eastAsiaTheme="minorHAnsi"/>
        </w:rPr>
        <w:t>§ 1.5001</w:t>
      </w:r>
      <w:r w:rsidR="00291746">
        <w:rPr>
          <w:rFonts w:eastAsiaTheme="minorHAnsi"/>
        </w:rPr>
        <w:t xml:space="preserve">(k). </w:t>
      </w:r>
    </w:p>
  </w:footnote>
  <w:footnote w:id="9">
    <w:p w:rsidR="00110E8E" w:rsidRPr="00375DD6" w:rsidP="00F34100" w14:paraId="21474CE2" w14:textId="385EA379">
      <w:pPr>
        <w:pStyle w:val="FootnoteText"/>
      </w:pPr>
      <w:r w:rsidRPr="00375DD6">
        <w:rPr>
          <w:rStyle w:val="FootnoteReference"/>
        </w:rPr>
        <w:footnoteRef/>
      </w:r>
      <w:r w:rsidRPr="00375DD6">
        <w:t xml:space="preserve"> The Petition was placed on public comment on </w:t>
      </w:r>
      <w:r w:rsidRPr="00375DD6" w:rsidR="00500774">
        <w:t>February</w:t>
      </w:r>
      <w:r w:rsidRPr="00375DD6">
        <w:t xml:space="preserve"> </w:t>
      </w:r>
      <w:r w:rsidRPr="00375DD6" w:rsidR="00500774">
        <w:t>11</w:t>
      </w:r>
      <w:r w:rsidRPr="00375DD6">
        <w:t>, 202</w:t>
      </w:r>
      <w:r w:rsidRPr="00375DD6" w:rsidR="00500774">
        <w:t>2</w:t>
      </w:r>
      <w:r w:rsidRPr="00375DD6">
        <w:t xml:space="preserve">, with comments due </w:t>
      </w:r>
      <w:r w:rsidRPr="00375DD6" w:rsidR="00500774">
        <w:t>March</w:t>
      </w:r>
      <w:r w:rsidRPr="00375DD6">
        <w:t xml:space="preserve"> </w:t>
      </w:r>
      <w:r w:rsidRPr="00375DD6" w:rsidR="00500774">
        <w:t>14</w:t>
      </w:r>
      <w:r w:rsidRPr="00375DD6">
        <w:t>, 202</w:t>
      </w:r>
      <w:r w:rsidRPr="00375DD6" w:rsidR="00500774">
        <w:t>2</w:t>
      </w:r>
      <w:r w:rsidRPr="00375DD6">
        <w:t xml:space="preserve">, and replies due on </w:t>
      </w:r>
      <w:r w:rsidRPr="00375DD6" w:rsidR="00500774">
        <w:t>March</w:t>
      </w:r>
      <w:r w:rsidRPr="00375DD6">
        <w:t xml:space="preserve"> 2</w:t>
      </w:r>
      <w:r w:rsidRPr="00375DD6" w:rsidR="00500774">
        <w:t>9</w:t>
      </w:r>
      <w:r w:rsidRPr="00375DD6">
        <w:t>, 202</w:t>
      </w:r>
      <w:r w:rsidRPr="00375DD6" w:rsidR="00500774">
        <w:t>2</w:t>
      </w:r>
      <w:r w:rsidRPr="00375DD6">
        <w:t xml:space="preserve">.  </w:t>
      </w:r>
      <w:r w:rsidRPr="00375DD6">
        <w:rPr>
          <w:bCs/>
          <w:i/>
        </w:rPr>
        <w:t xml:space="preserve">Media Bureau Announces Filing of Petition for Declaratory Ruling by </w:t>
      </w:r>
      <w:r w:rsidRPr="00375DD6" w:rsidR="00500774">
        <w:rPr>
          <w:bCs/>
          <w:i/>
        </w:rPr>
        <w:t>Spanish Broadcasting System, Inc.</w:t>
      </w:r>
      <w:r w:rsidRPr="00375DD6">
        <w:rPr>
          <w:bCs/>
        </w:rPr>
        <w:t>, Public Notice, MB Docket No. 2</w:t>
      </w:r>
      <w:r w:rsidRPr="00375DD6" w:rsidR="00500774">
        <w:rPr>
          <w:bCs/>
        </w:rPr>
        <w:t>2</w:t>
      </w:r>
      <w:r w:rsidRPr="00375DD6">
        <w:rPr>
          <w:bCs/>
        </w:rPr>
        <w:t>-</w:t>
      </w:r>
      <w:r w:rsidRPr="00375DD6" w:rsidR="00500774">
        <w:rPr>
          <w:bCs/>
        </w:rPr>
        <w:t>61</w:t>
      </w:r>
      <w:r w:rsidRPr="00375DD6">
        <w:rPr>
          <w:bCs/>
        </w:rPr>
        <w:t>, DA</w:t>
      </w:r>
      <w:r w:rsidRPr="00375DD6" w:rsidR="001E7042">
        <w:rPr>
          <w:bCs/>
        </w:rPr>
        <w:t xml:space="preserve"> </w:t>
      </w:r>
      <w:r w:rsidRPr="00375DD6">
        <w:rPr>
          <w:bCs/>
        </w:rPr>
        <w:t>2</w:t>
      </w:r>
      <w:r w:rsidRPr="00375DD6" w:rsidR="00500774">
        <w:rPr>
          <w:bCs/>
        </w:rPr>
        <w:t>2</w:t>
      </w:r>
      <w:r w:rsidRPr="00375DD6">
        <w:rPr>
          <w:bCs/>
        </w:rPr>
        <w:t>-</w:t>
      </w:r>
      <w:r w:rsidRPr="00375DD6" w:rsidR="00500774">
        <w:rPr>
          <w:bCs/>
        </w:rPr>
        <w:t>142</w:t>
      </w:r>
      <w:r w:rsidRPr="00375DD6">
        <w:rPr>
          <w:bCs/>
        </w:rPr>
        <w:t xml:space="preserve"> (</w:t>
      </w:r>
      <w:r w:rsidRPr="00375DD6" w:rsidR="00500774">
        <w:rPr>
          <w:bCs/>
        </w:rPr>
        <w:t>Feb.</w:t>
      </w:r>
      <w:r w:rsidRPr="00375DD6">
        <w:rPr>
          <w:bCs/>
        </w:rPr>
        <w:t xml:space="preserve"> </w:t>
      </w:r>
      <w:r w:rsidRPr="00375DD6" w:rsidR="00500774">
        <w:rPr>
          <w:bCs/>
        </w:rPr>
        <w:t>11</w:t>
      </w:r>
      <w:r w:rsidRPr="00375DD6">
        <w:rPr>
          <w:bCs/>
        </w:rPr>
        <w:t>, 202</w:t>
      </w:r>
      <w:r w:rsidRPr="00375DD6" w:rsidR="00500774">
        <w:rPr>
          <w:bCs/>
        </w:rPr>
        <w:t>2</w:t>
      </w:r>
      <w:r w:rsidRPr="00375DD6">
        <w:rPr>
          <w:bCs/>
        </w:rPr>
        <w:t>)</w:t>
      </w:r>
      <w:r w:rsidR="002E6369">
        <w:rPr>
          <w:bCs/>
        </w:rPr>
        <w:t xml:space="preserve"> (</w:t>
      </w:r>
      <w:r w:rsidR="002E6369">
        <w:rPr>
          <w:bCs/>
          <w:i/>
          <w:iCs/>
        </w:rPr>
        <w:t>Public Notice</w:t>
      </w:r>
      <w:r w:rsidR="002E6369">
        <w:rPr>
          <w:bCs/>
        </w:rPr>
        <w:t>)</w:t>
      </w:r>
      <w:r w:rsidRPr="00375DD6">
        <w:rPr>
          <w:bCs/>
        </w:rPr>
        <w:t xml:space="preserve">. </w:t>
      </w:r>
    </w:p>
  </w:footnote>
  <w:footnote w:id="10">
    <w:p w:rsidR="00587A80" w:rsidRPr="00587A80" w14:paraId="3572AA80" w14:textId="4D7B4C85">
      <w:pPr>
        <w:pStyle w:val="FootnoteText"/>
      </w:pPr>
      <w:r>
        <w:rPr>
          <w:rStyle w:val="FootnoteReference"/>
        </w:rPr>
        <w:footnoteRef/>
      </w:r>
      <w:r>
        <w:t xml:space="preserve"> </w:t>
      </w:r>
      <w:r>
        <w:rPr>
          <w:i/>
          <w:iCs/>
        </w:rPr>
        <w:t>See supra</w:t>
      </w:r>
      <w:r>
        <w:t xml:space="preserve"> at paras. 5, 10-11.</w:t>
      </w:r>
    </w:p>
  </w:footnote>
  <w:footnote w:id="11">
    <w:p w:rsidR="002B129A" w:rsidRPr="00375DD6" w:rsidP="00F34100" w14:paraId="11D0DB00" w14:textId="5A98E33F">
      <w:pPr>
        <w:pStyle w:val="FootnoteText"/>
      </w:pPr>
      <w:r w:rsidRPr="00375DD6">
        <w:rPr>
          <w:rStyle w:val="FootnoteReference"/>
        </w:rPr>
        <w:footnoteRef/>
      </w:r>
      <w:r w:rsidRPr="00375DD6">
        <w:t xml:space="preserve"> Petition at 2.  </w:t>
      </w:r>
      <w:r w:rsidRPr="00375DD6">
        <w:rPr>
          <w:i/>
          <w:iCs/>
        </w:rPr>
        <w:t>See also</w:t>
      </w:r>
      <w:r w:rsidRPr="00375DD6">
        <w:t xml:space="preserve"> </w:t>
      </w:r>
      <w:r w:rsidRPr="00375DD6">
        <w:rPr>
          <w:i/>
          <w:iCs/>
        </w:rPr>
        <w:t>Cedarview</w:t>
      </w:r>
      <w:r w:rsidRPr="00375DD6">
        <w:rPr>
          <w:i/>
          <w:iCs/>
        </w:rPr>
        <w:t xml:space="preserve"> Opportunities Master Fund, L.P., et al. v. Spanish Broadcasting System, Inc.</w:t>
      </w:r>
      <w:r w:rsidRPr="00375DD6">
        <w:t>, C.A. No. 2017-0785-AGB (Del. Ch.) (</w:t>
      </w:r>
      <w:r w:rsidRPr="00375DD6">
        <w:t>Cedarview</w:t>
      </w:r>
      <w:r w:rsidRPr="00375DD6">
        <w:t xml:space="preserve"> Litigation).</w:t>
      </w:r>
      <w:r w:rsidRPr="00375DD6" w:rsidR="0074125B">
        <w:t xml:space="preserve"> </w:t>
      </w:r>
    </w:p>
  </w:footnote>
  <w:footnote w:id="12">
    <w:p w:rsidR="002B129A" w:rsidRPr="00375DD6" w:rsidP="00F34100" w14:paraId="146E39A3" w14:textId="77777777">
      <w:pPr>
        <w:pStyle w:val="FootnoteText"/>
      </w:pPr>
      <w:r w:rsidRPr="00375DD6">
        <w:rPr>
          <w:rStyle w:val="FootnoteReference"/>
        </w:rPr>
        <w:footnoteRef/>
      </w:r>
      <w:r w:rsidRPr="00375DD6">
        <w:t xml:space="preserve"> Petition at 2.</w:t>
      </w:r>
    </w:p>
  </w:footnote>
  <w:footnote w:id="13">
    <w:p w:rsidR="002B129A" w:rsidRPr="00375DD6" w:rsidP="00F34100" w14:paraId="63A5E340" w14:textId="77777777">
      <w:pPr>
        <w:pStyle w:val="FootnoteText"/>
      </w:pPr>
      <w:r w:rsidRPr="00375DD6">
        <w:rPr>
          <w:rStyle w:val="FootnoteReference"/>
        </w:rPr>
        <w:footnoteRef/>
      </w:r>
      <w:r w:rsidRPr="00375DD6">
        <w:t xml:space="preserve"> </w:t>
      </w:r>
      <w:r w:rsidRPr="00375DD6">
        <w:rPr>
          <w:i/>
          <w:iCs/>
        </w:rPr>
        <w:t>Id</w:t>
      </w:r>
      <w:r w:rsidRPr="00375DD6">
        <w:t>.</w:t>
      </w:r>
    </w:p>
  </w:footnote>
  <w:footnote w:id="14">
    <w:p w:rsidR="002B129A" w:rsidRPr="00375DD6" w:rsidP="00F34100" w14:paraId="6E0C0190" w14:textId="77777777">
      <w:pPr>
        <w:pStyle w:val="FootnoteText"/>
      </w:pPr>
      <w:r w:rsidRPr="00375DD6">
        <w:rPr>
          <w:rStyle w:val="FootnoteReference"/>
        </w:rPr>
        <w:footnoteRef/>
      </w:r>
      <w:r w:rsidRPr="00375DD6">
        <w:t xml:space="preserve"> </w:t>
      </w:r>
      <w:r w:rsidRPr="00375DD6">
        <w:rPr>
          <w:i/>
          <w:iCs/>
        </w:rPr>
        <w:t>Id</w:t>
      </w:r>
      <w:r w:rsidRPr="00375DD6">
        <w:t>.</w:t>
      </w:r>
    </w:p>
  </w:footnote>
  <w:footnote w:id="15">
    <w:p w:rsidR="002B129A" w:rsidRPr="00375DD6" w:rsidP="00F34100" w14:paraId="5DA4E00E" w14:textId="77777777">
      <w:pPr>
        <w:pStyle w:val="FootnoteText"/>
      </w:pPr>
      <w:r w:rsidRPr="00375DD6">
        <w:rPr>
          <w:rStyle w:val="FootnoteReference"/>
        </w:rPr>
        <w:footnoteRef/>
      </w:r>
      <w:r w:rsidRPr="00375DD6">
        <w:t xml:space="preserve"> </w:t>
      </w:r>
      <w:r w:rsidRPr="00375DD6">
        <w:rPr>
          <w:i/>
          <w:iCs/>
        </w:rPr>
        <w:t>Id</w:t>
      </w:r>
      <w:r w:rsidRPr="00375DD6">
        <w:t>. at 3.</w:t>
      </w:r>
    </w:p>
  </w:footnote>
  <w:footnote w:id="16">
    <w:p w:rsidR="002B129A" w:rsidRPr="00375DD6" w:rsidP="00F34100" w14:paraId="193464E9" w14:textId="726E6440">
      <w:pPr>
        <w:pStyle w:val="FootnoteText"/>
      </w:pPr>
      <w:r w:rsidRPr="00375DD6">
        <w:rPr>
          <w:rStyle w:val="FootnoteReference"/>
        </w:rPr>
        <w:footnoteRef/>
      </w:r>
      <w:r w:rsidRPr="00375DD6">
        <w:t xml:space="preserve"> </w:t>
      </w:r>
      <w:r w:rsidRPr="00375DD6" w:rsidR="00483CF5">
        <w:rPr>
          <w:rFonts w:eastAsiaTheme="minorHAnsi"/>
          <w:i/>
          <w:iCs/>
        </w:rPr>
        <w:t>Id</w:t>
      </w:r>
      <w:r w:rsidRPr="00375DD6" w:rsidR="00483CF5">
        <w:rPr>
          <w:rFonts w:eastAsiaTheme="minorHAnsi"/>
        </w:rPr>
        <w:t>.</w:t>
      </w:r>
      <w:r w:rsidRPr="00375DD6">
        <w:rPr>
          <w:rFonts w:eastAsiaTheme="minorHAnsi"/>
        </w:rPr>
        <w:t xml:space="preserve"> at 4-5.</w:t>
      </w:r>
    </w:p>
  </w:footnote>
  <w:footnote w:id="17">
    <w:p w:rsidR="002B129A" w:rsidRPr="00B9581C" w:rsidP="00B9581C" w14:paraId="22F8E7B8" w14:textId="57831B64">
      <w:pPr>
        <w:widowControl/>
        <w:autoSpaceDE w:val="0"/>
        <w:autoSpaceDN w:val="0"/>
        <w:adjustRightInd w:val="0"/>
        <w:spacing w:after="120"/>
        <w:contextualSpacing/>
        <w:rPr>
          <w:rFonts w:eastAsiaTheme="minorHAnsi"/>
          <w:snapToGrid/>
          <w:kern w:val="0"/>
          <w:sz w:val="20"/>
        </w:rPr>
      </w:pPr>
      <w:r w:rsidRPr="00375DD6">
        <w:rPr>
          <w:rStyle w:val="FootnoteReference"/>
        </w:rPr>
        <w:footnoteRef/>
      </w:r>
      <w:r w:rsidRPr="00375DD6">
        <w:rPr>
          <w:sz w:val="20"/>
        </w:rPr>
        <w:t xml:space="preserve"> </w:t>
      </w:r>
      <w:r w:rsidRPr="00B9581C">
        <w:rPr>
          <w:rFonts w:eastAsiaTheme="minorHAnsi"/>
          <w:snapToGrid/>
          <w:kern w:val="0"/>
          <w:sz w:val="20"/>
        </w:rPr>
        <w:t xml:space="preserve">Only </w:t>
      </w:r>
      <w:r w:rsidRPr="00B9581C" w:rsidR="00B9581C">
        <w:rPr>
          <w:rFonts w:eastAsiaTheme="minorHAnsi"/>
          <w:snapToGrid/>
          <w:kern w:val="0"/>
          <w:sz w:val="20"/>
        </w:rPr>
        <w:t xml:space="preserve">Mr. </w:t>
      </w:r>
      <w:r w:rsidRPr="00B9581C">
        <w:rPr>
          <w:rFonts w:eastAsiaTheme="minorHAnsi"/>
          <w:snapToGrid/>
          <w:kern w:val="0"/>
          <w:sz w:val="20"/>
        </w:rPr>
        <w:t>Alarcón</w:t>
      </w:r>
      <w:r w:rsidRPr="00B9581C">
        <w:rPr>
          <w:rFonts w:eastAsiaTheme="minorHAnsi"/>
          <w:snapToGrid/>
          <w:kern w:val="0"/>
          <w:sz w:val="20"/>
        </w:rPr>
        <w:t xml:space="preserve"> would have a 5% or greater voting interest in SBS, thus no other individual or entity would hold an</w:t>
      </w:r>
      <w:r w:rsidRPr="00B9581C" w:rsidR="00B9581C">
        <w:rPr>
          <w:rFonts w:eastAsiaTheme="minorHAnsi"/>
          <w:snapToGrid/>
          <w:kern w:val="0"/>
          <w:sz w:val="20"/>
        </w:rPr>
        <w:t xml:space="preserve"> </w:t>
      </w:r>
      <w:r w:rsidRPr="00B9581C">
        <w:rPr>
          <w:rFonts w:eastAsiaTheme="minorHAnsi"/>
          <w:sz w:val="20"/>
        </w:rPr>
        <w:t xml:space="preserve">attributable interest in SBS.  </w:t>
      </w:r>
      <w:r w:rsidRPr="00B9581C">
        <w:rPr>
          <w:rFonts w:eastAsiaTheme="minorHAnsi"/>
          <w:i/>
          <w:iCs/>
          <w:sz w:val="20"/>
        </w:rPr>
        <w:t xml:space="preserve">See </w:t>
      </w:r>
      <w:r w:rsidRPr="00B9581C">
        <w:rPr>
          <w:rFonts w:eastAsiaTheme="minorHAnsi"/>
          <w:sz w:val="20"/>
        </w:rPr>
        <w:t>47 CFR § 1.500</w:t>
      </w:r>
      <w:r w:rsidRPr="00B9581C" w:rsidR="00010A12">
        <w:rPr>
          <w:rFonts w:eastAsiaTheme="minorHAnsi"/>
          <w:sz w:val="20"/>
        </w:rPr>
        <w:t>1</w:t>
      </w:r>
      <w:r w:rsidR="004679CA">
        <w:rPr>
          <w:rFonts w:eastAsiaTheme="minorHAnsi"/>
          <w:sz w:val="20"/>
        </w:rPr>
        <w:t>(e)</w:t>
      </w:r>
      <w:r w:rsidRPr="00B9581C" w:rsidR="00010A12">
        <w:rPr>
          <w:rFonts w:eastAsiaTheme="minorHAnsi"/>
          <w:sz w:val="20"/>
        </w:rPr>
        <w:t>-(f)</w:t>
      </w:r>
      <w:r w:rsidRPr="00B9581C">
        <w:rPr>
          <w:rFonts w:eastAsiaTheme="minorHAnsi"/>
          <w:sz w:val="20"/>
        </w:rPr>
        <w:t>; 47 CFR § 73.3555, Note 2(a); Petition at 7-8.</w:t>
      </w:r>
    </w:p>
  </w:footnote>
  <w:footnote w:id="18">
    <w:p w:rsidR="002B129A" w:rsidRPr="00375DD6" w:rsidP="00F34100" w14:paraId="41DE32E5" w14:textId="77777777">
      <w:pPr>
        <w:pStyle w:val="FootnoteText"/>
      </w:pPr>
      <w:r w:rsidRPr="00375DD6">
        <w:rPr>
          <w:rStyle w:val="FootnoteReference"/>
        </w:rPr>
        <w:footnoteRef/>
      </w:r>
      <w:r w:rsidRPr="00375DD6">
        <w:t xml:space="preserve"> </w:t>
      </w:r>
      <w:r w:rsidRPr="00375DD6">
        <w:rPr>
          <w:rFonts w:eastAsiaTheme="minorHAnsi"/>
        </w:rPr>
        <w:t>Petition at 4-5, 8, Exhibit B.</w:t>
      </w:r>
    </w:p>
  </w:footnote>
  <w:footnote w:id="19">
    <w:p w:rsidR="002B129A" w:rsidRPr="00375DD6" w:rsidP="00F34100" w14:paraId="045345C0" w14:textId="34922932">
      <w:pPr>
        <w:pStyle w:val="FootnoteText"/>
      </w:pPr>
      <w:r w:rsidRPr="00375DD6">
        <w:rPr>
          <w:rStyle w:val="FootnoteReference"/>
        </w:rPr>
        <w:footnoteRef/>
      </w:r>
      <w:r w:rsidRPr="00375DD6">
        <w:t xml:space="preserve"> </w:t>
      </w:r>
      <w:r w:rsidRPr="00375DD6">
        <w:rPr>
          <w:rFonts w:eastAsiaTheme="minorHAnsi"/>
          <w:i/>
          <w:iCs/>
        </w:rPr>
        <w:t xml:space="preserve">See id. </w:t>
      </w:r>
      <w:r w:rsidRPr="00375DD6">
        <w:rPr>
          <w:rFonts w:eastAsiaTheme="minorHAnsi"/>
        </w:rPr>
        <w:t>at Exhibits B, C</w:t>
      </w:r>
      <w:r w:rsidRPr="00375DD6" w:rsidR="006E48DD">
        <w:rPr>
          <w:rFonts w:eastAsiaTheme="minorHAnsi"/>
        </w:rPr>
        <w:t>; Petition Supplement at Exhibit C.</w:t>
      </w:r>
    </w:p>
  </w:footnote>
  <w:footnote w:id="20">
    <w:p w:rsidR="00483CF5" w:rsidRPr="00375DD6" w:rsidP="00F34100" w14:paraId="078BD4FE" w14:textId="3ACBE701">
      <w:pPr>
        <w:widowControl/>
        <w:autoSpaceDE w:val="0"/>
        <w:autoSpaceDN w:val="0"/>
        <w:adjustRightInd w:val="0"/>
        <w:spacing w:after="120"/>
        <w:rPr>
          <w:rFonts w:eastAsiaTheme="minorHAnsi"/>
          <w:snapToGrid/>
          <w:kern w:val="0"/>
          <w:sz w:val="20"/>
        </w:rPr>
      </w:pPr>
      <w:r w:rsidRPr="00375DD6">
        <w:rPr>
          <w:rStyle w:val="FootnoteReference"/>
        </w:rPr>
        <w:footnoteRef/>
      </w:r>
      <w:r w:rsidRPr="00375DD6">
        <w:rPr>
          <w:sz w:val="20"/>
        </w:rPr>
        <w:t xml:space="preserve"> </w:t>
      </w:r>
      <w:r w:rsidRPr="00375DD6">
        <w:rPr>
          <w:rFonts w:eastAsiaTheme="minorHAnsi"/>
          <w:i/>
          <w:iCs/>
          <w:snapToGrid/>
          <w:kern w:val="0"/>
          <w:sz w:val="20"/>
        </w:rPr>
        <w:t xml:space="preserve">See id. </w:t>
      </w:r>
      <w:r w:rsidRPr="00375DD6">
        <w:rPr>
          <w:rFonts w:eastAsiaTheme="minorHAnsi"/>
          <w:snapToGrid/>
          <w:kern w:val="0"/>
          <w:sz w:val="20"/>
        </w:rPr>
        <w:t>at 9, Exhibits B-C</w:t>
      </w:r>
      <w:r w:rsidRPr="00375DD6" w:rsidR="00F34100">
        <w:rPr>
          <w:rFonts w:eastAsiaTheme="minorHAnsi"/>
          <w:snapToGrid/>
          <w:kern w:val="0"/>
          <w:sz w:val="20"/>
        </w:rPr>
        <w:t>; Petition Supplement at Exhibit C</w:t>
      </w:r>
      <w:r w:rsidRPr="00375DD6">
        <w:rPr>
          <w:rFonts w:eastAsiaTheme="minorHAnsi"/>
          <w:snapToGrid/>
          <w:kern w:val="0"/>
          <w:sz w:val="20"/>
        </w:rPr>
        <w:t>.  In total, the proposed investment would result</w:t>
      </w:r>
      <w:r w:rsidRPr="00375DD6" w:rsidR="004D7D4D">
        <w:rPr>
          <w:rFonts w:eastAsiaTheme="minorHAnsi"/>
          <w:snapToGrid/>
          <w:kern w:val="0"/>
          <w:sz w:val="20"/>
        </w:rPr>
        <w:t xml:space="preserve"> in</w:t>
      </w:r>
      <w:r w:rsidRPr="00375DD6">
        <w:rPr>
          <w:rFonts w:eastAsiaTheme="minorHAnsi"/>
          <w:snapToGrid/>
          <w:kern w:val="0"/>
          <w:sz w:val="20"/>
        </w:rPr>
        <w:t xml:space="preserve"> foreign entities and/or individuals</w:t>
      </w:r>
      <w:r w:rsidRPr="00375DD6" w:rsidR="00F34100">
        <w:rPr>
          <w:rFonts w:eastAsiaTheme="minorHAnsi"/>
          <w:snapToGrid/>
          <w:kern w:val="0"/>
          <w:sz w:val="20"/>
        </w:rPr>
        <w:t xml:space="preserve"> </w:t>
      </w:r>
      <w:r w:rsidRPr="00375DD6">
        <w:rPr>
          <w:rFonts w:eastAsiaTheme="minorHAnsi"/>
          <w:snapToGrid/>
          <w:kern w:val="0"/>
          <w:sz w:val="20"/>
        </w:rPr>
        <w:t xml:space="preserve">holding approximately a </w:t>
      </w:r>
      <w:r w:rsidRPr="00375DD6" w:rsidR="00F34100">
        <w:rPr>
          <w:rFonts w:eastAsiaTheme="minorHAnsi"/>
          <w:snapToGrid/>
          <w:kern w:val="0"/>
          <w:sz w:val="20"/>
        </w:rPr>
        <w:t>7.24</w:t>
      </w:r>
      <w:r w:rsidRPr="00375DD6">
        <w:rPr>
          <w:rFonts w:eastAsiaTheme="minorHAnsi"/>
          <w:snapToGrid/>
          <w:kern w:val="0"/>
          <w:sz w:val="20"/>
        </w:rPr>
        <w:t>% voting interest in SBS and a 2</w:t>
      </w:r>
      <w:r w:rsidRPr="00375DD6" w:rsidR="00F34100">
        <w:rPr>
          <w:rFonts w:eastAsiaTheme="minorHAnsi"/>
          <w:snapToGrid/>
          <w:kern w:val="0"/>
          <w:sz w:val="20"/>
        </w:rPr>
        <w:t>3</w:t>
      </w:r>
      <w:r w:rsidRPr="00375DD6">
        <w:rPr>
          <w:rFonts w:eastAsiaTheme="minorHAnsi"/>
          <w:snapToGrid/>
          <w:kern w:val="0"/>
          <w:sz w:val="20"/>
        </w:rPr>
        <w:t>.</w:t>
      </w:r>
      <w:r w:rsidRPr="00375DD6" w:rsidR="00F34100">
        <w:rPr>
          <w:rFonts w:eastAsiaTheme="minorHAnsi"/>
          <w:snapToGrid/>
          <w:kern w:val="0"/>
          <w:sz w:val="20"/>
        </w:rPr>
        <w:t>6</w:t>
      </w:r>
      <w:r w:rsidRPr="00375DD6">
        <w:rPr>
          <w:rFonts w:eastAsiaTheme="minorHAnsi"/>
          <w:snapToGrid/>
          <w:kern w:val="0"/>
          <w:sz w:val="20"/>
        </w:rPr>
        <w:t>3% equity interest in SBS via ownership of SBS’s</w:t>
      </w:r>
      <w:r w:rsidRPr="00375DD6" w:rsidR="00F34100">
        <w:rPr>
          <w:rFonts w:eastAsiaTheme="minorHAnsi"/>
          <w:snapToGrid/>
          <w:kern w:val="0"/>
          <w:sz w:val="20"/>
        </w:rPr>
        <w:t xml:space="preserve"> </w:t>
      </w:r>
      <w:r w:rsidRPr="00375DD6">
        <w:rPr>
          <w:rFonts w:eastAsiaTheme="minorHAnsi"/>
          <w:snapToGrid/>
          <w:kern w:val="0"/>
          <w:sz w:val="20"/>
        </w:rPr>
        <w:t xml:space="preserve">Stock.  </w:t>
      </w:r>
      <w:r w:rsidRPr="00375DD6" w:rsidR="00F34100">
        <w:rPr>
          <w:rFonts w:eastAsiaTheme="minorHAnsi"/>
          <w:i/>
          <w:iCs/>
          <w:snapToGrid/>
          <w:kern w:val="0"/>
          <w:sz w:val="20"/>
        </w:rPr>
        <w:t>See</w:t>
      </w:r>
      <w:r w:rsidRPr="00375DD6" w:rsidR="00F34100">
        <w:rPr>
          <w:rFonts w:eastAsiaTheme="minorHAnsi"/>
          <w:snapToGrid/>
          <w:kern w:val="0"/>
          <w:sz w:val="20"/>
        </w:rPr>
        <w:t xml:space="preserve"> Petition Supplement at </w:t>
      </w:r>
      <w:r w:rsidRPr="00375DD6">
        <w:rPr>
          <w:rFonts w:eastAsiaTheme="minorHAnsi"/>
          <w:snapToGrid/>
          <w:kern w:val="0"/>
          <w:sz w:val="20"/>
        </w:rPr>
        <w:t>Exhibit C.  These foreign shareholders have been identified as organized in, or citizens of, Belgium,</w:t>
      </w:r>
      <w:r w:rsidRPr="00375DD6" w:rsidR="00F34100">
        <w:rPr>
          <w:rFonts w:eastAsiaTheme="minorHAnsi"/>
          <w:snapToGrid/>
          <w:kern w:val="0"/>
          <w:sz w:val="20"/>
        </w:rPr>
        <w:t xml:space="preserve"> </w:t>
      </w:r>
      <w:r w:rsidRPr="00375DD6">
        <w:rPr>
          <w:rFonts w:eastAsiaTheme="minorHAnsi"/>
          <w:snapToGrid/>
          <w:kern w:val="0"/>
          <w:sz w:val="20"/>
        </w:rPr>
        <w:t xml:space="preserve">Brazil, the British Virgin Islands, Canada, the Cayman Islands, </w:t>
      </w:r>
      <w:r w:rsidRPr="00375DD6" w:rsidR="00F34100">
        <w:rPr>
          <w:rFonts w:eastAsiaTheme="minorHAnsi"/>
          <w:snapToGrid/>
          <w:kern w:val="0"/>
          <w:sz w:val="20"/>
        </w:rPr>
        <w:t>Ecuador,</w:t>
      </w:r>
      <w:r w:rsidRPr="00375DD6">
        <w:rPr>
          <w:rFonts w:eastAsiaTheme="minorHAnsi"/>
          <w:snapToGrid/>
          <w:kern w:val="0"/>
          <w:sz w:val="20"/>
        </w:rPr>
        <w:t xml:space="preserve"> France,</w:t>
      </w:r>
      <w:r w:rsidRPr="00375DD6" w:rsidR="00F34100">
        <w:rPr>
          <w:rFonts w:eastAsiaTheme="minorHAnsi"/>
          <w:snapToGrid/>
          <w:kern w:val="0"/>
          <w:sz w:val="20"/>
        </w:rPr>
        <w:t xml:space="preserve"> Germany, Hong Kong, </w:t>
      </w:r>
      <w:r w:rsidRPr="00375DD6">
        <w:rPr>
          <w:rFonts w:eastAsiaTheme="minorHAnsi"/>
          <w:snapToGrid/>
          <w:kern w:val="0"/>
          <w:sz w:val="20"/>
        </w:rPr>
        <w:t xml:space="preserve">India, </w:t>
      </w:r>
      <w:r w:rsidRPr="00375DD6" w:rsidR="00F34100">
        <w:rPr>
          <w:rFonts w:eastAsiaTheme="minorHAnsi"/>
          <w:snapToGrid/>
          <w:kern w:val="0"/>
          <w:sz w:val="20"/>
        </w:rPr>
        <w:t xml:space="preserve">Ireland, </w:t>
      </w:r>
      <w:r w:rsidRPr="00375DD6">
        <w:rPr>
          <w:rFonts w:eastAsiaTheme="minorHAnsi"/>
          <w:snapToGrid/>
          <w:kern w:val="0"/>
          <w:sz w:val="20"/>
        </w:rPr>
        <w:t>Israel, Italy, Latvia,</w:t>
      </w:r>
      <w:r w:rsidRPr="00375DD6" w:rsidR="00F34100">
        <w:rPr>
          <w:rFonts w:eastAsiaTheme="minorHAnsi"/>
          <w:snapToGrid/>
          <w:kern w:val="0"/>
          <w:sz w:val="20"/>
        </w:rPr>
        <w:t xml:space="preserve"> </w:t>
      </w:r>
      <w:r w:rsidRPr="00375DD6">
        <w:rPr>
          <w:rFonts w:eastAsiaTheme="minorHAnsi"/>
          <w:sz w:val="20"/>
        </w:rPr>
        <w:t>Mexico, the Netherlands, Singapore, the United Kingdom,</w:t>
      </w:r>
      <w:r w:rsidRPr="00375DD6" w:rsidR="00F34100">
        <w:rPr>
          <w:rFonts w:eastAsiaTheme="minorHAnsi"/>
          <w:sz w:val="20"/>
        </w:rPr>
        <w:t xml:space="preserve"> Uruguay,</w:t>
      </w:r>
      <w:r w:rsidRPr="00375DD6">
        <w:rPr>
          <w:rFonts w:eastAsiaTheme="minorHAnsi"/>
          <w:sz w:val="20"/>
        </w:rPr>
        <w:t xml:space="preserve"> and Venezuela.  </w:t>
      </w:r>
      <w:r w:rsidRPr="00375DD6">
        <w:rPr>
          <w:rFonts w:eastAsiaTheme="minorHAnsi"/>
          <w:i/>
          <w:iCs/>
          <w:sz w:val="20"/>
        </w:rPr>
        <w:t>Id.</w:t>
      </w:r>
    </w:p>
  </w:footnote>
  <w:footnote w:id="21">
    <w:p w:rsidR="00DF6842" w:rsidRPr="00375DD6" w:rsidP="00F34100" w14:paraId="3D681034" w14:textId="49B2C27A">
      <w:pPr>
        <w:pStyle w:val="FootnoteText"/>
      </w:pPr>
      <w:r w:rsidRPr="00375DD6">
        <w:rPr>
          <w:rStyle w:val="FootnoteReference"/>
        </w:rPr>
        <w:footnoteRef/>
      </w:r>
      <w:r w:rsidRPr="00375DD6">
        <w:t xml:space="preserve"> Petition at </w:t>
      </w:r>
      <w:r w:rsidRPr="00375DD6" w:rsidR="008D77B0">
        <w:t>9-10</w:t>
      </w:r>
      <w:r w:rsidRPr="00375DD6">
        <w:t xml:space="preserve">; </w:t>
      </w:r>
      <w:r w:rsidRPr="00375DD6">
        <w:rPr>
          <w:i/>
          <w:iCs/>
        </w:rPr>
        <w:t>see also 2016 Foreign Ownership Order</w:t>
      </w:r>
      <w:r w:rsidRPr="00375DD6">
        <w:t xml:space="preserve">, para. 12 (2016).  </w:t>
      </w:r>
    </w:p>
  </w:footnote>
  <w:footnote w:id="22">
    <w:p w:rsidR="008D77B0" w:rsidRPr="00375DD6" w:rsidP="00F34100" w14:paraId="597A1646" w14:textId="04EF2A46">
      <w:pPr>
        <w:pStyle w:val="FootnoteText"/>
      </w:pPr>
      <w:r w:rsidRPr="00375DD6">
        <w:rPr>
          <w:rStyle w:val="FootnoteReference"/>
        </w:rPr>
        <w:footnoteRef/>
      </w:r>
      <w:r w:rsidRPr="00375DD6">
        <w:t xml:space="preserve"> </w:t>
      </w:r>
      <w:r w:rsidR="00F425B2">
        <w:rPr>
          <w:i/>
          <w:iCs/>
        </w:rPr>
        <w:t>Id.</w:t>
      </w:r>
      <w:r w:rsidRPr="00375DD6">
        <w:t>.</w:t>
      </w:r>
    </w:p>
  </w:footnote>
  <w:footnote w:id="23">
    <w:p w:rsidR="0078363B" w:rsidRPr="00375DD6" w14:paraId="525284CB" w14:textId="592D3DAA">
      <w:pPr>
        <w:pStyle w:val="FootnoteText"/>
      </w:pPr>
      <w:r w:rsidRPr="00375DD6">
        <w:rPr>
          <w:rStyle w:val="FootnoteReference"/>
        </w:rPr>
        <w:footnoteRef/>
      </w:r>
      <w:r w:rsidRPr="00375DD6">
        <w:t xml:space="preserve"> </w:t>
      </w:r>
      <w:r w:rsidRPr="00375DD6">
        <w:rPr>
          <w:i/>
          <w:iCs/>
        </w:rPr>
        <w:t>Id</w:t>
      </w:r>
      <w:r w:rsidRPr="00375DD6">
        <w:t>. at 10.</w:t>
      </w:r>
    </w:p>
  </w:footnote>
  <w:footnote w:id="24">
    <w:p w:rsidR="00A8172E" w:rsidRPr="00375DD6" w:rsidP="00F34100" w14:paraId="204EFCF2" w14:textId="517F5038">
      <w:pPr>
        <w:pStyle w:val="FootnoteText"/>
      </w:pPr>
      <w:r w:rsidRPr="00375DD6">
        <w:rPr>
          <w:rStyle w:val="FootnoteReference"/>
        </w:rPr>
        <w:footnoteRef/>
      </w:r>
      <w:r w:rsidRPr="00375DD6">
        <w:t xml:space="preserve"> </w:t>
      </w:r>
      <w:r w:rsidRPr="00375DD6" w:rsidR="0078363B">
        <w:rPr>
          <w:i/>
          <w:iCs/>
        </w:rPr>
        <w:t>Id</w:t>
      </w:r>
      <w:r w:rsidRPr="00375DD6" w:rsidR="0078363B">
        <w:t>.</w:t>
      </w:r>
      <w:r w:rsidRPr="00375DD6">
        <w:t xml:space="preserve"> at 10-11.</w:t>
      </w:r>
    </w:p>
  </w:footnote>
  <w:footnote w:id="25">
    <w:p w:rsidR="00DF6842" w:rsidRPr="00375DD6" w:rsidP="00F34100" w14:paraId="28369FC4" w14:textId="0F9CCABD">
      <w:pPr>
        <w:pStyle w:val="FootnoteText"/>
      </w:pPr>
      <w:r w:rsidRPr="00375DD6">
        <w:rPr>
          <w:rStyle w:val="FootnoteReference"/>
        </w:rPr>
        <w:footnoteRef/>
      </w:r>
      <w:r w:rsidRPr="00375DD6">
        <w:t xml:space="preserve"> </w:t>
      </w:r>
      <w:r w:rsidR="002E6369">
        <w:rPr>
          <w:i/>
          <w:iCs/>
        </w:rPr>
        <w:t xml:space="preserve">Public </w:t>
      </w:r>
      <w:r w:rsidRPr="002E6369" w:rsidR="002E6369">
        <w:rPr>
          <w:i/>
          <w:iCs/>
        </w:rPr>
        <w:t>Notice</w:t>
      </w:r>
      <w:r w:rsidR="002E6369">
        <w:t xml:space="preserve"> at 2 (</w:t>
      </w:r>
      <w:r w:rsidRPr="004679CA" w:rsidR="002E6369">
        <w:rPr>
          <w:i/>
          <w:iCs/>
        </w:rPr>
        <w:t>citing</w:t>
      </w:r>
      <w:r w:rsidR="002E6369">
        <w:t xml:space="preserve"> </w:t>
      </w:r>
      <w:r w:rsidRPr="00375DD6">
        <w:rPr>
          <w:i/>
          <w:iCs/>
        </w:rPr>
        <w:t xml:space="preserve"> Process Reform for Executive Branch Review of Certain FCC Applications and Petitions Involving Foreign Ownership</w:t>
      </w:r>
      <w:r w:rsidRPr="00375DD6">
        <w:t xml:space="preserve">, IB Docket 16-155, Report and Order, 35 FCC </w:t>
      </w:r>
      <w:r w:rsidRPr="00375DD6">
        <w:t>Rcd</w:t>
      </w:r>
      <w:r w:rsidRPr="00375DD6">
        <w:t xml:space="preserve"> 10927 (2020) (setting rules and procedures for referring applications for Executive Branch review consistent with Executive Order No. 13913)</w:t>
      </w:r>
      <w:r w:rsidR="002E6369">
        <w:t>)</w:t>
      </w:r>
      <w:r w:rsidRPr="00375DD6">
        <w:t>.</w:t>
      </w:r>
    </w:p>
  </w:footnote>
  <w:footnote w:id="26">
    <w:p w:rsidR="00DF6842" w:rsidRPr="00375DD6" w:rsidP="00F34100" w14:paraId="529BEF9A" w14:textId="0C1999E6">
      <w:pPr>
        <w:pStyle w:val="FootnoteText"/>
      </w:pPr>
      <w:r w:rsidRPr="00375DD6">
        <w:rPr>
          <w:rStyle w:val="FootnoteReference"/>
        </w:rPr>
        <w:footnoteRef/>
      </w:r>
      <w:r w:rsidRPr="00375DD6">
        <w:t xml:space="preserve"> Letter from </w:t>
      </w:r>
      <w:r w:rsidRPr="00375DD6" w:rsidR="00F902F1">
        <w:t>Elizabeth K. McIntyre</w:t>
      </w:r>
      <w:r w:rsidRPr="00375DD6">
        <w:t>, Attorney Advisor, National Security Division, DOJ, to Marlene H. Dortch, Secretary, FCC, MB Docket No. 2</w:t>
      </w:r>
      <w:r w:rsidRPr="00375DD6" w:rsidR="00F902F1">
        <w:t>2</w:t>
      </w:r>
      <w:r w:rsidRPr="00375DD6">
        <w:t>-</w:t>
      </w:r>
      <w:r w:rsidRPr="00375DD6" w:rsidR="00F902F1">
        <w:t>61</w:t>
      </w:r>
      <w:r w:rsidRPr="00375DD6">
        <w:t xml:space="preserve"> (filed </w:t>
      </w:r>
      <w:r w:rsidRPr="00375DD6" w:rsidR="00F902F1">
        <w:t>Feb.</w:t>
      </w:r>
      <w:r w:rsidRPr="00375DD6">
        <w:t xml:space="preserve"> 1</w:t>
      </w:r>
      <w:r w:rsidRPr="00375DD6" w:rsidR="00F902F1">
        <w:t>5</w:t>
      </w:r>
      <w:r w:rsidRPr="00375DD6">
        <w:t>, 202</w:t>
      </w:r>
      <w:r w:rsidRPr="00375DD6" w:rsidR="00F902F1">
        <w:t>2</w:t>
      </w:r>
      <w:r w:rsidRPr="00375DD6">
        <w:t xml:space="preserve">). </w:t>
      </w:r>
    </w:p>
  </w:footnote>
  <w:footnote w:id="27">
    <w:p w:rsidR="00DF6842" w:rsidRPr="00375DD6" w:rsidP="00F34100" w14:paraId="4343D923" w14:textId="638D16DE">
      <w:pPr>
        <w:pStyle w:val="FootnoteText"/>
      </w:pPr>
      <w:r w:rsidRPr="00375DD6">
        <w:rPr>
          <w:rStyle w:val="FootnoteReference"/>
        </w:rPr>
        <w:footnoteRef/>
      </w:r>
      <w:r w:rsidRPr="00375DD6">
        <w:t xml:space="preserve"> Letter from </w:t>
      </w:r>
      <w:r w:rsidRPr="00375DD6" w:rsidR="00F902F1">
        <w:t>Elizabeth K. McIntyre</w:t>
      </w:r>
      <w:r w:rsidRPr="00375DD6">
        <w:t>, Attorney Advisor, National Security Division, DOJ, to Marlene H. Dortch, Secretary, FCC, MB Docket No. 2</w:t>
      </w:r>
      <w:r w:rsidRPr="00375DD6" w:rsidR="00F902F1">
        <w:t>2</w:t>
      </w:r>
      <w:r w:rsidRPr="00375DD6">
        <w:t>-</w:t>
      </w:r>
      <w:r w:rsidRPr="00375DD6" w:rsidR="00F902F1">
        <w:t>61</w:t>
      </w:r>
      <w:r w:rsidRPr="00375DD6">
        <w:t xml:space="preserve"> (filed </w:t>
      </w:r>
      <w:r w:rsidRPr="00375DD6" w:rsidR="00F902F1">
        <w:t>July</w:t>
      </w:r>
      <w:r w:rsidRPr="00375DD6">
        <w:t xml:space="preserve"> </w:t>
      </w:r>
      <w:r w:rsidRPr="00375DD6" w:rsidR="00F902F1">
        <w:t>29</w:t>
      </w:r>
      <w:r w:rsidRPr="00375DD6">
        <w:t>, 202</w:t>
      </w:r>
      <w:r w:rsidRPr="00375DD6" w:rsidR="00F902F1">
        <w:t>2</w:t>
      </w:r>
      <w:r w:rsidRPr="00375DD6">
        <w:t xml:space="preserve">). </w:t>
      </w:r>
    </w:p>
  </w:footnote>
  <w:footnote w:id="28">
    <w:p w:rsidR="00046FD5" w:rsidRPr="00375DD6" w:rsidP="00F34100" w14:paraId="4FE1C09C" w14:textId="020C4352">
      <w:pPr>
        <w:pStyle w:val="FootnoteText"/>
      </w:pPr>
      <w:r w:rsidRPr="00375DD6">
        <w:rPr>
          <w:rStyle w:val="FootnoteReference"/>
        </w:rPr>
        <w:footnoteRef/>
      </w:r>
      <w:r w:rsidRPr="00375DD6">
        <w:t xml:space="preserve"> Letter from Elizabeth K. McIntyre, Attorney Advisor, National Security Division, DOJ, to Marlene H. Dortch, Secretary, FCC, MB Docket No. 22-61 (filed Sept. 9, 2022); Letter from Elizabeth K. McIntyre, Attorney Advisor, National Security Division, DOJ, to Marlene H. Dortch, Secretary, FCC, MB Docket No. 22-61 (filed Sept. 30, 2022).</w:t>
      </w:r>
    </w:p>
  </w:footnote>
  <w:footnote w:id="29">
    <w:p w:rsidR="00DF6842" w:rsidRPr="00375DD6" w:rsidP="00F34100" w14:paraId="1CEDE6AA" w14:textId="274EDDED">
      <w:pPr>
        <w:pStyle w:val="FootnoteText"/>
      </w:pPr>
      <w:r w:rsidRPr="00375DD6">
        <w:rPr>
          <w:rStyle w:val="FootnoteReference"/>
        </w:rPr>
        <w:footnoteRef/>
      </w:r>
      <w:r w:rsidRPr="00375DD6">
        <w:t xml:space="preserve"> Petition to Adopt Conditions to Authorization and License, MB Docket No. 2</w:t>
      </w:r>
      <w:r w:rsidRPr="00375DD6" w:rsidR="00046FD5">
        <w:t>2</w:t>
      </w:r>
      <w:r w:rsidRPr="00375DD6">
        <w:t>-</w:t>
      </w:r>
      <w:r w:rsidRPr="00375DD6" w:rsidR="00046FD5">
        <w:t>61</w:t>
      </w:r>
      <w:r w:rsidRPr="00375DD6">
        <w:t xml:space="preserve"> (filed Dec. </w:t>
      </w:r>
      <w:r w:rsidRPr="00375DD6" w:rsidR="00046FD5">
        <w:t>8</w:t>
      </w:r>
      <w:r w:rsidRPr="00375DD6">
        <w:t>, 202</w:t>
      </w:r>
      <w:r w:rsidRPr="00375DD6" w:rsidR="00046FD5">
        <w:t>2</w:t>
      </w:r>
      <w:r w:rsidRPr="00375DD6">
        <w:t>).</w:t>
      </w:r>
    </w:p>
  </w:footnote>
  <w:footnote w:id="30">
    <w:p w:rsidR="00DF6842" w:rsidRPr="00375DD6" w:rsidP="00F34100" w14:paraId="6DB6BE27" w14:textId="1C4E662B">
      <w:pPr>
        <w:pStyle w:val="FootnoteText"/>
      </w:pPr>
      <w:r w:rsidRPr="00375DD6">
        <w:rPr>
          <w:rStyle w:val="FootnoteReference"/>
        </w:rPr>
        <w:footnoteRef/>
      </w:r>
      <w:r w:rsidRPr="00375DD6">
        <w:t xml:space="preserve"> </w:t>
      </w:r>
      <w:r w:rsidRPr="00375DD6">
        <w:rPr>
          <w:i/>
          <w:iCs/>
        </w:rPr>
        <w:t>Id. See also</w:t>
      </w:r>
      <w:r w:rsidRPr="00375DD6" w:rsidR="00730F3E">
        <w:t xml:space="preserve"> </w:t>
      </w:r>
      <w:r w:rsidRPr="00375DD6" w:rsidR="00D642DE">
        <w:t xml:space="preserve">November 28, </w:t>
      </w:r>
      <w:r w:rsidRPr="00375DD6">
        <w:t>202</w:t>
      </w:r>
      <w:r w:rsidRPr="00375DD6" w:rsidR="00046FD5">
        <w:t>2</w:t>
      </w:r>
      <w:r w:rsidRPr="00375DD6" w:rsidR="00D642DE">
        <w:t>, Letter from Richard D. Lara, EVP, General Counsel on behalf of Spanish Broadcasting System, Inc. to Chief, Foreign Investment Review Section (FIRS), Deputy Chief, Compliance and Enforcement (FIRS) On Behalf of the Assistance Attorney General for National Security, U.S. Department of Justice, MB Docket No. 22-61 (dated Nov. 28, 2022) (2022</w:t>
      </w:r>
      <w:r w:rsidRPr="00375DD6">
        <w:t xml:space="preserve"> </w:t>
      </w:r>
      <w:r w:rsidRPr="00375DD6" w:rsidR="00046FD5">
        <w:t>SBS</w:t>
      </w:r>
      <w:r w:rsidRPr="00375DD6">
        <w:t>/DOJ Letter of Agreement</w:t>
      </w:r>
      <w:r w:rsidRPr="00375DD6" w:rsidR="00D642DE">
        <w:t>)</w:t>
      </w:r>
      <w:r w:rsidRPr="00375DD6">
        <w:t>.</w:t>
      </w:r>
      <w:r w:rsidRPr="00375DD6">
        <w:rPr>
          <w:i/>
          <w:iCs/>
        </w:rPr>
        <w:t xml:space="preserve"> </w:t>
      </w:r>
    </w:p>
  </w:footnote>
  <w:footnote w:id="31">
    <w:p w:rsidR="00DF6842" w:rsidRPr="00375DD6" w:rsidP="00F34100" w14:paraId="16A9D96E" w14:textId="77777777">
      <w:pPr>
        <w:pStyle w:val="FootnoteText"/>
      </w:pPr>
      <w:r w:rsidRPr="00375DD6">
        <w:rPr>
          <w:rStyle w:val="FootnoteReference"/>
        </w:rPr>
        <w:footnoteRef/>
      </w:r>
      <w:r w:rsidRPr="00375DD6">
        <w:t xml:space="preserve"> 47 U.S.C. § 310(b)(4).</w:t>
      </w:r>
    </w:p>
  </w:footnote>
  <w:footnote w:id="32">
    <w:p w:rsidR="00DF6842" w:rsidRPr="00375DD6" w:rsidP="00F34100" w14:paraId="0D06FCCC" w14:textId="67ADA381">
      <w:pPr>
        <w:pStyle w:val="FootnoteText"/>
      </w:pPr>
      <w:r w:rsidRPr="00375DD6">
        <w:rPr>
          <w:rStyle w:val="FootnoteReference"/>
        </w:rPr>
        <w:footnoteRef/>
      </w:r>
      <w:r w:rsidRPr="00375DD6">
        <w:t xml:space="preserve"> </w:t>
      </w:r>
      <w:r w:rsidRPr="00375DD6">
        <w:rPr>
          <w:i/>
          <w:iCs/>
        </w:rPr>
        <w:t>See id</w:t>
      </w:r>
      <w:r w:rsidRPr="00375DD6" w:rsidR="00546B1D">
        <w:t xml:space="preserve">; </w:t>
      </w:r>
      <w:r w:rsidRPr="00375DD6" w:rsidR="00546B1D">
        <w:rPr>
          <w:i/>
          <w:iCs/>
        </w:rPr>
        <w:t>2016 Foreign Ownership Order</w:t>
      </w:r>
      <w:r w:rsidRPr="00375DD6" w:rsidR="00546B1D">
        <w:t xml:space="preserve">, 31 FCC </w:t>
      </w:r>
      <w:r w:rsidRPr="00375DD6" w:rsidR="00546B1D">
        <w:t>Rcd</w:t>
      </w:r>
      <w:r w:rsidRPr="00375DD6" w:rsidR="00546B1D">
        <w:t xml:space="preserve"> at 11276, para. 5.</w:t>
      </w:r>
    </w:p>
  </w:footnote>
  <w:footnote w:id="33">
    <w:p w:rsidR="00DF6842" w:rsidRPr="00375DD6" w:rsidP="00F34100" w14:paraId="601CDB8D" w14:textId="77777777">
      <w:pPr>
        <w:pStyle w:val="FootnoteText"/>
      </w:pPr>
      <w:r w:rsidRPr="00375DD6">
        <w:rPr>
          <w:rStyle w:val="FootnoteReference"/>
        </w:rPr>
        <w:footnoteRef/>
      </w:r>
      <w:r w:rsidRPr="00375DD6">
        <w:t xml:space="preserve"> </w:t>
      </w:r>
      <w:r w:rsidRPr="00375DD6">
        <w:rPr>
          <w:i/>
          <w:iCs/>
        </w:rPr>
        <w:t>2016 Foreign Ownership Order</w:t>
      </w:r>
      <w:r w:rsidRPr="00375DD6">
        <w:rPr>
          <w:i/>
        </w:rPr>
        <w:t xml:space="preserve">, </w:t>
      </w:r>
      <w:r w:rsidRPr="00375DD6">
        <w:rPr>
          <w:iCs/>
        </w:rPr>
        <w:t xml:space="preserve">31 FCC </w:t>
      </w:r>
      <w:r w:rsidRPr="00375DD6">
        <w:rPr>
          <w:iCs/>
        </w:rPr>
        <w:t>Rcd</w:t>
      </w:r>
      <w:r w:rsidRPr="00375DD6">
        <w:rPr>
          <w:iCs/>
        </w:rPr>
        <w:t xml:space="preserve"> at</w:t>
      </w:r>
      <w:r w:rsidRPr="00375DD6">
        <w:t xml:space="preserve"> 11277, para. 6.</w:t>
      </w:r>
    </w:p>
  </w:footnote>
  <w:footnote w:id="34">
    <w:p w:rsidR="00DF6842" w:rsidRPr="00375DD6" w:rsidP="00F34100" w14:paraId="4E1F87F7" w14:textId="77777777">
      <w:pPr>
        <w:pStyle w:val="FootnoteText"/>
        <w:widowControl w:val="0"/>
      </w:pPr>
      <w:r w:rsidRPr="00375DD6">
        <w:rPr>
          <w:rStyle w:val="FootnoteReference"/>
        </w:rPr>
        <w:footnoteRef/>
      </w:r>
      <w:r w:rsidRPr="00375DD6">
        <w:t xml:space="preserve"> </w:t>
      </w:r>
      <w:r w:rsidRPr="00375DD6">
        <w:rPr>
          <w:i/>
          <w:iCs/>
        </w:rPr>
        <w:t>See generally 2016 Foreign Ownership Order</w:t>
      </w:r>
      <w:r w:rsidRPr="00375DD6">
        <w:t>.</w:t>
      </w:r>
    </w:p>
  </w:footnote>
  <w:footnote w:id="35">
    <w:p w:rsidR="00DF6842" w:rsidRPr="00375DD6" w:rsidP="00F34100" w14:paraId="2AAFDD1B" w14:textId="77777777">
      <w:pPr>
        <w:pStyle w:val="FootnoteText"/>
      </w:pPr>
      <w:r w:rsidRPr="00375DD6">
        <w:rPr>
          <w:rStyle w:val="FootnoteReference"/>
        </w:rPr>
        <w:footnoteRef/>
      </w:r>
      <w:r w:rsidRPr="00375DD6">
        <w:t xml:space="preserve"> </w:t>
      </w:r>
      <w:r w:rsidRPr="00375DD6">
        <w:rPr>
          <w:i/>
          <w:iCs/>
        </w:rPr>
        <w:t xml:space="preserve">Id. </w:t>
      </w:r>
      <w:r w:rsidRPr="00375DD6">
        <w:t xml:space="preserve">at 11282, para. 15. </w:t>
      </w:r>
    </w:p>
  </w:footnote>
  <w:footnote w:id="36">
    <w:p w:rsidR="00DF6842" w:rsidRPr="00375DD6" w:rsidP="00F34100" w14:paraId="2F7EA83D" w14:textId="77777777">
      <w:pPr>
        <w:pStyle w:val="FootnoteText"/>
      </w:pPr>
      <w:r w:rsidRPr="00375DD6">
        <w:rPr>
          <w:rStyle w:val="FootnoteReference"/>
        </w:rPr>
        <w:footnoteRef/>
      </w:r>
      <w:r w:rsidRPr="00375DD6">
        <w:t xml:space="preserve"> </w:t>
      </w:r>
      <w:r w:rsidRPr="00375DD6">
        <w:rPr>
          <w:i/>
          <w:iCs/>
        </w:rPr>
        <w:t>See, e.g., 2016 Foreign Ownership Order</w:t>
      </w:r>
      <w:r w:rsidRPr="00375DD6">
        <w:t xml:space="preserve">, 31 FCC </w:t>
      </w:r>
      <w:r w:rsidRPr="00375DD6">
        <w:t>Rcd</w:t>
      </w:r>
      <w:r w:rsidRPr="00375DD6">
        <w:t xml:space="preserve"> at 11282, 11283-84, paras. 15, 20 (noting that the requirements adopted in the streamlined foreign ownership rules ensure that the Commission has the information necessary to evaluate and understand a licensee’s ownership structure and to fulfill its obligations under section 310(b) of the Act).</w:t>
      </w:r>
    </w:p>
  </w:footnote>
  <w:footnote w:id="37">
    <w:p w:rsidR="00DF6842" w:rsidRPr="00375DD6" w:rsidP="00F34100" w14:paraId="05C17268" w14:textId="4D401049">
      <w:pPr>
        <w:pStyle w:val="FootnoteText"/>
      </w:pPr>
      <w:r w:rsidRPr="00375DD6">
        <w:rPr>
          <w:rStyle w:val="FootnoteReference"/>
        </w:rPr>
        <w:footnoteRef/>
      </w:r>
      <w:r w:rsidRPr="00375DD6">
        <w:t xml:space="preserve"> </w:t>
      </w:r>
      <w:r w:rsidRPr="00375DD6">
        <w:rPr>
          <w:i/>
          <w:iCs/>
        </w:rPr>
        <w:t xml:space="preserve">See </w:t>
      </w:r>
      <w:r w:rsidRPr="00375DD6">
        <w:t xml:space="preserve">Petition at </w:t>
      </w:r>
      <w:r w:rsidRPr="00375DD6" w:rsidR="003F127D">
        <w:t>9</w:t>
      </w:r>
      <w:r w:rsidRPr="00375DD6">
        <w:t>-1</w:t>
      </w:r>
      <w:r w:rsidRPr="00375DD6" w:rsidR="003F127D">
        <w:t>1</w:t>
      </w:r>
      <w:r w:rsidRPr="00375DD6">
        <w:t xml:space="preserve"> (describing public interest benefits related to this Declaratory Ruling).</w:t>
      </w:r>
    </w:p>
  </w:footnote>
  <w:footnote w:id="38">
    <w:p w:rsidR="00DF6842" w:rsidRPr="00375DD6" w:rsidP="00F34100" w14:paraId="694EA970" w14:textId="20449F7D">
      <w:pPr>
        <w:pStyle w:val="FootnoteText"/>
      </w:pPr>
      <w:r w:rsidRPr="00375DD6">
        <w:rPr>
          <w:rStyle w:val="FootnoteReference"/>
        </w:rPr>
        <w:footnoteRef/>
      </w:r>
      <w:r w:rsidRPr="00375DD6">
        <w:t xml:space="preserve"> </w:t>
      </w:r>
      <w:r w:rsidRPr="00375DD6">
        <w:rPr>
          <w:i/>
          <w:iCs/>
        </w:rPr>
        <w:t xml:space="preserve">See </w:t>
      </w:r>
      <w:r w:rsidRPr="00375DD6">
        <w:t>Petition to Adopt Conditions to Authorization and License, MB Docket No. 2</w:t>
      </w:r>
      <w:r w:rsidRPr="00375DD6" w:rsidR="003F127D">
        <w:t>2</w:t>
      </w:r>
      <w:r w:rsidRPr="00375DD6">
        <w:t>-</w:t>
      </w:r>
      <w:r w:rsidRPr="00375DD6" w:rsidR="003F127D">
        <w:t>61</w:t>
      </w:r>
      <w:r w:rsidRPr="00375DD6">
        <w:t xml:space="preserve"> (filed Dec. </w:t>
      </w:r>
      <w:r w:rsidRPr="00375DD6" w:rsidR="003F127D">
        <w:t>8</w:t>
      </w:r>
      <w:r w:rsidRPr="00375DD6">
        <w:t>, 202</w:t>
      </w:r>
      <w:r w:rsidRPr="00375DD6" w:rsidR="003F127D">
        <w:t>2</w:t>
      </w:r>
      <w:r w:rsidRPr="00375DD6">
        <w:t>).  The 202</w:t>
      </w:r>
      <w:r w:rsidRPr="00375DD6" w:rsidR="003F127D">
        <w:t>2</w:t>
      </w:r>
      <w:r w:rsidRPr="00375DD6">
        <w:t xml:space="preserve"> </w:t>
      </w:r>
      <w:r w:rsidRPr="00375DD6" w:rsidR="003F127D">
        <w:t>SBS</w:t>
      </w:r>
      <w:r w:rsidRPr="00375DD6">
        <w:t xml:space="preserve">/DOJ Letter of Agreement sets forth the commitments that </w:t>
      </w:r>
      <w:r w:rsidRPr="00375DD6" w:rsidR="003F127D">
        <w:t>SBS</w:t>
      </w:r>
      <w:r w:rsidRPr="00375DD6">
        <w:t xml:space="preserve"> makes to the DOJ to address national security and law enforcement risks, which include, </w:t>
      </w:r>
      <w:r w:rsidRPr="00375DD6">
        <w:rPr>
          <w:i/>
          <w:iCs/>
        </w:rPr>
        <w:t>inter alia</w:t>
      </w:r>
      <w:r w:rsidRPr="00375DD6">
        <w:t xml:space="preserve">, an obligation to notify the DOJ of any material </w:t>
      </w:r>
      <w:r w:rsidRPr="00375DD6" w:rsidR="003F127D">
        <w:t>changes to its business</w:t>
      </w:r>
      <w:r w:rsidRPr="00375DD6">
        <w:t xml:space="preserve">, </w:t>
      </w:r>
      <w:r w:rsidRPr="00375DD6" w:rsidR="003F127D">
        <w:t xml:space="preserve">complete </w:t>
      </w:r>
      <w:r w:rsidRPr="00375DD6" w:rsidR="00780089">
        <w:t>third-party financial audits</w:t>
      </w:r>
      <w:r w:rsidRPr="00375DD6" w:rsidR="003F127D">
        <w:t xml:space="preserve">, and other miscellaneous </w:t>
      </w:r>
      <w:r w:rsidRPr="00375DD6" w:rsidR="00780089">
        <w:t>commitments</w:t>
      </w:r>
      <w:r w:rsidRPr="00375DD6" w:rsidR="003F127D">
        <w:t xml:space="preserve">.  </w:t>
      </w:r>
      <w:r w:rsidRPr="00375DD6">
        <w:t xml:space="preserve">The </w:t>
      </w:r>
      <w:r w:rsidRPr="00375DD6" w:rsidR="003F127D">
        <w:t>2022</w:t>
      </w:r>
      <w:r w:rsidRPr="00375DD6">
        <w:t xml:space="preserve"> </w:t>
      </w:r>
      <w:r w:rsidRPr="00375DD6" w:rsidR="003F127D">
        <w:t>SBS</w:t>
      </w:r>
      <w:r w:rsidRPr="00375DD6">
        <w:t xml:space="preserve">/DOJ Letter of Agreement contains the specific terms of these commitments and undertakings.  </w:t>
      </w:r>
      <w:r w:rsidRPr="00375DD6">
        <w:rPr>
          <w:i/>
          <w:iCs/>
        </w:rPr>
        <w:t xml:space="preserve">See </w:t>
      </w:r>
      <w:r w:rsidRPr="00375DD6">
        <w:t>202</w:t>
      </w:r>
      <w:r w:rsidRPr="00375DD6" w:rsidR="003F127D">
        <w:t>2</w:t>
      </w:r>
      <w:r w:rsidRPr="00375DD6">
        <w:t xml:space="preserve"> </w:t>
      </w:r>
      <w:r w:rsidRPr="00375DD6" w:rsidR="003F127D">
        <w:t>SBS</w:t>
      </w:r>
      <w:r w:rsidRPr="00375DD6">
        <w:t xml:space="preserve">/DOJ Letter of Agreement. </w:t>
      </w:r>
    </w:p>
  </w:footnote>
  <w:footnote w:id="39">
    <w:p w:rsidR="00DF6842" w:rsidRPr="00375DD6" w:rsidP="00F34100" w14:paraId="081B4155" w14:textId="2DFF3B41">
      <w:pPr>
        <w:pStyle w:val="FootnoteText"/>
        <w:rPr>
          <w:i/>
          <w:iCs/>
        </w:rPr>
      </w:pPr>
      <w:r w:rsidRPr="00375DD6">
        <w:rPr>
          <w:rStyle w:val="FootnoteReference"/>
        </w:rPr>
        <w:footnoteRef/>
      </w:r>
      <w:r w:rsidRPr="00375DD6">
        <w:t xml:space="preserve"> </w:t>
      </w:r>
      <w:r w:rsidRPr="00375DD6">
        <w:rPr>
          <w:i/>
          <w:iCs/>
        </w:rPr>
        <w:t>See 2016 Foreign Ownership Order</w:t>
      </w:r>
      <w:r w:rsidRPr="00375DD6">
        <w:t xml:space="preserve">, 31 FCC </w:t>
      </w:r>
      <w:r w:rsidRPr="00375DD6">
        <w:t>Rcd</w:t>
      </w:r>
      <w:r w:rsidRPr="00375DD6">
        <w:t xml:space="preserve"> at 11282, 11289, paras. 15, 34.  </w:t>
      </w:r>
      <w:r w:rsidRPr="00375DD6">
        <w:rPr>
          <w:i/>
          <w:iCs/>
        </w:rPr>
        <w:t>See also Process Reform for Executive Branch Review of Certain FCC Applications and Petitions Involving Foreign Ownership,</w:t>
      </w:r>
      <w:r w:rsidRPr="00375DD6">
        <w:t xml:space="preserve"> IB Docket 16-155, Report and Order, 35 FCC </w:t>
      </w:r>
      <w:r w:rsidRPr="00375DD6">
        <w:t>Rcd</w:t>
      </w:r>
      <w:r w:rsidRPr="00375DD6">
        <w:t xml:space="preserve"> 10927, 1093</w:t>
      </w:r>
      <w:r w:rsidRPr="00375DD6" w:rsidR="00212271">
        <w:t>4</w:t>
      </w:r>
      <w:r w:rsidRPr="00375DD6">
        <w:t>-36, paras. 17, 24 (2020).</w:t>
      </w:r>
    </w:p>
  </w:footnote>
  <w:footnote w:id="40">
    <w:p w:rsidR="00C55A31" w14:paraId="3A8485DA" w14:textId="2D6B5F13">
      <w:pPr>
        <w:pStyle w:val="FootnoteText"/>
      </w:pPr>
      <w:r>
        <w:rPr>
          <w:rStyle w:val="FootnoteReference"/>
        </w:rPr>
        <w:footnoteRef/>
      </w:r>
      <w:r>
        <w:t xml:space="preserve"> </w:t>
      </w:r>
      <w:r w:rsidRPr="00C55A31">
        <w:rPr>
          <w:i/>
          <w:iCs/>
        </w:rPr>
        <w:t>See also</w:t>
      </w:r>
      <w:r>
        <w:t xml:space="preserve"> 2022 SBS/DOJ Letter of Agreement at 5 (“SBS agrees that in the event that SBS breaches the commitments set forth in this LOA, to include conduct contrary to timely USDOJ objection to any notice submitted pursuant to this LOA, a recommendation may be made that the FCC modify, condition, revoke, cancel, enter other declaratory relief, or render null and void any relevant license, permit, or other authorization granted by the FCC to SBS or its successors-in-interest, in addition to pursuing any other remedy available by law or equity”).</w:t>
      </w:r>
    </w:p>
  </w:footnote>
  <w:footnote w:id="41">
    <w:p w:rsidR="00DF6842" w:rsidRPr="00375DD6" w:rsidP="00F34100" w14:paraId="3364245D" w14:textId="2885912D">
      <w:pPr>
        <w:pStyle w:val="FootnoteText"/>
      </w:pPr>
      <w:r w:rsidRPr="00375DD6">
        <w:rPr>
          <w:rStyle w:val="FootnoteReference"/>
        </w:rPr>
        <w:footnoteRef/>
      </w:r>
      <w:r w:rsidRPr="00375DD6">
        <w:t xml:space="preserve"> </w:t>
      </w:r>
      <w:r w:rsidRPr="00375DD6">
        <w:rPr>
          <w:i/>
          <w:iCs/>
        </w:rPr>
        <w:t>See generally</w:t>
      </w:r>
      <w:r w:rsidRPr="00375DD6">
        <w:t xml:space="preserve"> 47 CFR § 1.5004.  Section 1.5004, </w:t>
      </w:r>
      <w:r w:rsidRPr="00375DD6">
        <w:rPr>
          <w:i/>
          <w:iCs/>
        </w:rPr>
        <w:t>inter alia</w:t>
      </w:r>
      <w:r w:rsidRPr="00375DD6">
        <w:t xml:space="preserve">, specifies that licensees have an ongoing, proactive obligation to monitor their foreign ownership compliance and to take preemptive action to remain in compliance with the Commission's foreign ownership rules and any declaratory ruling they have received.  47 CFR § 1.5004(a).  It sets out the requirements for when a licensee must seek Commission approval prior </w:t>
      </w:r>
      <w:r w:rsidRPr="00375DD6" w:rsidR="00022DB9">
        <w:t>for</w:t>
      </w:r>
      <w:r w:rsidRPr="00375DD6">
        <w:t xml:space="preserve"> any new, not previously approved foreign individuals, entities, or groups acquiring an interest in excess of the specific approval threshold. </w:t>
      </w:r>
      <w:r w:rsidRPr="00375DD6" w:rsidR="00022DB9">
        <w:t xml:space="preserve"> </w:t>
      </w:r>
      <w:r w:rsidRPr="00375DD6">
        <w:t>47 CFR § 1.5004(a).  It sets out a licensee’s obligations regarding subsidiaries and affiliates and the insertion of new controlling or non-controlling foreign-organized companies.  47 CFR § 1.5004(b)-(d).  It also specifies when a new petition for declaratory ruling must be filed and the obligations for continuing compliance, including how to report inadvertent non-compliance, and how to file a remedial petition for declaratory ruling, as well as the consequences of trying to evade the foreign ownership rules.  47 CFR § 1.5004(e)-(f).</w:t>
      </w:r>
    </w:p>
  </w:footnote>
  <w:footnote w:id="42">
    <w:p w:rsidR="00DF6842" w:rsidRPr="00375DD6" w:rsidP="00F34100" w14:paraId="23D3D576" w14:textId="77777777">
      <w:pPr>
        <w:pStyle w:val="FootnoteText"/>
      </w:pPr>
      <w:r w:rsidRPr="00375DD6">
        <w:rPr>
          <w:rStyle w:val="FootnoteReference"/>
        </w:rPr>
        <w:footnoteRef/>
      </w:r>
      <w:r w:rsidRPr="00375DD6">
        <w:t xml:space="preserve"> 47 CFR § 1.5004(a)(1).</w:t>
      </w:r>
    </w:p>
  </w:footnote>
  <w:footnote w:id="43">
    <w:p w:rsidR="00DF6842" w:rsidRPr="00375DD6" w:rsidP="00F34100" w14:paraId="10B0C2E6" w14:textId="293AA755">
      <w:pPr>
        <w:pStyle w:val="FootnoteText"/>
      </w:pPr>
      <w:r w:rsidRPr="00375DD6">
        <w:rPr>
          <w:rStyle w:val="FootnoteReference"/>
        </w:rPr>
        <w:footnoteRef/>
      </w:r>
      <w:r w:rsidRPr="00375DD6">
        <w:t xml:space="preserve"> </w:t>
      </w:r>
      <w:r w:rsidRPr="00375DD6">
        <w:rPr>
          <w:i/>
          <w:iCs/>
        </w:rPr>
        <w:t xml:space="preserve">See </w:t>
      </w:r>
      <w:r w:rsidRPr="00375DD6">
        <w:t xml:space="preserve">47 CFR § 1.5004(f)(1).  If, for example, a foreign individual or entity should invest in </w:t>
      </w:r>
      <w:r w:rsidRPr="00375DD6" w:rsidR="00117B1F">
        <w:t>SBS</w:t>
      </w:r>
      <w:r w:rsidRPr="00375DD6">
        <w:t xml:space="preserve"> above the specific approval threshold without Commission approval, </w:t>
      </w:r>
      <w:r w:rsidRPr="00375DD6" w:rsidR="00117B1F">
        <w:t>SBS</w:t>
      </w:r>
      <w:r w:rsidRPr="00375DD6">
        <w:t xml:space="preserve">, as licensee, is obligated to follow the steps set out in 47 CFR § 1.5004(f).  Subsequent actions taken by or on behalf of </w:t>
      </w:r>
      <w:r w:rsidRPr="00375DD6" w:rsidR="00117B1F">
        <w:t>SBS</w:t>
      </w:r>
      <w:r w:rsidRPr="00375DD6">
        <w:t xml:space="preserve"> to remedy non-compliance shall not relieve it of the obligation to notify the Commission of the circumstances (including duration) of non-compliance.</w:t>
      </w:r>
    </w:p>
  </w:footnote>
  <w:footnote w:id="44">
    <w:p w:rsidR="00DF6842" w:rsidRPr="00477C0B" w:rsidP="00F34100" w14:paraId="6831996A" w14:textId="27BF6E64">
      <w:pPr>
        <w:pStyle w:val="FootnoteText"/>
        <w:rPr>
          <w:i/>
          <w:iCs/>
        </w:rPr>
      </w:pPr>
      <w:r w:rsidRPr="00375DD6">
        <w:rPr>
          <w:rStyle w:val="FootnoteReference"/>
        </w:rPr>
        <w:footnoteRef/>
      </w:r>
      <w:r w:rsidRPr="00375DD6">
        <w:t xml:space="preserve"> </w:t>
      </w:r>
      <w:r w:rsidRPr="00375DD6">
        <w:rPr>
          <w:i/>
          <w:iCs/>
        </w:rPr>
        <w:t>Id.</w:t>
      </w:r>
      <w:r w:rsidR="0060796D">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BBA" w14:paraId="6848FD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rsidP="00810B6F" w14:paraId="476B970C" w14:textId="76797615">
    <w:pPr>
      <w:pStyle w:val="Header"/>
      <w:rPr>
        <w:b w:val="0"/>
      </w:rPr>
    </w:pPr>
    <w:r>
      <w:tab/>
      <w:t>Federal Communications Commission</w:t>
    </w:r>
    <w:r>
      <w:tab/>
      <w:t xml:space="preserve">DA </w:t>
    </w:r>
    <w:r>
      <w:t>23</w:t>
    </w:r>
    <w:r w:rsidR="00B27BBA">
      <w:t>-102</w:t>
    </w:r>
  </w:p>
  <w:p w:rsidR="00490361" w14:paraId="058E923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90361" w14:paraId="498BD5D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rsidP="00810B6F" w14:paraId="1BC10280" w14:textId="51EBFBB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23</w:t>
    </w:r>
    <w:r w:rsidR="00B27BBA">
      <w:rPr>
        <w:spacing w:val="-2"/>
      </w:rPr>
      <w:t>-102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455631D1"/>
    <w:multiLevelType w:val="hybridMultilevel"/>
    <w:tmpl w:val="92484A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8E"/>
    <w:rsid w:val="00010A12"/>
    <w:rsid w:val="00022DB9"/>
    <w:rsid w:val="000347EB"/>
    <w:rsid w:val="00046FD5"/>
    <w:rsid w:val="00094B72"/>
    <w:rsid w:val="000D1234"/>
    <w:rsid w:val="001044CE"/>
    <w:rsid w:val="00110E8E"/>
    <w:rsid w:val="001130F4"/>
    <w:rsid w:val="00116483"/>
    <w:rsid w:val="00117B1F"/>
    <w:rsid w:val="00140E22"/>
    <w:rsid w:val="00156668"/>
    <w:rsid w:val="001859BA"/>
    <w:rsid w:val="001A2E8B"/>
    <w:rsid w:val="001B67A8"/>
    <w:rsid w:val="001E7042"/>
    <w:rsid w:val="001F3AC2"/>
    <w:rsid w:val="00207D4D"/>
    <w:rsid w:val="00212271"/>
    <w:rsid w:val="0023348D"/>
    <w:rsid w:val="00241989"/>
    <w:rsid w:val="00276329"/>
    <w:rsid w:val="00291746"/>
    <w:rsid w:val="002B101A"/>
    <w:rsid w:val="002B129A"/>
    <w:rsid w:val="002D09F2"/>
    <w:rsid w:val="002E6369"/>
    <w:rsid w:val="003102AB"/>
    <w:rsid w:val="00312F75"/>
    <w:rsid w:val="0033661E"/>
    <w:rsid w:val="003719D6"/>
    <w:rsid w:val="00375DD6"/>
    <w:rsid w:val="0037701A"/>
    <w:rsid w:val="00380FD3"/>
    <w:rsid w:val="003A5DB6"/>
    <w:rsid w:val="003C065A"/>
    <w:rsid w:val="003C1DB2"/>
    <w:rsid w:val="003F127D"/>
    <w:rsid w:val="004177C8"/>
    <w:rsid w:val="004430A3"/>
    <w:rsid w:val="00454926"/>
    <w:rsid w:val="004679CA"/>
    <w:rsid w:val="004765B6"/>
    <w:rsid w:val="00477C0B"/>
    <w:rsid w:val="00483CF5"/>
    <w:rsid w:val="00490361"/>
    <w:rsid w:val="00492D9C"/>
    <w:rsid w:val="004935A8"/>
    <w:rsid w:val="004A723E"/>
    <w:rsid w:val="004D7D4D"/>
    <w:rsid w:val="004F6F98"/>
    <w:rsid w:val="00500774"/>
    <w:rsid w:val="005269F1"/>
    <w:rsid w:val="00546B1D"/>
    <w:rsid w:val="0055614C"/>
    <w:rsid w:val="00580F69"/>
    <w:rsid w:val="00587A80"/>
    <w:rsid w:val="005C0ED1"/>
    <w:rsid w:val="005C5CB0"/>
    <w:rsid w:val="005C6179"/>
    <w:rsid w:val="005F6907"/>
    <w:rsid w:val="0060796D"/>
    <w:rsid w:val="0062236F"/>
    <w:rsid w:val="006438D6"/>
    <w:rsid w:val="0065779F"/>
    <w:rsid w:val="00692348"/>
    <w:rsid w:val="00696DD7"/>
    <w:rsid w:val="006B055D"/>
    <w:rsid w:val="006B5DD0"/>
    <w:rsid w:val="006C3903"/>
    <w:rsid w:val="006D1210"/>
    <w:rsid w:val="006D7B0D"/>
    <w:rsid w:val="006E48DD"/>
    <w:rsid w:val="006F3F71"/>
    <w:rsid w:val="00730F3E"/>
    <w:rsid w:val="0074125B"/>
    <w:rsid w:val="00771E88"/>
    <w:rsid w:val="00774911"/>
    <w:rsid w:val="00780089"/>
    <w:rsid w:val="00782AC4"/>
    <w:rsid w:val="0078363B"/>
    <w:rsid w:val="007869A7"/>
    <w:rsid w:val="007874AE"/>
    <w:rsid w:val="007A2853"/>
    <w:rsid w:val="007A2DC4"/>
    <w:rsid w:val="007A3DC1"/>
    <w:rsid w:val="007A7C7D"/>
    <w:rsid w:val="007B284F"/>
    <w:rsid w:val="007B7D69"/>
    <w:rsid w:val="007C2F40"/>
    <w:rsid w:val="007E3B13"/>
    <w:rsid w:val="00802F0C"/>
    <w:rsid w:val="00807097"/>
    <w:rsid w:val="00810B6F"/>
    <w:rsid w:val="0081141C"/>
    <w:rsid w:val="008167EA"/>
    <w:rsid w:val="00823002"/>
    <w:rsid w:val="00827E70"/>
    <w:rsid w:val="008304DE"/>
    <w:rsid w:val="00851AB3"/>
    <w:rsid w:val="008635CB"/>
    <w:rsid w:val="0087665D"/>
    <w:rsid w:val="008901DE"/>
    <w:rsid w:val="008A78F6"/>
    <w:rsid w:val="008D2600"/>
    <w:rsid w:val="008D77B0"/>
    <w:rsid w:val="008E23A6"/>
    <w:rsid w:val="008F3445"/>
    <w:rsid w:val="008F42FB"/>
    <w:rsid w:val="00957292"/>
    <w:rsid w:val="00957C35"/>
    <w:rsid w:val="009974A4"/>
    <w:rsid w:val="009B0BD5"/>
    <w:rsid w:val="009B684F"/>
    <w:rsid w:val="009E1D00"/>
    <w:rsid w:val="009E3037"/>
    <w:rsid w:val="00A10545"/>
    <w:rsid w:val="00A16647"/>
    <w:rsid w:val="00A70DE2"/>
    <w:rsid w:val="00A74B4E"/>
    <w:rsid w:val="00A8172E"/>
    <w:rsid w:val="00A836C7"/>
    <w:rsid w:val="00A86492"/>
    <w:rsid w:val="00AB1FE0"/>
    <w:rsid w:val="00AC2EAE"/>
    <w:rsid w:val="00AC3827"/>
    <w:rsid w:val="00AC7A8C"/>
    <w:rsid w:val="00AD77AF"/>
    <w:rsid w:val="00AE463F"/>
    <w:rsid w:val="00AE4657"/>
    <w:rsid w:val="00B023C8"/>
    <w:rsid w:val="00B27BBA"/>
    <w:rsid w:val="00B302E7"/>
    <w:rsid w:val="00B4457F"/>
    <w:rsid w:val="00B46579"/>
    <w:rsid w:val="00B608A5"/>
    <w:rsid w:val="00B9581C"/>
    <w:rsid w:val="00BA7126"/>
    <w:rsid w:val="00BB4B7A"/>
    <w:rsid w:val="00BD1294"/>
    <w:rsid w:val="00BF2F81"/>
    <w:rsid w:val="00C12D67"/>
    <w:rsid w:val="00C53109"/>
    <w:rsid w:val="00C55A31"/>
    <w:rsid w:val="00C763D9"/>
    <w:rsid w:val="00C81443"/>
    <w:rsid w:val="00CC37B4"/>
    <w:rsid w:val="00CD6087"/>
    <w:rsid w:val="00CE6D85"/>
    <w:rsid w:val="00CF0DCE"/>
    <w:rsid w:val="00CF2206"/>
    <w:rsid w:val="00D006C3"/>
    <w:rsid w:val="00D071F9"/>
    <w:rsid w:val="00D11D25"/>
    <w:rsid w:val="00D22FC0"/>
    <w:rsid w:val="00D37B75"/>
    <w:rsid w:val="00D641D3"/>
    <w:rsid w:val="00D642DE"/>
    <w:rsid w:val="00D807FE"/>
    <w:rsid w:val="00D924E0"/>
    <w:rsid w:val="00DA3F1D"/>
    <w:rsid w:val="00DF6842"/>
    <w:rsid w:val="00E00835"/>
    <w:rsid w:val="00E07CCB"/>
    <w:rsid w:val="00E50AC5"/>
    <w:rsid w:val="00E67F7D"/>
    <w:rsid w:val="00E97C6C"/>
    <w:rsid w:val="00EE02ED"/>
    <w:rsid w:val="00F2598D"/>
    <w:rsid w:val="00F34100"/>
    <w:rsid w:val="00F425B2"/>
    <w:rsid w:val="00F65711"/>
    <w:rsid w:val="00F66F73"/>
    <w:rsid w:val="00F76DFC"/>
    <w:rsid w:val="00F902F1"/>
    <w:rsid w:val="00F934D5"/>
    <w:rsid w:val="00F93926"/>
    <w:rsid w:val="00FB6396"/>
    <w:rsid w:val="00FC783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0454C9C5"/>
  <w15:chartTrackingRefBased/>
  <w15:docId w15:val="{51CA68A2-1097-4411-80EC-EEE709B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E8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10E8E"/>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10E8E"/>
    <w:pPr>
      <w:keepNext/>
      <w:numPr>
        <w:ilvl w:val="1"/>
        <w:numId w:val="2"/>
      </w:numPr>
      <w:spacing w:after="120"/>
      <w:outlineLvl w:val="1"/>
    </w:pPr>
    <w:rPr>
      <w:b/>
    </w:rPr>
  </w:style>
  <w:style w:type="paragraph" w:styleId="Heading3">
    <w:name w:val="heading 3"/>
    <w:basedOn w:val="Normal"/>
    <w:next w:val="ParaNum"/>
    <w:link w:val="Heading3Char"/>
    <w:qFormat/>
    <w:rsid w:val="00110E8E"/>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110E8E"/>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110E8E"/>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110E8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10E8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10E8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10E8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E8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10E8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10E8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10E8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10E8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10E8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10E8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10E8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10E8E"/>
    <w:rPr>
      <w:rFonts w:ascii="Times New Roman" w:eastAsia="Times New Roman" w:hAnsi="Times New Roman" w:cs="Times New Roman"/>
      <w:b/>
      <w:snapToGrid w:val="0"/>
      <w:kern w:val="28"/>
      <w:szCs w:val="20"/>
    </w:rPr>
  </w:style>
  <w:style w:type="paragraph" w:customStyle="1" w:styleId="ParaNum">
    <w:name w:val="ParaNum"/>
    <w:basedOn w:val="Normal"/>
    <w:rsid w:val="00110E8E"/>
    <w:pPr>
      <w:numPr>
        <w:numId w:val="1"/>
      </w:numPr>
      <w:spacing w:after="120"/>
    </w:p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rsid w:val="00110E8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110E8E"/>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110E8E"/>
    <w:rPr>
      <w:rFonts w:ascii="Times New Roman" w:hAnsi="Times New Roman"/>
      <w:dstrike w:val="0"/>
      <w:color w:val="auto"/>
      <w:sz w:val="20"/>
      <w:vertAlign w:val="superscript"/>
    </w:rPr>
  </w:style>
  <w:style w:type="paragraph" w:styleId="TOAHeading">
    <w:name w:val="toa heading"/>
    <w:basedOn w:val="Normal"/>
    <w:next w:val="Normal"/>
    <w:semiHidden/>
    <w:rsid w:val="00110E8E"/>
    <w:pPr>
      <w:tabs>
        <w:tab w:val="right" w:pos="9360"/>
      </w:tabs>
      <w:suppressAutoHyphens/>
    </w:pPr>
  </w:style>
  <w:style w:type="paragraph" w:styleId="Header">
    <w:name w:val="header"/>
    <w:basedOn w:val="Normal"/>
    <w:link w:val="HeaderChar"/>
    <w:autoRedefine/>
    <w:rsid w:val="00110E8E"/>
    <w:pPr>
      <w:tabs>
        <w:tab w:val="center" w:pos="4680"/>
        <w:tab w:val="right" w:pos="9360"/>
      </w:tabs>
    </w:pPr>
    <w:rPr>
      <w:b/>
    </w:rPr>
  </w:style>
  <w:style w:type="character" w:customStyle="1" w:styleId="HeaderChar">
    <w:name w:val="Header Char"/>
    <w:basedOn w:val="DefaultParagraphFont"/>
    <w:link w:val="Header"/>
    <w:rsid w:val="00110E8E"/>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110E8E"/>
    <w:pPr>
      <w:tabs>
        <w:tab w:val="center" w:pos="4320"/>
        <w:tab w:val="right" w:pos="8640"/>
      </w:tabs>
    </w:pPr>
  </w:style>
  <w:style w:type="character" w:customStyle="1" w:styleId="FooterChar">
    <w:name w:val="Footer Char"/>
    <w:basedOn w:val="DefaultParagraphFont"/>
    <w:link w:val="Footer"/>
    <w:uiPriority w:val="99"/>
    <w:rsid w:val="00110E8E"/>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110E8E"/>
    <w:pPr>
      <w:jc w:val="center"/>
    </w:pPr>
    <w:rPr>
      <w:rFonts w:ascii="Times New Roman Bold" w:hAnsi="Times New Roman Bold"/>
      <w:b/>
      <w:bCs/>
      <w:caps/>
      <w:szCs w:val="22"/>
    </w:rPr>
  </w:style>
  <w:style w:type="character" w:styleId="CommentReference">
    <w:name w:val="annotation reference"/>
    <w:rsid w:val="00110E8E"/>
    <w:rPr>
      <w:sz w:val="16"/>
      <w:szCs w:val="16"/>
    </w:rPr>
  </w:style>
  <w:style w:type="paragraph" w:styleId="CommentText">
    <w:name w:val="annotation text"/>
    <w:basedOn w:val="Normal"/>
    <w:link w:val="CommentTextChar"/>
    <w:rsid w:val="00110E8E"/>
    <w:rPr>
      <w:sz w:val="20"/>
    </w:rPr>
  </w:style>
  <w:style w:type="character" w:customStyle="1" w:styleId="CommentTextChar">
    <w:name w:val="Comment Text Char"/>
    <w:basedOn w:val="DefaultParagraphFont"/>
    <w:link w:val="CommentText"/>
    <w:rsid w:val="00110E8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87665D"/>
    <w:rPr>
      <w:b/>
      <w:bCs/>
    </w:rPr>
  </w:style>
  <w:style w:type="character" w:customStyle="1" w:styleId="CommentSubjectChar">
    <w:name w:val="Comment Subject Char"/>
    <w:basedOn w:val="CommentTextChar"/>
    <w:link w:val="CommentSubject"/>
    <w:uiPriority w:val="99"/>
    <w:semiHidden/>
    <w:rsid w:val="0087665D"/>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241989"/>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