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C0110D" w14:paraId="4B642057" w14:textId="77777777">
      <w:pPr>
        <w:jc w:val="center"/>
        <w:rPr>
          <w:b/>
        </w:rPr>
      </w:pPr>
      <w:r w:rsidRPr="00C0110D">
        <w:rPr>
          <w:b/>
          <w:kern w:val="0"/>
        </w:rPr>
        <w:t>Before</w:t>
      </w:r>
      <w:r w:rsidRPr="00C0110D">
        <w:rPr>
          <w:b/>
        </w:rPr>
        <w:t xml:space="preserve"> the</w:t>
      </w:r>
    </w:p>
    <w:p w:rsidR="00921803" w:rsidRPr="00C0110D" w:rsidP="00921803" w14:paraId="5B398312" w14:textId="77777777">
      <w:pPr>
        <w:pStyle w:val="StyleBoldCentered"/>
        <w:rPr>
          <w:rFonts w:ascii="Times New Roman" w:hAnsi="Times New Roman"/>
        </w:rPr>
      </w:pPr>
      <w:r w:rsidRPr="00C0110D">
        <w:rPr>
          <w:rFonts w:ascii="Times New Roman" w:hAnsi="Times New Roman"/>
        </w:rPr>
        <w:t>F</w:t>
      </w:r>
      <w:r w:rsidRPr="00C0110D">
        <w:rPr>
          <w:rFonts w:ascii="Times New Roman" w:hAnsi="Times New Roman"/>
          <w:caps w:val="0"/>
        </w:rPr>
        <w:t>ederal Communications Commission</w:t>
      </w:r>
    </w:p>
    <w:p w:rsidR="004C2EE3" w:rsidP="00096D8C" w14:paraId="48661EBB" w14:textId="77777777">
      <w:pPr>
        <w:pStyle w:val="StyleBoldCentered"/>
      </w:pPr>
      <w:r w:rsidRPr="00C0110D">
        <w:rPr>
          <w:rFonts w:ascii="Times New Roman" w:hAnsi="Times New Roman"/>
          <w:caps w:val="0"/>
        </w:rPr>
        <w:t>Washington, D.C. 20554</w:t>
      </w:r>
    </w:p>
    <w:p w:rsidR="004C2EE3" w:rsidP="0070224F" w14:paraId="10B5D9EE" w14:textId="77777777"/>
    <w:tbl>
      <w:tblPr>
        <w:tblW w:w="9576" w:type="dxa"/>
        <w:tblLayout w:type="fixed"/>
        <w:tblLook w:val="0000"/>
      </w:tblPr>
      <w:tblGrid>
        <w:gridCol w:w="4698"/>
        <w:gridCol w:w="630"/>
        <w:gridCol w:w="4248"/>
      </w:tblGrid>
      <w:tr w14:paraId="14ECD5E9" w14:textId="77777777" w:rsidTr="007A7843">
        <w:tblPrEx>
          <w:tblW w:w="9576" w:type="dxa"/>
          <w:tblLayout w:type="fixed"/>
          <w:tblLook w:val="0000"/>
        </w:tblPrEx>
        <w:tc>
          <w:tcPr>
            <w:tcW w:w="4698" w:type="dxa"/>
          </w:tcPr>
          <w:p w:rsidR="004C2EE3" w:rsidRPr="00C0110D" w14:paraId="744747EC" w14:textId="77777777">
            <w:pPr>
              <w:tabs>
                <w:tab w:val="center" w:pos="4680"/>
              </w:tabs>
              <w:suppressAutoHyphens/>
              <w:rPr>
                <w:spacing w:val="-2"/>
              </w:rPr>
            </w:pPr>
            <w:r w:rsidRPr="00C0110D">
              <w:rPr>
                <w:spacing w:val="-2"/>
              </w:rPr>
              <w:t>In the Matter of</w:t>
            </w:r>
          </w:p>
          <w:p w:rsidR="004A3BAA" w:rsidP="00CB0B47" w14:paraId="51527754" w14:textId="77777777">
            <w:pPr>
              <w:tabs>
                <w:tab w:val="center" w:pos="4680"/>
              </w:tabs>
              <w:suppressAutoHyphens/>
              <w:rPr>
                <w:spacing w:val="-2"/>
              </w:rPr>
            </w:pPr>
          </w:p>
          <w:p w:rsidR="00CB0B47" w:rsidP="00CB0B47" w14:paraId="77F0BD72" w14:textId="29B9A097">
            <w:pPr>
              <w:tabs>
                <w:tab w:val="center" w:pos="4680"/>
              </w:tabs>
              <w:suppressAutoHyphens/>
              <w:rPr>
                <w:spacing w:val="-2"/>
              </w:rPr>
            </w:pPr>
            <w:r w:rsidRPr="00C0110D">
              <w:rPr>
                <w:spacing w:val="-2"/>
              </w:rPr>
              <w:t xml:space="preserve">Palm Television, L.P. and Johnstown (WWCP-TV) Licensee, Inc., Johnstown-Altoona-State College, Pennsylvania  </w:t>
            </w:r>
          </w:p>
          <w:p w:rsidR="004C2EE3" w:rsidRPr="00C0110D" w:rsidP="00CB0B47" w14:paraId="0A0FBDAF" w14:textId="69A0AA0C">
            <w:pPr>
              <w:tabs>
                <w:tab w:val="center" w:pos="4680"/>
              </w:tabs>
              <w:suppressAutoHyphens/>
              <w:rPr>
                <w:spacing w:val="-2"/>
              </w:rPr>
            </w:pPr>
            <w:r w:rsidRPr="00C0110D">
              <w:rPr>
                <w:spacing w:val="-2"/>
              </w:rPr>
              <w:t xml:space="preserve">Petition for Waiver of Sections 76.92(f) and 76.106(a) of the Commission’s Rules  </w:t>
            </w:r>
          </w:p>
        </w:tc>
        <w:tc>
          <w:tcPr>
            <w:tcW w:w="630" w:type="dxa"/>
          </w:tcPr>
          <w:p w:rsidR="004C2EE3" w:rsidRPr="00C0110D" w14:paraId="18ECA317" w14:textId="77777777">
            <w:pPr>
              <w:tabs>
                <w:tab w:val="center" w:pos="4680"/>
              </w:tabs>
              <w:suppressAutoHyphens/>
              <w:rPr>
                <w:b/>
                <w:spacing w:val="-2"/>
              </w:rPr>
            </w:pPr>
            <w:r w:rsidRPr="00C0110D">
              <w:rPr>
                <w:b/>
                <w:spacing w:val="-2"/>
              </w:rPr>
              <w:t>)</w:t>
            </w:r>
          </w:p>
          <w:p w:rsidR="004C2EE3" w:rsidRPr="00C0110D" w14:paraId="49396BE4" w14:textId="77777777">
            <w:pPr>
              <w:tabs>
                <w:tab w:val="center" w:pos="4680"/>
              </w:tabs>
              <w:suppressAutoHyphens/>
              <w:rPr>
                <w:b/>
                <w:spacing w:val="-2"/>
              </w:rPr>
            </w:pPr>
            <w:r w:rsidRPr="00C0110D">
              <w:rPr>
                <w:b/>
                <w:spacing w:val="-2"/>
              </w:rPr>
              <w:t>)</w:t>
            </w:r>
          </w:p>
          <w:p w:rsidR="004C2EE3" w:rsidRPr="00C0110D" w14:paraId="3AECEF0F" w14:textId="77777777">
            <w:pPr>
              <w:tabs>
                <w:tab w:val="center" w:pos="4680"/>
              </w:tabs>
              <w:suppressAutoHyphens/>
              <w:rPr>
                <w:b/>
                <w:spacing w:val="-2"/>
              </w:rPr>
            </w:pPr>
            <w:r w:rsidRPr="00C0110D">
              <w:rPr>
                <w:b/>
                <w:spacing w:val="-2"/>
              </w:rPr>
              <w:t>)</w:t>
            </w:r>
          </w:p>
          <w:p w:rsidR="004C2EE3" w:rsidRPr="00C0110D" w14:paraId="2E9BD523" w14:textId="77777777">
            <w:pPr>
              <w:tabs>
                <w:tab w:val="center" w:pos="4680"/>
              </w:tabs>
              <w:suppressAutoHyphens/>
              <w:rPr>
                <w:b/>
                <w:spacing w:val="-2"/>
              </w:rPr>
            </w:pPr>
            <w:r w:rsidRPr="00C0110D">
              <w:rPr>
                <w:b/>
                <w:spacing w:val="-2"/>
              </w:rPr>
              <w:t>)</w:t>
            </w:r>
          </w:p>
          <w:p w:rsidR="004C2EE3" w:rsidRPr="00C0110D" w14:paraId="2B4C6C85" w14:textId="77777777">
            <w:pPr>
              <w:tabs>
                <w:tab w:val="center" w:pos="4680"/>
              </w:tabs>
              <w:suppressAutoHyphens/>
              <w:rPr>
                <w:b/>
                <w:spacing w:val="-2"/>
              </w:rPr>
            </w:pPr>
            <w:r w:rsidRPr="00C0110D">
              <w:rPr>
                <w:b/>
                <w:spacing w:val="-2"/>
              </w:rPr>
              <w:t>)</w:t>
            </w:r>
          </w:p>
          <w:p w:rsidR="004C2EE3" w:rsidRPr="00C0110D" w14:paraId="2DEBE4C3" w14:textId="77777777">
            <w:pPr>
              <w:tabs>
                <w:tab w:val="center" w:pos="4680"/>
              </w:tabs>
              <w:suppressAutoHyphens/>
              <w:rPr>
                <w:b/>
                <w:spacing w:val="-2"/>
              </w:rPr>
            </w:pPr>
            <w:r w:rsidRPr="00C0110D">
              <w:rPr>
                <w:b/>
                <w:spacing w:val="-2"/>
              </w:rPr>
              <w:t>)</w:t>
            </w:r>
          </w:p>
          <w:p w:rsidR="004C2EE3" w:rsidRPr="00C0110D" w14:paraId="13E2AA2F" w14:textId="77777777">
            <w:pPr>
              <w:tabs>
                <w:tab w:val="center" w:pos="4680"/>
              </w:tabs>
              <w:suppressAutoHyphens/>
              <w:rPr>
                <w:b/>
                <w:spacing w:val="-2"/>
              </w:rPr>
            </w:pPr>
            <w:r w:rsidRPr="00C0110D">
              <w:rPr>
                <w:b/>
                <w:spacing w:val="-2"/>
              </w:rPr>
              <w:t>)</w:t>
            </w:r>
          </w:p>
          <w:p w:rsidR="004C58C7" w:rsidRPr="00C0110D" w14:paraId="06194B6D" w14:textId="012AA1C0">
            <w:pPr>
              <w:tabs>
                <w:tab w:val="center" w:pos="4680"/>
              </w:tabs>
              <w:suppressAutoHyphens/>
              <w:rPr>
                <w:b/>
                <w:spacing w:val="-2"/>
              </w:rPr>
            </w:pPr>
          </w:p>
        </w:tc>
        <w:tc>
          <w:tcPr>
            <w:tcW w:w="4248" w:type="dxa"/>
          </w:tcPr>
          <w:p w:rsidR="004C2EE3" w:rsidRPr="00C0110D" w14:paraId="136F4BBF" w14:textId="77777777">
            <w:pPr>
              <w:tabs>
                <w:tab w:val="center" w:pos="4680"/>
              </w:tabs>
              <w:suppressAutoHyphens/>
              <w:rPr>
                <w:spacing w:val="-2"/>
              </w:rPr>
            </w:pPr>
          </w:p>
          <w:p w:rsidR="004C2EE3" w:rsidRPr="00C0110D" w14:paraId="2FB9AC3D" w14:textId="77777777">
            <w:pPr>
              <w:pStyle w:val="TOAHeading"/>
              <w:tabs>
                <w:tab w:val="center" w:pos="4680"/>
                <w:tab w:val="clear" w:pos="9360"/>
              </w:tabs>
              <w:rPr>
                <w:spacing w:val="-2"/>
              </w:rPr>
            </w:pPr>
          </w:p>
          <w:p w:rsidR="004C2EE3" w:rsidRPr="00C0110D" w14:paraId="404DA113" w14:textId="1E7C84C0">
            <w:pPr>
              <w:tabs>
                <w:tab w:val="center" w:pos="4680"/>
              </w:tabs>
              <w:suppressAutoHyphens/>
              <w:rPr>
                <w:spacing w:val="-2"/>
              </w:rPr>
            </w:pPr>
            <w:r w:rsidRPr="00C0110D">
              <w:rPr>
                <w:spacing w:val="-2"/>
              </w:rPr>
              <w:t>CSR 90</w:t>
            </w:r>
            <w:r w:rsidRPr="00C0110D" w:rsidR="00FF469F">
              <w:rPr>
                <w:spacing w:val="-2"/>
              </w:rPr>
              <w:t>10</w:t>
            </w:r>
            <w:r w:rsidRPr="00C0110D">
              <w:rPr>
                <w:spacing w:val="-2"/>
              </w:rPr>
              <w:t>-N</w:t>
            </w:r>
          </w:p>
          <w:p w:rsidR="000A326D" w:rsidRPr="00C0110D" w14:paraId="01116F70" w14:textId="6788E08B">
            <w:pPr>
              <w:tabs>
                <w:tab w:val="center" w:pos="4680"/>
              </w:tabs>
              <w:suppressAutoHyphens/>
              <w:rPr>
                <w:spacing w:val="-2"/>
              </w:rPr>
            </w:pPr>
            <w:r w:rsidRPr="00C0110D">
              <w:rPr>
                <w:spacing w:val="-2"/>
              </w:rPr>
              <w:t>MB Docket No. 2</w:t>
            </w:r>
            <w:r w:rsidRPr="00C0110D" w:rsidR="00FF469F">
              <w:rPr>
                <w:spacing w:val="-2"/>
              </w:rPr>
              <w:t>3</w:t>
            </w:r>
            <w:r w:rsidRPr="00C0110D">
              <w:rPr>
                <w:spacing w:val="-2"/>
              </w:rPr>
              <w:t>-</w:t>
            </w:r>
            <w:r w:rsidRPr="00C0110D" w:rsidR="00FF469F">
              <w:rPr>
                <w:spacing w:val="-2"/>
              </w:rPr>
              <w:t>183</w:t>
            </w:r>
          </w:p>
        </w:tc>
      </w:tr>
    </w:tbl>
    <w:p w:rsidR="00841AB1" w:rsidRPr="00C0110D" w:rsidP="00F021FA" w14:paraId="3FCC7C83" w14:textId="7F4190BE">
      <w:pPr>
        <w:pStyle w:val="StyleBoldCentered"/>
        <w:rPr>
          <w:rFonts w:ascii="Times New Roman" w:hAnsi="Times New Roman"/>
        </w:rPr>
      </w:pPr>
      <w:r w:rsidRPr="00C0110D">
        <w:rPr>
          <w:rFonts w:ascii="Times New Roman" w:hAnsi="Times New Roman"/>
        </w:rPr>
        <w:t>MEMORANDUM OPINION AND ORDER</w:t>
      </w:r>
    </w:p>
    <w:p w:rsidR="004C2EE3" w:rsidRPr="00C0110D" w14:paraId="22D185DC" w14:textId="77777777">
      <w:pPr>
        <w:tabs>
          <w:tab w:val="left" w:pos="-720"/>
        </w:tabs>
        <w:suppressAutoHyphens/>
        <w:spacing w:line="227" w:lineRule="auto"/>
        <w:rPr>
          <w:spacing w:val="-2"/>
        </w:rPr>
      </w:pPr>
    </w:p>
    <w:p w:rsidR="004C2EE3" w:rsidRPr="00C0110D" w:rsidP="00133F79" w14:paraId="5B08FB59" w14:textId="3CD3D362">
      <w:pPr>
        <w:tabs>
          <w:tab w:val="left" w:pos="720"/>
          <w:tab w:val="right" w:pos="9360"/>
        </w:tabs>
        <w:suppressAutoHyphens/>
        <w:spacing w:line="227" w:lineRule="auto"/>
        <w:rPr>
          <w:spacing w:val="-2"/>
        </w:rPr>
      </w:pPr>
      <w:r w:rsidRPr="00C0110D">
        <w:rPr>
          <w:b/>
          <w:spacing w:val="-2"/>
        </w:rPr>
        <w:t xml:space="preserve">Adopted:  </w:t>
      </w:r>
      <w:r w:rsidR="00370D3A">
        <w:rPr>
          <w:b/>
          <w:spacing w:val="-2"/>
        </w:rPr>
        <w:t>November 1</w:t>
      </w:r>
      <w:r w:rsidRPr="00C0110D" w:rsidR="000A326D">
        <w:rPr>
          <w:b/>
          <w:spacing w:val="-2"/>
        </w:rPr>
        <w:t>, 202</w:t>
      </w:r>
      <w:r w:rsidR="002A64E5">
        <w:rPr>
          <w:b/>
          <w:spacing w:val="-2"/>
        </w:rPr>
        <w:t>3</w:t>
      </w:r>
      <w:r w:rsidRPr="00C0110D">
        <w:rPr>
          <w:b/>
          <w:spacing w:val="-2"/>
        </w:rPr>
        <w:tab/>
      </w:r>
      <w:r w:rsidRPr="00C0110D" w:rsidR="00822CE0">
        <w:rPr>
          <w:b/>
          <w:spacing w:val="-2"/>
        </w:rPr>
        <w:t>Released</w:t>
      </w:r>
      <w:r w:rsidRPr="00C0110D">
        <w:rPr>
          <w:b/>
          <w:spacing w:val="-2"/>
        </w:rPr>
        <w:t>:</w:t>
      </w:r>
      <w:r w:rsidRPr="00C0110D" w:rsidR="00822CE0">
        <w:rPr>
          <w:b/>
          <w:spacing w:val="-2"/>
        </w:rPr>
        <w:t xml:space="preserve"> </w:t>
      </w:r>
      <w:r w:rsidRPr="00C0110D">
        <w:rPr>
          <w:b/>
          <w:spacing w:val="-2"/>
        </w:rPr>
        <w:t xml:space="preserve"> </w:t>
      </w:r>
      <w:r w:rsidR="00370D3A">
        <w:rPr>
          <w:b/>
          <w:spacing w:val="-2"/>
        </w:rPr>
        <w:t xml:space="preserve">November </w:t>
      </w:r>
      <w:r w:rsidR="00535884">
        <w:rPr>
          <w:b/>
          <w:spacing w:val="-2"/>
        </w:rPr>
        <w:t>2</w:t>
      </w:r>
      <w:r w:rsidRPr="00C0110D" w:rsidR="000A326D">
        <w:rPr>
          <w:b/>
          <w:spacing w:val="-2"/>
        </w:rPr>
        <w:t>, 202</w:t>
      </w:r>
      <w:r w:rsidR="002A64E5">
        <w:rPr>
          <w:b/>
          <w:spacing w:val="-2"/>
        </w:rPr>
        <w:t>3</w:t>
      </w:r>
    </w:p>
    <w:p w:rsidR="00822CE0" w:rsidRPr="00C0110D" w14:paraId="029F688B" w14:textId="77777777"/>
    <w:p w:rsidR="004C2EE3" w:rsidRPr="00C0110D" w14:paraId="387A3C7E" w14:textId="38558CCB">
      <w:pPr>
        <w:rPr>
          <w:spacing w:val="-2"/>
        </w:rPr>
      </w:pPr>
      <w:r w:rsidRPr="00C0110D">
        <w:t xml:space="preserve">By </w:t>
      </w:r>
      <w:r w:rsidRPr="00C0110D" w:rsidR="004E4A22">
        <w:t>the</w:t>
      </w:r>
      <w:r w:rsidRPr="00C0110D" w:rsidR="002A2D2E">
        <w:t xml:space="preserve"> </w:t>
      </w:r>
      <w:r w:rsidRPr="00C0110D" w:rsidR="004C58C7">
        <w:rPr>
          <w:spacing w:val="-2"/>
        </w:rPr>
        <w:t>Senior Deputy Chief, Policy Division, Media Bureau</w:t>
      </w:r>
      <w:r w:rsidRPr="00C0110D">
        <w:rPr>
          <w:spacing w:val="-2"/>
        </w:rPr>
        <w:t>:</w:t>
      </w:r>
    </w:p>
    <w:p w:rsidR="00822CE0" w:rsidRPr="00C0110D" w14:paraId="446F76C2" w14:textId="77777777">
      <w:pPr>
        <w:rPr>
          <w:spacing w:val="-2"/>
        </w:rPr>
      </w:pPr>
    </w:p>
    <w:p w:rsidR="004C58C7" w:rsidRPr="00C0110D" w:rsidP="004C58C7" w14:paraId="032BB7D0" w14:textId="77777777">
      <w:pPr>
        <w:pStyle w:val="Heading1"/>
        <w:rPr>
          <w:rFonts w:ascii="Times New Roman" w:hAnsi="Times New Roman"/>
        </w:rPr>
      </w:pPr>
      <w:r w:rsidRPr="00C0110D">
        <w:rPr>
          <w:rFonts w:ascii="Times New Roman" w:hAnsi="Times New Roman"/>
        </w:rPr>
        <w:t>Introduction</w:t>
      </w:r>
    </w:p>
    <w:p w:rsidR="004C58C7" w:rsidRPr="00C0110D" w:rsidP="004C58C7" w14:paraId="3F37570B" w14:textId="31301138">
      <w:pPr>
        <w:pStyle w:val="ParaNum"/>
      </w:pPr>
      <w:r w:rsidRPr="00C0110D">
        <w:t xml:space="preserve">Palm Television, L.P. </w:t>
      </w:r>
      <w:r w:rsidRPr="00C0110D">
        <w:t>(</w:t>
      </w:r>
      <w:r w:rsidRPr="00C0110D">
        <w:t>Palm</w:t>
      </w:r>
      <w:r w:rsidRPr="00C0110D">
        <w:t xml:space="preserve">), licensee of television station </w:t>
      </w:r>
      <w:r w:rsidRPr="00C0110D">
        <w:t>WATM-TV</w:t>
      </w:r>
      <w:r w:rsidRPr="00C0110D">
        <w:t xml:space="preserve"> (</w:t>
      </w:r>
      <w:r w:rsidRPr="00C0110D">
        <w:t>ABC</w:t>
      </w:r>
      <w:r w:rsidRPr="00C0110D">
        <w:t xml:space="preserve">), </w:t>
      </w:r>
      <w:r w:rsidRPr="00C0110D" w:rsidR="00C53BFD">
        <w:t>Altoona</w:t>
      </w:r>
      <w:r w:rsidRPr="00C0110D">
        <w:t xml:space="preserve">, </w:t>
      </w:r>
      <w:r w:rsidRPr="00C0110D" w:rsidR="00C53BFD">
        <w:t>P</w:t>
      </w:r>
      <w:r w:rsidRPr="00C0110D" w:rsidR="009126FF">
        <w:t xml:space="preserve">ennsylvania </w:t>
      </w:r>
      <w:r w:rsidRPr="00C0110D" w:rsidR="00C53BFD">
        <w:t>(Facility ID 20287)</w:t>
      </w:r>
      <w:r w:rsidRPr="00C0110D">
        <w:t>,</w:t>
      </w:r>
      <w:r w:rsidRPr="00C0110D" w:rsidR="00B41731">
        <w:t xml:space="preserve"> and Johnstown (WWCP-TV) Licensee, Inc. (WWCP Licensee), licensee of WWCP-TV, Johnstown, </w:t>
      </w:r>
      <w:r w:rsidRPr="00C0110D" w:rsidR="009126FF">
        <w:t>Pennsylvania</w:t>
      </w:r>
      <w:r w:rsidRPr="00C0110D" w:rsidR="00B41731">
        <w:t xml:space="preserve"> (Facility ID 20295) </w:t>
      </w:r>
      <w:r w:rsidRPr="00C0110D" w:rsidR="00CE0D40">
        <w:t>(collectively Petitioners</w:t>
      </w:r>
      <w:r w:rsidRPr="00C0110D" w:rsidR="00F2625F">
        <w:t xml:space="preserve"> or Palm/WWCP Licensee</w:t>
      </w:r>
      <w:r w:rsidRPr="00C0110D" w:rsidR="00CE0D40">
        <w:t xml:space="preserve">) </w:t>
      </w:r>
      <w:r w:rsidRPr="00C0110D">
        <w:t>filed the above-captioned petition</w:t>
      </w:r>
      <w:r>
        <w:rPr>
          <w:rStyle w:val="FootnoteReference"/>
        </w:rPr>
        <w:footnoteReference w:id="3"/>
      </w:r>
      <w:r w:rsidRPr="00C0110D">
        <w:t xml:space="preserve"> seeking a waiver of the significantly viewed exception to the network non-duplication and syndicated exclusivity rules.</w:t>
      </w:r>
      <w:r>
        <w:rPr>
          <w:rStyle w:val="FootnoteReference"/>
        </w:rPr>
        <w:footnoteReference w:id="4"/>
      </w:r>
      <w:r w:rsidRPr="00C0110D">
        <w:t xml:space="preserve">  </w:t>
      </w:r>
      <w:r w:rsidRPr="00C0110D" w:rsidR="00A67995">
        <w:t xml:space="preserve">The Petitioners </w:t>
      </w:r>
      <w:r w:rsidRPr="00C0110D">
        <w:t xml:space="preserve">seek this waiver in order </w:t>
      </w:r>
      <w:r w:rsidRPr="00C0110D" w:rsidR="00A67995">
        <w:t xml:space="preserve">for WATM-TV </w:t>
      </w:r>
      <w:r w:rsidRPr="00C0110D">
        <w:t>to exercise its network non-duplication and syndicated exclusivity rights against W</w:t>
      </w:r>
      <w:r w:rsidRPr="00C0110D" w:rsidR="00744CD2">
        <w:t>TAE-TV</w:t>
      </w:r>
      <w:r w:rsidRPr="00C0110D">
        <w:t xml:space="preserve"> (</w:t>
      </w:r>
      <w:r w:rsidRPr="00C0110D" w:rsidR="00F47EA7">
        <w:t>ABC</w:t>
      </w:r>
      <w:r w:rsidRPr="00C0110D">
        <w:t xml:space="preserve">), </w:t>
      </w:r>
      <w:r w:rsidRPr="00C0110D" w:rsidR="00F47EA7">
        <w:t>Pittsburgh, Pennsylvania (Facility ID 65681)</w:t>
      </w:r>
      <w:r w:rsidRPr="00C0110D">
        <w:t xml:space="preserve"> in the </w:t>
      </w:r>
      <w:r w:rsidRPr="00C0110D" w:rsidR="00425B58">
        <w:t>following Pennsylvania</w:t>
      </w:r>
      <w:r w:rsidR="00425B58">
        <w:t xml:space="preserve"> </w:t>
      </w:r>
      <w:r w:rsidRPr="00C0110D" w:rsidR="00425B58">
        <w:t xml:space="preserve">cable communities: Johnstown, Ebensburg, and Mineral Point in Cambria County, and Boswell, Friedens, Rockwood, and </w:t>
      </w:r>
      <w:r w:rsidRPr="00C0110D" w:rsidR="00425B58">
        <w:t>Stoystown</w:t>
      </w:r>
      <w:r w:rsidRPr="00C0110D" w:rsidR="00425B58">
        <w:t xml:space="preserve"> in Somerset County</w:t>
      </w:r>
      <w:r w:rsidRPr="00C0110D" w:rsidR="00893022">
        <w:t xml:space="preserve"> (</w:t>
      </w:r>
      <w:r w:rsidR="00675364">
        <w:t xml:space="preserve">the </w:t>
      </w:r>
      <w:r w:rsidRPr="00C0110D" w:rsidR="00893022">
        <w:t>Communities)</w:t>
      </w:r>
      <w:r w:rsidRPr="00C0110D">
        <w:t>.</w:t>
      </w:r>
      <w:r>
        <w:rPr>
          <w:rStyle w:val="FootnoteReference"/>
        </w:rPr>
        <w:footnoteReference w:id="5"/>
      </w:r>
      <w:r w:rsidRPr="00C0110D">
        <w:t xml:space="preserve">  The Petitioner</w:t>
      </w:r>
      <w:r w:rsidRPr="00C0110D" w:rsidR="00F2625F">
        <w:t>s</w:t>
      </w:r>
      <w:r w:rsidRPr="00C0110D">
        <w:t xml:space="preserve"> state that </w:t>
      </w:r>
      <w:r w:rsidRPr="00C0110D" w:rsidR="00F2625F">
        <w:t xml:space="preserve">the Communities are served by two cable providers, </w:t>
      </w:r>
      <w:r w:rsidRPr="00C0110D" w:rsidR="00F2625F">
        <w:t>Cogeco</w:t>
      </w:r>
      <w:r w:rsidRPr="00C0110D" w:rsidR="00F2625F">
        <w:t xml:space="preserve"> US (Penn), LLC, d/b/a </w:t>
      </w:r>
      <w:r w:rsidRPr="00C0110D" w:rsidR="00F2625F">
        <w:t>Breezeline</w:t>
      </w:r>
      <w:r w:rsidRPr="00C0110D" w:rsidR="00F2625F">
        <w:t xml:space="preserve"> and Comcast of Colorado/Pennsylvania/West Virgina, LLC.</w:t>
      </w:r>
      <w:r>
        <w:rPr>
          <w:rStyle w:val="FootnoteReference"/>
        </w:rPr>
        <w:footnoteReference w:id="6"/>
      </w:r>
      <w:r w:rsidRPr="00C0110D">
        <w:t xml:space="preserve">  The Petition is unopposed.  For the reasons discussed below, we grant </w:t>
      </w:r>
      <w:r w:rsidRPr="00C0110D" w:rsidR="00F2625F">
        <w:t xml:space="preserve">in part and deny in part Palm/WWCP Licensee’s </w:t>
      </w:r>
      <w:r w:rsidRPr="00C0110D">
        <w:t xml:space="preserve">Petition.  </w:t>
      </w:r>
      <w:r w:rsidR="00025FC9">
        <w:t xml:space="preserve">The Petition is granted as to </w:t>
      </w:r>
      <w:r w:rsidRPr="00C0110D" w:rsidR="00025FC9">
        <w:t>the Communities of Johnstown, Ebensburg, Boswell, and Friedens</w:t>
      </w:r>
      <w:r w:rsidR="00025FC9">
        <w:t xml:space="preserve"> and denied as to </w:t>
      </w:r>
      <w:r w:rsidRPr="00C0110D" w:rsidR="00025FC9">
        <w:t>Mineral Point, Rockw</w:t>
      </w:r>
      <w:r w:rsidR="00025FC9">
        <w:t>ood</w:t>
      </w:r>
      <w:r w:rsidRPr="00C0110D" w:rsidR="00025FC9">
        <w:t xml:space="preserve">, and </w:t>
      </w:r>
      <w:r w:rsidRPr="00C0110D" w:rsidR="00025FC9">
        <w:t>Stoystown</w:t>
      </w:r>
      <w:r w:rsidR="00025FC9">
        <w:t>.</w:t>
      </w:r>
      <w:r w:rsidRPr="00C0110D">
        <w:t xml:space="preserve"> </w:t>
      </w:r>
    </w:p>
    <w:p w:rsidR="004C58C7" w:rsidRPr="00C0110D" w:rsidP="004C58C7" w14:paraId="4913087B" w14:textId="77777777">
      <w:pPr>
        <w:pStyle w:val="Heading1"/>
        <w:rPr>
          <w:rFonts w:ascii="Times New Roman" w:hAnsi="Times New Roman"/>
        </w:rPr>
      </w:pPr>
      <w:r w:rsidRPr="00C0110D">
        <w:rPr>
          <w:rFonts w:ascii="Times New Roman" w:hAnsi="Times New Roman"/>
        </w:rPr>
        <w:t>Background</w:t>
      </w:r>
    </w:p>
    <w:p w:rsidR="004C58C7" w:rsidRPr="00C0110D" w:rsidP="004C58C7" w14:paraId="369F22DC" w14:textId="303A136F">
      <w:pPr>
        <w:pStyle w:val="ParaNum"/>
      </w:pPr>
      <w:r w:rsidRPr="00C0110D">
        <w:t xml:space="preserve">If a local television station has exclusive rights to distribute a network or syndicated program under </w:t>
      </w:r>
      <w:r w:rsidR="00DB5452">
        <w:t>the Commission’s</w:t>
      </w:r>
      <w:r w:rsidRPr="00C0110D" w:rsidR="00DB5452">
        <w:t xml:space="preserve"> </w:t>
      </w:r>
      <w:r w:rsidRPr="00C0110D">
        <w:t>rules, cable operators generally are precluded from carrying a duplicating program broadcast by a distant station.</w:t>
      </w:r>
      <w:r>
        <w:rPr>
          <w:vertAlign w:val="superscript"/>
        </w:rPr>
        <w:footnoteReference w:id="7"/>
      </w:r>
      <w:r w:rsidRPr="00C0110D">
        <w:t xml:space="preserve">  However, the Commission’s rules also provide that a </w:t>
      </w:r>
      <w:r w:rsidRPr="00C0110D">
        <w:t>signal that otherwise would be considered “distant” is exempt from application of both the network non-duplication and syndicated exclusivity rules, and therefore may be carried by cable operators, if it is “significantly viewed” in the relevant community.</w:t>
      </w:r>
      <w:r>
        <w:rPr>
          <w:vertAlign w:val="superscript"/>
        </w:rPr>
        <w:footnoteReference w:id="8"/>
      </w:r>
      <w:r w:rsidRPr="00C0110D">
        <w:t xml:space="preserve">  The significantly viewed exception to the exclusivity rules is based on a demonstration that an otherwise distant station receives a “significant” level of over-the-air viewership in a subject community.  If the requisite viewership level is met, the station is no longer considered distant for purposes of the exclusivity rules because it has established that it is viewed over-the-air in the subject community.</w:t>
      </w:r>
      <w:r>
        <w:rPr>
          <w:vertAlign w:val="superscript"/>
        </w:rPr>
        <w:footnoteReference w:id="9"/>
      </w:r>
      <w:r w:rsidRPr="00C0110D">
        <w:t xml:space="preserve">      </w:t>
      </w:r>
    </w:p>
    <w:p w:rsidR="004C58C7" w:rsidRPr="00C0110D" w:rsidP="004C58C7" w14:paraId="7A48BC53" w14:textId="23916D4A">
      <w:pPr>
        <w:pStyle w:val="ParaNum"/>
      </w:pPr>
      <w:r w:rsidRPr="00C0110D">
        <w:t>Stations may seek to reinstate their exclusivity rights vis-à-vis a significantly viewed station by seeking a waiver of the significantly viewed exception.</w:t>
      </w:r>
      <w:r>
        <w:rPr>
          <w:rStyle w:val="FootnoteReference"/>
        </w:rPr>
        <w:footnoteReference w:id="10"/>
      </w:r>
      <w:r w:rsidRPr="00C0110D">
        <w:t xml:space="preserve">  In order to obtain a waiver, a petitioner must submit viewership surveys showing that an otherwise distant station does not meet the definition of “significantly viewed” under our rules.  </w:t>
      </w:r>
      <w:r w:rsidR="00C43F89">
        <w:t>A</w:t>
      </w:r>
      <w:r w:rsidRPr="00C0110D">
        <w:t xml:space="preserve"> network station </w:t>
      </w:r>
      <w:r w:rsidR="00C43F89">
        <w:t xml:space="preserve">qualifies </w:t>
      </w:r>
      <w:r w:rsidRPr="00C0110D">
        <w:t>as significantly viewed if over-the-air viewership surveys demonstrate that it exceeds a three percent share of total viewing hours and a net weekly circulation of 25 percent, by at least one standard error.</w:t>
      </w:r>
      <w:r>
        <w:rPr>
          <w:vertAlign w:val="superscript"/>
        </w:rPr>
        <w:footnoteReference w:id="11"/>
      </w:r>
      <w:r w:rsidRPr="00C0110D">
        <w:t xml:space="preserve">  In </w:t>
      </w:r>
      <w:r w:rsidRPr="00C0110D">
        <w:rPr>
          <w:i/>
        </w:rPr>
        <w:t>KCST-TV, Inc.</w:t>
      </w:r>
      <w:r w:rsidRPr="00C0110D">
        <w:t>,</w:t>
      </w:r>
      <w:r>
        <w:rPr>
          <w:vertAlign w:val="superscript"/>
        </w:rPr>
        <w:footnoteReference w:id="12"/>
      </w:r>
      <w:r w:rsidRPr="00C0110D">
        <w:t xml:space="preserve"> the Commission held that waiver applicants would be required to demonstrate for two consecutive years that a station was no longer significantly viewed, based either on community-specific or system-specific over-the-air viewing data, following the methodology set forth in </w:t>
      </w:r>
      <w:r w:rsidR="00C43F89">
        <w:t>the rules</w:t>
      </w:r>
      <w:r w:rsidRPr="00C0110D">
        <w:t>.</w:t>
      </w:r>
      <w:r>
        <w:rPr>
          <w:rStyle w:val="FootnoteReference"/>
        </w:rPr>
        <w:footnoteReference w:id="13"/>
      </w:r>
      <w:r w:rsidRPr="00C0110D">
        <w:t xml:space="preserve">  </w:t>
      </w:r>
    </w:p>
    <w:p w:rsidR="004C58C7" w:rsidRPr="00C0110D" w:rsidP="004C58C7" w14:paraId="020AF1B7" w14:textId="266C2B31">
      <w:pPr>
        <w:pStyle w:val="ParaNum"/>
      </w:pPr>
      <w:r>
        <w:t>I</w:t>
      </w:r>
      <w:r w:rsidRPr="00C0110D">
        <w:t>n pertinent part</w:t>
      </w:r>
      <w:r>
        <w:t>, the rules state</w:t>
      </w:r>
      <w:r w:rsidRPr="00C0110D">
        <w:t xml:space="preserve"> that significant viewing “may be demonstrated by an independent professional audience survey of [over-the-air] television homes that covers at least two weekly periods separated by at least thirty (30) days but no more than one of which shall be a week</w:t>
      </w:r>
      <w:r w:rsidRPr="00BC4670">
        <w:t xml:space="preserve"> </w:t>
      </w:r>
      <w:r w:rsidRPr="00C0110D">
        <w:t>between the months of April and September.”</w:t>
      </w:r>
      <w:r>
        <w:rPr>
          <w:vertAlign w:val="superscript"/>
        </w:rPr>
        <w:footnoteReference w:id="14"/>
      </w:r>
      <w:r w:rsidRPr="00C0110D">
        <w:t xml:space="preserve">  Nielsen Company (Nielsen) </w:t>
      </w:r>
      <w:r>
        <w:t>is</w:t>
      </w:r>
      <w:r w:rsidRPr="00C0110D">
        <w:t xml:space="preserve"> </w:t>
      </w:r>
      <w:r>
        <w:t xml:space="preserve">a </w:t>
      </w:r>
      <w:r w:rsidRPr="00C0110D">
        <w:t xml:space="preserve">primary organization selling television viewership surveys.  </w:t>
      </w:r>
      <w:r w:rsidRPr="00C0110D" w:rsidR="00180554">
        <w:t>Historically</w:t>
      </w:r>
      <w:r w:rsidRPr="00C0110D" w:rsidR="00FD6373">
        <w:t xml:space="preserve">, </w:t>
      </w:r>
      <w:r w:rsidRPr="00C0110D">
        <w:t>Nielsen, which routinely surveys television markets to obtain television stations’ viewership, conduct</w:t>
      </w:r>
      <w:r w:rsidRPr="00C0110D" w:rsidR="00A52659">
        <w:t>ed</w:t>
      </w:r>
      <w:r w:rsidRPr="00C0110D">
        <w:t xml:space="preserve"> four-week audience surveys four times a year (</w:t>
      </w:r>
      <w:r w:rsidRPr="00C0110D">
        <w:rPr>
          <w:i/>
        </w:rPr>
        <w:t xml:space="preserve">i.e., </w:t>
      </w:r>
      <w:r w:rsidRPr="00C0110D">
        <w:t xml:space="preserve">February, May, July, and November “sweep periods”).  </w:t>
      </w:r>
      <w:r>
        <w:t xml:space="preserve">In applying the requirements articulated in </w:t>
      </w:r>
      <w:r>
        <w:rPr>
          <w:i/>
          <w:iCs/>
        </w:rPr>
        <w:t>KCST-TV, Inc,</w:t>
      </w:r>
      <w:r>
        <w:t xml:space="preserve"> it has been acceptable to r</w:t>
      </w:r>
      <w:r w:rsidRPr="00C0110D">
        <w:t xml:space="preserve">eplacing each week required </w:t>
      </w:r>
      <w:r>
        <w:rPr>
          <w:iCs/>
        </w:rPr>
        <w:t xml:space="preserve">in the analysis </w:t>
      </w:r>
      <w:r w:rsidRPr="00C0110D">
        <w:t>with a sweep period</w:t>
      </w:r>
      <w:r>
        <w:t>.</w:t>
      </w:r>
      <w:r>
        <w:rPr>
          <w:rStyle w:val="FootnoteReference"/>
        </w:rPr>
        <w:footnoteReference w:id="15"/>
      </w:r>
      <w:r w:rsidRPr="00C0110D">
        <w:t xml:space="preserve"> </w:t>
      </w:r>
      <w:r>
        <w:t xml:space="preserve"> The replacement of a sweep period could even </w:t>
      </w:r>
      <w:r w:rsidRPr="00C0110D">
        <w:t>add to the accuracy of the audience statistics because of the increased sample size.</w:t>
      </w:r>
      <w:r>
        <w:rPr>
          <w:vertAlign w:val="superscript"/>
        </w:rPr>
        <w:footnoteReference w:id="16"/>
      </w:r>
      <w:r w:rsidRPr="00C0110D">
        <w:t xml:space="preserve">  Accordingly, a petitioner seeking to show that a station is no longer significantly </w:t>
      </w:r>
      <w:r w:rsidRPr="00C0110D">
        <w:t xml:space="preserve">viewed </w:t>
      </w:r>
      <w:r w:rsidRPr="00C0110D" w:rsidR="00E94678">
        <w:t>could</w:t>
      </w:r>
      <w:r w:rsidRPr="00C0110D">
        <w:t xml:space="preserve"> </w:t>
      </w:r>
      <w:r w:rsidR="007824EF">
        <w:t>rely on Nielsen data reflecting</w:t>
      </w:r>
      <w:r w:rsidR="00AF7A6D">
        <w:t xml:space="preserve"> </w:t>
      </w:r>
      <w:r w:rsidRPr="00C0110D">
        <w:t xml:space="preserve">the results from two sweep periods in </w:t>
      </w:r>
      <w:r w:rsidR="007824EF">
        <w:t xml:space="preserve">two </w:t>
      </w:r>
      <w:r w:rsidRPr="00C0110D">
        <w:t>year</w:t>
      </w:r>
      <w:r w:rsidR="007824EF">
        <w:t>s</w:t>
      </w:r>
      <w:r w:rsidRPr="00C0110D">
        <w:t xml:space="preserve"> and survey data </w:t>
      </w:r>
      <w:r w:rsidR="007824EF">
        <w:t>could be prepared</w:t>
      </w:r>
      <w:r w:rsidRPr="00C0110D">
        <w:t xml:space="preserve"> on either a community-specific or system-specific basis.</w:t>
      </w:r>
      <w:r>
        <w:rPr>
          <w:rStyle w:val="FootnoteReference"/>
        </w:rPr>
        <w:footnoteReference w:id="17"/>
      </w:r>
      <w:r w:rsidRPr="00C0110D">
        <w:t xml:space="preserve">  In order to produce the data required for exclusivity waivers, Nielsen re-tabulate</w:t>
      </w:r>
      <w:r w:rsidRPr="00C0110D" w:rsidR="00E94678">
        <w:t>d</w:t>
      </w:r>
      <w:r w:rsidRPr="00C0110D">
        <w:t xml:space="preserve"> the over-the-air data that it collects for its routine audience sweep periods, selecting in-tab diaries from its database from the area served by a cable system or an individual cable community.</w:t>
      </w:r>
      <w:r>
        <w:rPr>
          <w:vertAlign w:val="superscript"/>
        </w:rPr>
        <w:footnoteReference w:id="18"/>
      </w:r>
      <w:r w:rsidRPr="00C0110D" w:rsidR="008A3198">
        <w:t xml:space="preserve"> </w:t>
      </w:r>
    </w:p>
    <w:p w:rsidR="00CC0E1F" w:rsidRPr="006C097F" w:rsidP="004C58C7" w14:paraId="7C9A1FB4" w14:textId="26063471">
      <w:pPr>
        <w:pStyle w:val="ParaNum"/>
        <w:rPr>
          <w:i/>
          <w:iCs/>
        </w:rPr>
      </w:pPr>
      <w:r w:rsidRPr="00C0110D">
        <w:t>In 2019</w:t>
      </w:r>
      <w:r w:rsidRPr="00C0110D" w:rsidR="008B363F">
        <w:t xml:space="preserve">, Nielsen changed the way it measures television viewing in its 210 </w:t>
      </w:r>
      <w:r w:rsidR="007824EF">
        <w:t>designated market areas (</w:t>
      </w:r>
      <w:r w:rsidRPr="00C0110D" w:rsidR="008B363F">
        <w:t>DMAs</w:t>
      </w:r>
      <w:r w:rsidR="007824EF">
        <w:t>)</w:t>
      </w:r>
      <w:r w:rsidRPr="00C0110D" w:rsidR="008B363F">
        <w:t xml:space="preserve">, replacing the paper diaries that Nielsen families used to record what they </w:t>
      </w:r>
      <w:r w:rsidRPr="00C0110D" w:rsidR="00A52659">
        <w:t>watched on television in the</w:t>
      </w:r>
      <w:r w:rsidR="00A52659">
        <w:t xml:space="preserve"> </w:t>
      </w:r>
      <w:r w:rsidRPr="00C0110D" w:rsidR="00A52659">
        <w:t>smallest 140 DMAs entirely with electronic measurement.</w:t>
      </w:r>
      <w:r>
        <w:rPr>
          <w:rStyle w:val="FootnoteReference"/>
        </w:rPr>
        <w:footnoteReference w:id="19"/>
      </w:r>
      <w:r w:rsidRPr="00C0110D" w:rsidR="00720636">
        <w:t xml:space="preserve">  Now Nielsen uses a combination of people meters, set meters, code readers, and return path data</w:t>
      </w:r>
      <w:r w:rsidRPr="00C0110D" w:rsidR="00FA416B">
        <w:t xml:space="preserve"> (RPD) from cable and satellite set-top boxes to measure television viewing.</w:t>
      </w:r>
      <w:r>
        <w:rPr>
          <w:rStyle w:val="FootnoteReference"/>
        </w:rPr>
        <w:footnoteReference w:id="20"/>
      </w:r>
      <w:r w:rsidRPr="00C0110D" w:rsidR="007E755E">
        <w:t xml:space="preserve">  Additionally, Nielsen </w:t>
      </w:r>
      <w:r w:rsidRPr="00C0110D" w:rsidR="00C61FCF">
        <w:t xml:space="preserve">now provides electronic measurements every month of the year </w:t>
      </w:r>
      <w:r w:rsidRPr="00C0110D" w:rsidR="007E755E">
        <w:t xml:space="preserve">instead of only four times per year during sweep </w:t>
      </w:r>
      <w:r w:rsidRPr="00C0110D" w:rsidR="00711E71">
        <w:t>months</w:t>
      </w:r>
      <w:r w:rsidRPr="00C0110D" w:rsidR="007E755E">
        <w:t>.</w:t>
      </w:r>
      <w:r>
        <w:rPr>
          <w:rStyle w:val="FootnoteReference"/>
        </w:rPr>
        <w:footnoteReference w:id="21"/>
      </w:r>
      <w:r w:rsidRPr="006C097F" w:rsidR="00F31F2B">
        <w:rPr>
          <w:i/>
          <w:iCs/>
        </w:rPr>
        <w:t xml:space="preserve"> </w:t>
      </w:r>
    </w:p>
    <w:p w:rsidR="004C58C7" w:rsidRPr="00C0110D" w:rsidP="00CC0E1F" w14:paraId="4456FB4F" w14:textId="0D31EC06">
      <w:pPr>
        <w:pStyle w:val="ParaNum"/>
      </w:pPr>
      <w:r>
        <w:rPr>
          <w:i/>
          <w:iCs/>
        </w:rPr>
        <w:t xml:space="preserve">The </w:t>
      </w:r>
      <w:r w:rsidRPr="006C097F">
        <w:rPr>
          <w:i/>
          <w:iCs/>
        </w:rPr>
        <w:t>Palm/WWCP Licensee Petition.</w:t>
      </w:r>
      <w:r>
        <w:t xml:space="preserve">  </w:t>
      </w:r>
      <w:r w:rsidR="00025FC9">
        <w:t xml:space="preserve">In this case </w:t>
      </w:r>
      <w:r w:rsidRPr="00C0110D" w:rsidR="00025FC9">
        <w:t xml:space="preserve">Palm/WWCP Licensee seeks to reinstate their exclusivity rights vis-à-vis </w:t>
      </w:r>
      <w:r w:rsidR="00025FC9">
        <w:t xml:space="preserve">significantly viewed station </w:t>
      </w:r>
      <w:r w:rsidRPr="00C0110D" w:rsidR="00025FC9">
        <w:t xml:space="preserve">WATM-TV by seeking a waiver of the significantly viewed exception.  </w:t>
      </w:r>
      <w:r w:rsidRPr="00C0110D">
        <w:t xml:space="preserve">In </w:t>
      </w:r>
      <w:r w:rsidR="002671E1">
        <w:t>their</w:t>
      </w:r>
      <w:r w:rsidRPr="00C0110D">
        <w:t xml:space="preserve"> waiver request, the Petitioner</w:t>
      </w:r>
      <w:r w:rsidR="002671E1">
        <w:t>s</w:t>
      </w:r>
      <w:r w:rsidRPr="00C0110D">
        <w:t xml:space="preserve"> </w:t>
      </w:r>
      <w:r w:rsidR="00FE75A4">
        <w:t>s</w:t>
      </w:r>
      <w:r w:rsidRPr="00C0110D">
        <w:t xml:space="preserve">tate that </w:t>
      </w:r>
      <w:r w:rsidRPr="00C0110D" w:rsidR="00892D8D">
        <w:t>ABC</w:t>
      </w:r>
      <w:r w:rsidRPr="00C0110D">
        <w:t xml:space="preserve"> affiliate </w:t>
      </w:r>
      <w:r w:rsidRPr="00C0110D" w:rsidR="00892D8D">
        <w:t>WATM-TV</w:t>
      </w:r>
      <w:r w:rsidR="00406AC7">
        <w:t>, which</w:t>
      </w:r>
      <w:r w:rsidRPr="00C0110D">
        <w:t xml:space="preserve"> is in the </w:t>
      </w:r>
      <w:r w:rsidRPr="00C0110D" w:rsidR="00893471">
        <w:t xml:space="preserve">Johnstown-Altoona-State College </w:t>
      </w:r>
      <w:r w:rsidRPr="00C0110D">
        <w:t>Nielsen DMA (</w:t>
      </w:r>
      <w:r w:rsidR="00554B7C">
        <w:t xml:space="preserve">Johnstown </w:t>
      </w:r>
      <w:r w:rsidRPr="00C0110D">
        <w:t>DMA)</w:t>
      </w:r>
      <w:r w:rsidR="00406AC7">
        <w:t>,</w:t>
      </w:r>
      <w:r w:rsidRPr="00C0110D">
        <w:t xml:space="preserve"> acquired network </w:t>
      </w:r>
      <w:r w:rsidRPr="00C0110D" w:rsidR="00893471">
        <w:t xml:space="preserve">nonduplication </w:t>
      </w:r>
      <w:r w:rsidRPr="00C0110D">
        <w:t xml:space="preserve">and syndicated exclusivity rights by contract with the </w:t>
      </w:r>
      <w:r w:rsidRPr="00C0110D" w:rsidR="00893471">
        <w:t>ABC</w:t>
      </w:r>
      <w:r w:rsidRPr="00C0110D">
        <w:t xml:space="preserve"> Network and certain syndicators.</w:t>
      </w:r>
      <w:r>
        <w:rPr>
          <w:rStyle w:val="FootnoteReference"/>
        </w:rPr>
        <w:footnoteReference w:id="22"/>
      </w:r>
      <w:r w:rsidRPr="00C0110D">
        <w:t xml:space="preserve">  </w:t>
      </w:r>
      <w:r w:rsidR="00622E6F">
        <w:t>As t</w:t>
      </w:r>
      <w:r w:rsidRPr="00C0110D" w:rsidR="00F91BC3">
        <w:t xml:space="preserve">he Petitioners </w:t>
      </w:r>
      <w:r w:rsidR="00622E6F">
        <w:t>assert,</w:t>
      </w:r>
      <w:r w:rsidRPr="00C0110D" w:rsidR="00F91BC3">
        <w:t xml:space="preserve"> licensees are generally entitled to exercise </w:t>
      </w:r>
      <w:r w:rsidRPr="00C0110D" w:rsidR="001F493D">
        <w:t xml:space="preserve">contractually acquired </w:t>
      </w:r>
      <w:r w:rsidRPr="00C0110D" w:rsidR="00F91BC3">
        <w:t>network non-duplication rights</w:t>
      </w:r>
      <w:r>
        <w:rPr>
          <w:rStyle w:val="FootnoteReference"/>
        </w:rPr>
        <w:footnoteReference w:id="23"/>
      </w:r>
      <w:r w:rsidR="00427E9A">
        <w:t xml:space="preserve"> and</w:t>
      </w:r>
      <w:r w:rsidRPr="00C0110D" w:rsidR="00427E9A">
        <w:t xml:space="preserve"> syndicated exclusivity rights within their </w:t>
      </w:r>
      <w:r w:rsidRPr="00C0110D" w:rsidR="00427E9A">
        <w:t>geographic zone of protection.</w:t>
      </w:r>
      <w:r>
        <w:rPr>
          <w:rStyle w:val="FootnoteReference"/>
        </w:rPr>
        <w:footnoteReference w:id="24"/>
      </w:r>
      <w:r w:rsidRPr="00C0110D" w:rsidR="00427E9A">
        <w:t xml:space="preserve"> </w:t>
      </w:r>
      <w:r>
        <w:t xml:space="preserve"> </w:t>
      </w:r>
      <w:r w:rsidR="00C74C1E">
        <w:t>According to t</w:t>
      </w:r>
      <w:r w:rsidRPr="00C0110D">
        <w:t>he Petitioner</w:t>
      </w:r>
      <w:r w:rsidRPr="00C0110D" w:rsidR="001E3363">
        <w:t>s</w:t>
      </w:r>
      <w:r w:rsidR="00C74C1E">
        <w:t>,</w:t>
      </w:r>
      <w:r w:rsidRPr="00C0110D">
        <w:t xml:space="preserve"> </w:t>
      </w:r>
      <w:r w:rsidR="00E667B5">
        <w:t xml:space="preserve">ABC affiliate </w:t>
      </w:r>
      <w:r w:rsidRPr="00C0110D" w:rsidR="001E3363">
        <w:t>WTAE-TV</w:t>
      </w:r>
      <w:r w:rsidR="00F30A34">
        <w:t>, which is in the Pittsburgh DMA,</w:t>
      </w:r>
      <w:r w:rsidRPr="00C0110D" w:rsidR="001E3363">
        <w:t xml:space="preserve"> is carried on cable systems serving the Communities and it airs network and syndicated programming </w:t>
      </w:r>
      <w:r w:rsidRPr="00C0110D">
        <w:t xml:space="preserve">that </w:t>
      </w:r>
      <w:r w:rsidRPr="00C0110D" w:rsidR="001E3363">
        <w:t xml:space="preserve">duplicates programming locally broadcast by WATM-TV </w:t>
      </w:r>
      <w:r w:rsidRPr="00C0110D" w:rsidR="008A1CFA">
        <w:t xml:space="preserve">and carried </w:t>
      </w:r>
      <w:r w:rsidRPr="00C0110D" w:rsidR="001E3363">
        <w:t>on those systems.</w:t>
      </w:r>
      <w:r>
        <w:rPr>
          <w:rStyle w:val="FootnoteReference"/>
        </w:rPr>
        <w:footnoteReference w:id="25"/>
      </w:r>
      <w:r w:rsidRPr="00C0110D">
        <w:t xml:space="preserve"> </w:t>
      </w:r>
      <w:r w:rsidR="00C77869">
        <w:t xml:space="preserve"> </w:t>
      </w:r>
      <w:r w:rsidRPr="00C0110D">
        <w:t>The Petitioner</w:t>
      </w:r>
      <w:r w:rsidRPr="00C0110D" w:rsidR="00253AB6">
        <w:t>s</w:t>
      </w:r>
      <w:r w:rsidRPr="00C0110D">
        <w:t xml:space="preserve"> </w:t>
      </w:r>
      <w:r w:rsidR="00693E2D">
        <w:t>assert</w:t>
      </w:r>
      <w:r w:rsidRPr="00C0110D">
        <w:t xml:space="preserve"> that </w:t>
      </w:r>
      <w:r w:rsidRPr="00C0110D" w:rsidR="00253AB6">
        <w:t xml:space="preserve">each of the Communities is located in the Johnstown DMA and </w:t>
      </w:r>
      <w:r w:rsidRPr="00C0110D">
        <w:t xml:space="preserve">is within </w:t>
      </w:r>
      <w:r w:rsidRPr="00C0110D" w:rsidR="00253AB6">
        <w:t xml:space="preserve">WATM-TV’s 35-mile </w:t>
      </w:r>
      <w:r w:rsidRPr="00C0110D">
        <w:t>geographic zone of exclusivity protection.</w:t>
      </w:r>
      <w:r>
        <w:rPr>
          <w:rStyle w:val="FootnoteReference"/>
        </w:rPr>
        <w:footnoteReference w:id="26"/>
      </w:r>
      <w:r w:rsidRPr="00C0110D">
        <w:t xml:space="preserve">  </w:t>
      </w:r>
      <w:r w:rsidR="00332063">
        <w:t>Specifically, t</w:t>
      </w:r>
      <w:r w:rsidRPr="00C0110D">
        <w:t>he Petitioner</w:t>
      </w:r>
      <w:r w:rsidRPr="00C0110D" w:rsidR="00782184">
        <w:t>s state that WATM-TV’s market designation for application of the geographic zone</w:t>
      </w:r>
      <w:r w:rsidRPr="00C0110D">
        <w:t>,</w:t>
      </w:r>
      <w:r>
        <w:rPr>
          <w:rStyle w:val="FootnoteReference"/>
        </w:rPr>
        <w:footnoteReference w:id="27"/>
      </w:r>
      <w:r w:rsidRPr="00C0110D">
        <w:t xml:space="preserve"> </w:t>
      </w:r>
      <w:r w:rsidRPr="00C0110D" w:rsidR="00782184">
        <w:t>is Johnstown-Altoona, Pennsylvania.</w:t>
      </w:r>
      <w:r>
        <w:rPr>
          <w:rStyle w:val="FootnoteReference"/>
        </w:rPr>
        <w:footnoteReference w:id="28"/>
      </w:r>
      <w:r w:rsidRPr="00C0110D">
        <w:t xml:space="preserve">  </w:t>
      </w:r>
      <w:r w:rsidRPr="00C0110D" w:rsidR="00DC0CED">
        <w:t>Accordingly, t</w:t>
      </w:r>
      <w:r w:rsidRPr="00C0110D">
        <w:t>he Petitioner</w:t>
      </w:r>
      <w:r w:rsidRPr="00C0110D" w:rsidR="00DC0CED">
        <w:t>s</w:t>
      </w:r>
      <w:r w:rsidRPr="00C0110D">
        <w:t xml:space="preserve"> </w:t>
      </w:r>
      <w:r w:rsidR="00776F80">
        <w:t>contend</w:t>
      </w:r>
      <w:r w:rsidRPr="00C0110D" w:rsidR="00776F80">
        <w:t xml:space="preserve"> </w:t>
      </w:r>
      <w:r w:rsidRPr="00C0110D">
        <w:t xml:space="preserve">that </w:t>
      </w:r>
      <w:r w:rsidRPr="00C0110D" w:rsidR="00DC0CED">
        <w:t xml:space="preserve">WATM-TV is </w:t>
      </w:r>
      <w:r w:rsidRPr="00C0110D" w:rsidR="006F466D">
        <w:t>“</w:t>
      </w:r>
      <w:r w:rsidRPr="00C0110D" w:rsidR="00DC0CED">
        <w:t xml:space="preserve">entitled to exclusivity within the 35-mile zone of </w:t>
      </w:r>
      <w:r w:rsidRPr="00C0110D" w:rsidR="006F466D">
        <w:t xml:space="preserve">each of </w:t>
      </w:r>
      <w:r w:rsidRPr="00C0110D" w:rsidR="00DC0CED">
        <w:t>Johnstown and Altoona.</w:t>
      </w:r>
      <w:r w:rsidRPr="00C0110D" w:rsidR="006F466D">
        <w:t>”</w:t>
      </w:r>
      <w:r>
        <w:rPr>
          <w:rStyle w:val="FootnoteReference"/>
        </w:rPr>
        <w:footnoteReference w:id="29"/>
      </w:r>
      <w:r w:rsidRPr="00C0110D" w:rsidR="00454F77">
        <w:t xml:space="preserve">  </w:t>
      </w:r>
      <w:r w:rsidRPr="00C0110D" w:rsidR="000C7792">
        <w:t>T</w:t>
      </w:r>
      <w:r w:rsidRPr="00C0110D" w:rsidR="0000600C">
        <w:t xml:space="preserve">he Petitioners note that as a named community in the hyphenated market, Johnstown is, on </w:t>
      </w:r>
      <w:r w:rsidRPr="00C0110D" w:rsidR="000966D8">
        <w:t xml:space="preserve">its </w:t>
      </w:r>
      <w:r w:rsidRPr="00C0110D" w:rsidR="0000600C">
        <w:t>face, within the zone of exclusivity protection.</w:t>
      </w:r>
      <w:r>
        <w:rPr>
          <w:rStyle w:val="FootnoteReference"/>
        </w:rPr>
        <w:footnoteReference w:id="30"/>
      </w:r>
      <w:r w:rsidRPr="00C0110D" w:rsidR="0000600C">
        <w:t xml:space="preserve"> </w:t>
      </w:r>
      <w:r w:rsidRPr="00C0110D" w:rsidR="00DC0CED">
        <w:t xml:space="preserve"> </w:t>
      </w:r>
      <w:r w:rsidRPr="00C0110D" w:rsidR="000C7792">
        <w:t xml:space="preserve">Further, the Petitioners assert </w:t>
      </w:r>
      <w:r w:rsidRPr="00C0110D" w:rsidR="000966D8">
        <w:t>that each of the other Communities is also within the zone of protection because the coordinates for each Community’s U.S. Post Office are</w:t>
      </w:r>
      <w:r w:rsidR="000966D8">
        <w:t xml:space="preserve"> </w:t>
      </w:r>
      <w:r w:rsidRPr="00C0110D" w:rsidR="000966D8">
        <w:t>within 35 miles of the reference coordinates as listed in section 76.53 of the Commission’s Rules for Johnstown and Altoona.</w:t>
      </w:r>
      <w:r>
        <w:rPr>
          <w:rStyle w:val="FootnoteReference"/>
        </w:rPr>
        <w:footnoteReference w:id="31"/>
      </w:r>
      <w:r w:rsidRPr="00C0110D" w:rsidR="000966D8">
        <w:t xml:space="preserve">  </w:t>
      </w:r>
    </w:p>
    <w:p w:rsidR="00756383" w:rsidP="00D206E8" w14:paraId="3AD2AA2F" w14:textId="1016201C">
      <w:pPr>
        <w:pStyle w:val="ParaNum"/>
      </w:pPr>
      <w:r>
        <w:t>A</w:t>
      </w:r>
      <w:r w:rsidRPr="00C0110D" w:rsidR="004C58C7">
        <w:t xml:space="preserve">s </w:t>
      </w:r>
      <w:r w:rsidR="007C7096">
        <w:t>noted above</w:t>
      </w:r>
      <w:r w:rsidRPr="00C0110D" w:rsidR="004C58C7">
        <w:t>, the significantly viewed exception permits otherwise “distant” stations with duplicative network and/or syndicated programming to be carried on cable systems within a station’s protected zone if certain criteria are met.</w:t>
      </w:r>
      <w:r>
        <w:rPr>
          <w:rStyle w:val="FootnoteReference"/>
        </w:rPr>
        <w:footnoteReference w:id="32"/>
      </w:r>
      <w:r w:rsidRPr="00C0110D" w:rsidR="004C58C7">
        <w:t xml:space="preserve">  As the </w:t>
      </w:r>
      <w:r w:rsidRPr="00C0110D" w:rsidR="008805C6">
        <w:t>Petitioners</w:t>
      </w:r>
      <w:r w:rsidRPr="00C0110D" w:rsidR="004C58C7">
        <w:t xml:space="preserve"> observe, to be significantly viewed in a particular community, a station must have been included on the Commission’s 1972 list or demonstrate that it meets certain minimum viewing standards.</w:t>
      </w:r>
      <w:r>
        <w:rPr>
          <w:rStyle w:val="FootnoteReference"/>
        </w:rPr>
        <w:footnoteReference w:id="33"/>
      </w:r>
      <w:r w:rsidRPr="00C0110D" w:rsidR="004C58C7">
        <w:t xml:space="preserve"> </w:t>
      </w:r>
      <w:r w:rsidR="00370223">
        <w:t xml:space="preserve"> </w:t>
      </w:r>
      <w:r w:rsidRPr="00C0110D" w:rsidR="00370223">
        <w:t>In that regard, the Petitioner</w:t>
      </w:r>
      <w:r w:rsidR="00370223">
        <w:t>s</w:t>
      </w:r>
      <w:r w:rsidRPr="00C0110D" w:rsidR="00370223">
        <w:t xml:space="preserve"> state that according to the Commission’s original 1972 designation, WTAE-TV is currently considered significantly viewed in the Communities.</w:t>
      </w:r>
      <w:r>
        <w:rPr>
          <w:rStyle w:val="FootnoteReference"/>
        </w:rPr>
        <w:footnoteReference w:id="34"/>
      </w:r>
      <w:r w:rsidRPr="00C0110D" w:rsidR="00370223">
        <w:t xml:space="preserve"> </w:t>
      </w:r>
      <w:r w:rsidR="00370223">
        <w:t xml:space="preserve"> </w:t>
      </w:r>
      <w:r>
        <w:t>Petition</w:t>
      </w:r>
      <w:r w:rsidR="00AF7A6D">
        <w:t>er</w:t>
      </w:r>
      <w:r>
        <w:t>s argue, however, that t</w:t>
      </w:r>
      <w:r w:rsidRPr="00C0110D" w:rsidR="004C58C7">
        <w:t xml:space="preserve">he </w:t>
      </w:r>
      <w:r w:rsidR="00025FC9">
        <w:t>Bureau</w:t>
      </w:r>
      <w:r>
        <w:t xml:space="preserve"> should</w:t>
      </w:r>
      <w:r w:rsidRPr="00C0110D" w:rsidR="004C58C7">
        <w:t xml:space="preserve"> waive </w:t>
      </w:r>
      <w:r>
        <w:t>the</w:t>
      </w:r>
      <w:r w:rsidRPr="00C0110D" w:rsidR="004C58C7">
        <w:t xml:space="preserve"> station’s significantly viewed exception to the network non-duplication and syndicated exclusivity rules </w:t>
      </w:r>
      <w:r>
        <w:t xml:space="preserve">because the data submitted </w:t>
      </w:r>
      <w:r w:rsidRPr="00C0110D" w:rsidR="004C58C7">
        <w:t xml:space="preserve">demonstrates that </w:t>
      </w:r>
      <w:r w:rsidR="00025FC9">
        <w:t>this</w:t>
      </w:r>
      <w:r w:rsidRPr="00C0110D" w:rsidR="004C58C7">
        <w:t xml:space="preserve"> station </w:t>
      </w:r>
      <w:r w:rsidR="00025FC9">
        <w:t xml:space="preserve">that was </w:t>
      </w:r>
      <w:r w:rsidRPr="00C0110D" w:rsidR="004C58C7">
        <w:t>once considered significantly viewed no longer meets these minimum viewing requirements.</w:t>
      </w:r>
      <w:r>
        <w:rPr>
          <w:rStyle w:val="FootnoteReference"/>
        </w:rPr>
        <w:footnoteReference w:id="35"/>
      </w:r>
      <w:r w:rsidRPr="00C0110D" w:rsidR="004C58C7">
        <w:t xml:space="preserve">  </w:t>
      </w:r>
      <w:r w:rsidR="00D206E8">
        <w:t>That data is considered below.</w:t>
      </w:r>
    </w:p>
    <w:p w:rsidR="004C58C7" w:rsidP="004C58C7" w14:paraId="729FFD68" w14:textId="77777777">
      <w:pPr>
        <w:pStyle w:val="Heading1"/>
      </w:pPr>
      <w:r>
        <w:t>DISCUSSION</w:t>
      </w:r>
    </w:p>
    <w:p w:rsidR="004C58C7" w:rsidRPr="00C0110D" w:rsidP="004C58C7" w14:paraId="22582E4F" w14:textId="70382B5D">
      <w:pPr>
        <w:pStyle w:val="ParaNum"/>
      </w:pPr>
      <w:r w:rsidRPr="00C0110D">
        <w:t xml:space="preserve">We find that </w:t>
      </w:r>
      <w:r w:rsidRPr="00C0110D" w:rsidR="00BA2E25">
        <w:t>Palm</w:t>
      </w:r>
      <w:r w:rsidR="00D206E8">
        <w:t>/</w:t>
      </w:r>
      <w:r w:rsidRPr="00C0110D" w:rsidR="00BA2E25">
        <w:t xml:space="preserve">WWCP Licensee </w:t>
      </w:r>
      <w:r w:rsidRPr="00C0110D">
        <w:t>ha</w:t>
      </w:r>
      <w:r w:rsidRPr="00C0110D" w:rsidR="00BA2E25">
        <w:t>ve</w:t>
      </w:r>
      <w:r w:rsidRPr="00C0110D">
        <w:t xml:space="preserve"> demonstrated that W</w:t>
      </w:r>
      <w:r w:rsidRPr="00C0110D" w:rsidR="00BA2E25">
        <w:t xml:space="preserve">TAE-TV </w:t>
      </w:r>
      <w:r w:rsidRPr="00C0110D" w:rsidR="00B31079">
        <w:t>no longer</w:t>
      </w:r>
      <w:r w:rsidRPr="00C0110D">
        <w:t xml:space="preserve"> meet</w:t>
      </w:r>
      <w:r w:rsidRPr="00C0110D" w:rsidR="00B31079">
        <w:t>s</w:t>
      </w:r>
      <w:r w:rsidRPr="00C0110D">
        <w:t xml:space="preserve"> the minimum viewing requirements </w:t>
      </w:r>
      <w:r w:rsidRPr="00C0110D" w:rsidR="00641D5C">
        <w:t xml:space="preserve">by having </w:t>
      </w:r>
      <w:r w:rsidRPr="00C0110D">
        <w:t xml:space="preserve">no measurable viewing during the survey periods presented and the station no longer satisfies the significantly viewed standard in the </w:t>
      </w:r>
      <w:r w:rsidRPr="00C0110D" w:rsidR="00BA2E25">
        <w:t xml:space="preserve">Communities of </w:t>
      </w:r>
      <w:r w:rsidRPr="00C0110D" w:rsidR="00BA2E25">
        <w:t>Johnstown, Ebensburg, Boswell, and Friedens</w:t>
      </w:r>
      <w:r w:rsidRPr="00C0110D">
        <w:t xml:space="preserve">.  </w:t>
      </w:r>
      <w:r w:rsidRPr="00C0110D" w:rsidR="00BA2E25">
        <w:t xml:space="preserve">However, we cannot conclude the same for the Communities of Mineral </w:t>
      </w:r>
      <w:r w:rsidR="00C265B6">
        <w:t>P</w:t>
      </w:r>
      <w:r w:rsidRPr="00C0110D" w:rsidR="00BA2E25">
        <w:t xml:space="preserve">oint, Rockwood, and </w:t>
      </w:r>
      <w:r w:rsidRPr="00C0110D" w:rsidR="00BA2E25">
        <w:t>Stoystown</w:t>
      </w:r>
      <w:r w:rsidRPr="00C0110D" w:rsidR="00BA2E25">
        <w:t xml:space="preserve">.  </w:t>
      </w:r>
      <w:r w:rsidRPr="00C0110D">
        <w:t xml:space="preserve">Accordingly, we grant </w:t>
      </w:r>
      <w:r w:rsidRPr="00C0110D" w:rsidR="001B184F">
        <w:t>WATM-TV’s</w:t>
      </w:r>
      <w:r w:rsidRPr="00C0110D">
        <w:t xml:space="preserve"> request for a waiver of the significantly viewed exception to the network nonduplication and syndicated exclusivity rules regarding </w:t>
      </w:r>
      <w:r w:rsidRPr="00C0110D" w:rsidR="001B184F">
        <w:t xml:space="preserve">WTAE-TV </w:t>
      </w:r>
      <w:r w:rsidRPr="00C0110D">
        <w:t xml:space="preserve">in </w:t>
      </w:r>
      <w:r w:rsidRPr="00C0110D" w:rsidR="001B184F">
        <w:t xml:space="preserve">the </w:t>
      </w:r>
      <w:r w:rsidRPr="00C0110D" w:rsidR="009E1193">
        <w:t>Communities of Johnstown, Ebensburg, Boswell, and Friedens</w:t>
      </w:r>
      <w:r w:rsidR="00810FC6">
        <w:t xml:space="preserve">, and we deny the request with regard to the </w:t>
      </w:r>
      <w:r w:rsidRPr="00C0110D" w:rsidR="00810FC6">
        <w:t xml:space="preserve">Communities of Mineral </w:t>
      </w:r>
      <w:r w:rsidR="00810FC6">
        <w:t>P</w:t>
      </w:r>
      <w:r w:rsidRPr="00C0110D" w:rsidR="00810FC6">
        <w:t xml:space="preserve">oint, Rockwood, and </w:t>
      </w:r>
      <w:r w:rsidRPr="00C0110D" w:rsidR="00810FC6">
        <w:t>Stoystown</w:t>
      </w:r>
      <w:r w:rsidRPr="00C0110D">
        <w:t>.</w:t>
      </w:r>
    </w:p>
    <w:p w:rsidR="003B0883" w:rsidP="004C58C7" w14:paraId="669A0893" w14:textId="55AA7B12">
      <w:pPr>
        <w:pStyle w:val="ParaNum"/>
      </w:pPr>
      <w:r w:rsidRPr="00C0110D">
        <w:t xml:space="preserve">As determined in </w:t>
      </w:r>
      <w:r w:rsidRPr="00C0110D">
        <w:rPr>
          <w:i/>
          <w:iCs/>
        </w:rPr>
        <w:t>KSCT-TV, Inc.</w:t>
      </w:r>
      <w:r w:rsidRPr="00C0110D">
        <w:t>, waivers of the significantly viewed exception may be granted if petitioner can show that, in each of two consecutive years, a station no longer meets the threshold significantly viewed requirements in a cable community or communities.</w:t>
      </w:r>
      <w:r>
        <w:rPr>
          <w:rStyle w:val="FootnoteReference"/>
          <w:sz w:val="22"/>
        </w:rPr>
        <w:footnoteReference w:id="36"/>
      </w:r>
      <w:r w:rsidRPr="00C0110D">
        <w:t xml:space="preserve">  The Petitioners state that in markets such as the Johnstown DMA, Nielsen uses the RPD+ methodology which incorporates set-top box data that captures cable and satellite viewing and code readers that capture over-the-air viewing.</w:t>
      </w:r>
      <w:r>
        <w:rPr>
          <w:rStyle w:val="FootnoteReference"/>
        </w:rPr>
        <w:footnoteReference w:id="37"/>
      </w:r>
      <w:r w:rsidRPr="00C0110D">
        <w:t xml:space="preserve">  </w:t>
      </w:r>
      <w:r>
        <w:t>Consistent with this practice</w:t>
      </w:r>
      <w:r w:rsidRPr="00C0110D">
        <w:t>, the Petitioners submit data that represents recent over-the-air only RPD+ data for two consecutive years.</w:t>
      </w:r>
      <w:r>
        <w:rPr>
          <w:rStyle w:val="FootnoteReference"/>
        </w:rPr>
        <w:footnoteReference w:id="38"/>
      </w:r>
      <w:r w:rsidRPr="00C0110D">
        <w:t xml:space="preserve"> </w:t>
      </w:r>
      <w:r w:rsidR="0034018A">
        <w:t xml:space="preserve"> Specifically, t</w:t>
      </w:r>
      <w:r w:rsidRPr="00C0110D" w:rsidR="004C58C7">
        <w:t xml:space="preserve">he </w:t>
      </w:r>
      <w:r w:rsidRPr="00C0110D" w:rsidR="00420539">
        <w:t xml:space="preserve">Petitioners requested that Nielsen tabulate over-the-air </w:t>
      </w:r>
      <w:r w:rsidRPr="00C0110D" w:rsidR="00B20FA1">
        <w:t>RPD+ data from the periods November 2021 and February 2022 (combined) and November 2022 and February 2023 (combined) for the Communities’ zip codes.</w:t>
      </w:r>
      <w:r>
        <w:rPr>
          <w:vertAlign w:val="superscript"/>
        </w:rPr>
        <w:footnoteReference w:id="39"/>
      </w:r>
      <w:r w:rsidRPr="00C0110D" w:rsidR="004C58C7">
        <w:t xml:space="preserve"> </w:t>
      </w:r>
      <w:r w:rsidRPr="00C0110D" w:rsidR="0051437A">
        <w:t xml:space="preserve"> </w:t>
      </w:r>
      <w:r w:rsidRPr="00C0110D" w:rsidR="006130BF">
        <w:t>Table 1 and Table 2, below, present Nielsen’s report for Year 1 (November 2021 and February 2022) and Year 2 (November 2022 and February 2023).</w:t>
      </w:r>
      <w:r>
        <w:rPr>
          <w:rStyle w:val="FootnoteReference"/>
        </w:rPr>
        <w:footnoteReference w:id="40"/>
      </w:r>
      <w:r w:rsidRPr="00C0110D" w:rsidR="006130BF">
        <w:t xml:space="preserve">  </w:t>
      </w:r>
      <w:r w:rsidRPr="00C0110D" w:rsidR="00B10D3B">
        <w:t xml:space="preserve">As the Tables indicate, Nielsen reports that the shares of viewing hours and the average weekly circulation are both zero for all the Communities and for </w:t>
      </w:r>
      <w:r w:rsidRPr="00C0110D" w:rsidR="004A52E7">
        <w:t xml:space="preserve">the </w:t>
      </w:r>
      <w:r w:rsidRPr="00C0110D" w:rsidR="00B10D3B">
        <w:t>year</w:t>
      </w:r>
      <w:r w:rsidRPr="00C0110D" w:rsidR="004A52E7">
        <w:t>s</w:t>
      </w:r>
      <w:r w:rsidRPr="00C0110D" w:rsidR="00B10D3B">
        <w:t xml:space="preserve"> represented.  </w:t>
      </w:r>
      <w:r w:rsidRPr="00C0110D" w:rsidR="005F2252">
        <w:t xml:space="preserve">Additionally, Nielsen reports that that the standard errors for these measures are also zero.  </w:t>
      </w:r>
      <w:r w:rsidR="00003AEC">
        <w:t>W</w:t>
      </w:r>
      <w:r w:rsidRPr="00C0110D" w:rsidR="00B47B1B">
        <w:t>e note</w:t>
      </w:r>
      <w:r w:rsidR="00003AEC">
        <w:t>, however,</w:t>
      </w:r>
      <w:r w:rsidRPr="00C0110D" w:rsidR="00B47B1B">
        <w:t xml:space="preserve"> that the number of households (Number in Tab) is small for these geographic Communities</w:t>
      </w:r>
      <w:r w:rsidR="00003AEC">
        <w:t>.  F</w:t>
      </w:r>
      <w:r w:rsidRPr="00C0110D" w:rsidR="00B47B1B">
        <w:t>or three of the Communities and the zip codes represented the Number in Tab is 1</w:t>
      </w:r>
      <w:r w:rsidR="00003AEC">
        <w:t xml:space="preserve">, including Mineral Point (15942), Rockwood (15557), and </w:t>
      </w:r>
      <w:r w:rsidR="00003AEC">
        <w:t>Stoystown</w:t>
      </w:r>
      <w:r w:rsidR="00003AEC">
        <w:t xml:space="preserve"> (15563)</w:t>
      </w:r>
      <w:r w:rsidRPr="00C0110D" w:rsidR="00B47B1B">
        <w:t xml:space="preserve">.  </w:t>
      </w:r>
      <w:r w:rsidRPr="00C0110D" w:rsidR="00AB67FB">
        <w:t>It has previously been determined that one household is insufficient to estimate a viewing average for a community</w:t>
      </w:r>
      <w:r w:rsidR="00D03010">
        <w:t xml:space="preserve"> in a community-based survey</w:t>
      </w:r>
      <w:r w:rsidRPr="00C0110D" w:rsidR="00AB67FB">
        <w:t>.</w:t>
      </w:r>
      <w:r>
        <w:rPr>
          <w:rStyle w:val="FootnoteReference"/>
        </w:rPr>
        <w:footnoteReference w:id="41"/>
      </w:r>
      <w:r w:rsidRPr="00C0110D" w:rsidR="00207BEE">
        <w:t xml:space="preserve">  Additionally, we note that the formulas that Nielsen uses to compute standard errors require a number of households greater than 1.</w:t>
      </w:r>
      <w:r>
        <w:rPr>
          <w:rStyle w:val="FootnoteReference"/>
        </w:rPr>
        <w:footnoteReference w:id="42"/>
      </w:r>
      <w:r w:rsidRPr="00C0110D" w:rsidR="004C58C7">
        <w:t xml:space="preserve"> </w:t>
      </w:r>
    </w:p>
    <w:p w:rsidR="003B0883" w14:paraId="0840571B" w14:textId="77777777">
      <w:pPr>
        <w:widowControl/>
      </w:pPr>
      <w:r>
        <w:br w:type="page"/>
      </w:r>
    </w:p>
    <w:p w:rsidR="00F80B08" w:rsidRPr="00C0110D" w:rsidP="003E66F9" w14:paraId="6805BEFF" w14:textId="2E3DF0BB">
      <w:pPr>
        <w:pStyle w:val="ParaNum"/>
        <w:numPr>
          <w:ilvl w:val="0"/>
          <w:numId w:val="0"/>
        </w:numPr>
        <w:ind w:left="2160" w:firstLine="720"/>
        <w:rPr>
          <w:b/>
          <w:bCs/>
        </w:rPr>
      </w:pPr>
      <w:r>
        <w:rPr>
          <w:b/>
          <w:bCs/>
        </w:rPr>
        <w:t>Ta</w:t>
      </w:r>
      <w:r w:rsidRPr="00C0110D">
        <w:rPr>
          <w:b/>
          <w:bCs/>
        </w:rPr>
        <w:t>ble 1: November 2021/ February 2022</w:t>
      </w:r>
    </w:p>
    <w:tbl>
      <w:tblPr>
        <w:tblStyle w:val="TableGrid"/>
        <w:tblW w:w="0" w:type="auto"/>
        <w:tblLook w:val="04A0"/>
      </w:tblPr>
      <w:tblGrid>
        <w:gridCol w:w="1682"/>
        <w:gridCol w:w="999"/>
        <w:gridCol w:w="1084"/>
        <w:gridCol w:w="1117"/>
        <w:gridCol w:w="1117"/>
        <w:gridCol w:w="1117"/>
        <w:gridCol w:w="1117"/>
        <w:gridCol w:w="1117"/>
      </w:tblGrid>
      <w:tr w14:paraId="4410243E" w14:textId="77777777" w:rsidTr="00827431">
        <w:tblPrEx>
          <w:tblW w:w="0" w:type="auto"/>
          <w:tblLook w:val="04A0"/>
        </w:tblPrEx>
        <w:tc>
          <w:tcPr>
            <w:tcW w:w="1795" w:type="dxa"/>
          </w:tcPr>
          <w:p w:rsidR="00CD1AF6" w:rsidRPr="00CD1AF6" w:rsidP="00CD1AF6" w14:paraId="23AAD94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Community and Zip Codes</w:t>
            </w:r>
          </w:p>
        </w:tc>
        <w:tc>
          <w:tcPr>
            <w:tcW w:w="822" w:type="dxa"/>
          </w:tcPr>
          <w:p w:rsidR="00CD1AF6" w:rsidRPr="00CD1AF6" w:rsidP="00CD1AF6" w14:paraId="6C5D2A5D"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Number in Tab</w:t>
            </w:r>
          </w:p>
        </w:tc>
        <w:tc>
          <w:tcPr>
            <w:tcW w:w="1113" w:type="dxa"/>
          </w:tcPr>
          <w:p w:rsidR="00CD1AF6" w:rsidRPr="00CD1AF6" w:rsidP="00CD1AF6" w14:paraId="4D2F21E1"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Average Share Viewing Hours</w:t>
            </w:r>
          </w:p>
        </w:tc>
        <w:tc>
          <w:tcPr>
            <w:tcW w:w="1124" w:type="dxa"/>
          </w:tcPr>
          <w:p w:rsidR="00CD1AF6" w:rsidRPr="00CD1AF6" w:rsidP="00CD1AF6" w14:paraId="24338464"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Average Share Standard Error</w:t>
            </w:r>
          </w:p>
        </w:tc>
        <w:tc>
          <w:tcPr>
            <w:tcW w:w="1124" w:type="dxa"/>
          </w:tcPr>
          <w:p w:rsidR="00CD1AF6" w:rsidRPr="00CD1AF6" w:rsidP="00CD1AF6" w14:paraId="676AA706"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Average View Shares w/1 Standard Error</w:t>
            </w:r>
          </w:p>
        </w:tc>
        <w:tc>
          <w:tcPr>
            <w:tcW w:w="1124" w:type="dxa"/>
          </w:tcPr>
          <w:p w:rsidR="00CD1AF6" w:rsidRPr="00CD1AF6" w:rsidP="00CD1AF6" w14:paraId="019681F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Average Net Weekly Standard Circ.</w:t>
            </w:r>
          </w:p>
        </w:tc>
        <w:tc>
          <w:tcPr>
            <w:tcW w:w="1124" w:type="dxa"/>
          </w:tcPr>
          <w:p w:rsidR="00CD1AF6" w:rsidRPr="00CD1AF6" w:rsidP="00CD1AF6" w14:paraId="060408EB"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Average Net Weekly Standard Error</w:t>
            </w:r>
          </w:p>
        </w:tc>
        <w:tc>
          <w:tcPr>
            <w:tcW w:w="1124" w:type="dxa"/>
          </w:tcPr>
          <w:p w:rsidR="00CD1AF6" w:rsidRPr="00CD1AF6" w:rsidP="00CD1AF6" w14:paraId="63D6D758"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b/>
                <w:bCs/>
                <w:kern w:val="0"/>
                <w14:ligatures w14:val="none"/>
              </w:rPr>
            </w:pPr>
            <w:r w:rsidRPr="00CD1AF6">
              <w:rPr>
                <w:rFonts w:ascii="Times New Roman" w:eastAsia="Times New Roman" w:hAnsi="Times New Roman" w:cs="Times New Roman"/>
                <w:b/>
                <w:bCs/>
                <w:kern w:val="0"/>
                <w14:ligatures w14:val="none"/>
              </w:rPr>
              <w:t>Average Net Weekly Circ. w/1 Standard Error</w:t>
            </w:r>
          </w:p>
        </w:tc>
      </w:tr>
      <w:tr w14:paraId="5BDE7D2C" w14:textId="77777777" w:rsidTr="00827431">
        <w:tblPrEx>
          <w:tblW w:w="0" w:type="auto"/>
          <w:tblLook w:val="04A0"/>
        </w:tblPrEx>
        <w:tc>
          <w:tcPr>
            <w:tcW w:w="1795" w:type="dxa"/>
          </w:tcPr>
          <w:p w:rsidR="00CD1AF6" w:rsidRPr="00CD1AF6" w:rsidP="00CD1AF6" w14:paraId="3A4B2DE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Johnstown, PA</w:t>
            </w:r>
          </w:p>
          <w:p w:rsidR="00CD1AF6" w:rsidRPr="00CD1AF6" w:rsidP="00CD1AF6" w14:paraId="712BAB8F"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p>
          <w:p w:rsidR="00CD1AF6" w:rsidRPr="00CD1AF6" w:rsidP="00CD1AF6" w14:paraId="33618E34"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15901, 15902, 15904, 15905,</w:t>
            </w:r>
          </w:p>
          <w:p w:rsidR="00CD1AF6" w:rsidRPr="00CD1AF6" w:rsidP="00CD1AF6" w14:paraId="4099211B"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15906, 15909</w:t>
            </w:r>
          </w:p>
        </w:tc>
        <w:tc>
          <w:tcPr>
            <w:tcW w:w="822" w:type="dxa"/>
          </w:tcPr>
          <w:p w:rsidR="00CD1AF6" w:rsidRPr="00CD1AF6" w:rsidP="00CD1AF6" w14:paraId="4D97D5D6"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5</w:t>
            </w:r>
          </w:p>
        </w:tc>
        <w:tc>
          <w:tcPr>
            <w:tcW w:w="1113" w:type="dxa"/>
          </w:tcPr>
          <w:p w:rsidR="00CD1AF6" w:rsidRPr="00CD1AF6" w:rsidP="00CD1AF6" w14:paraId="54F34217"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33B53E9"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660EC62B"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5FD5461F"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3EFFFB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930B00B"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r>
      <w:tr w14:paraId="1B204D15" w14:textId="77777777" w:rsidTr="00827431">
        <w:tblPrEx>
          <w:tblW w:w="0" w:type="auto"/>
          <w:tblLook w:val="04A0"/>
        </w:tblPrEx>
        <w:tc>
          <w:tcPr>
            <w:tcW w:w="1795" w:type="dxa"/>
          </w:tcPr>
          <w:p w:rsidR="00CD1AF6" w:rsidRPr="00CD1AF6" w:rsidP="00CD1AF6" w14:paraId="0174DF79"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Ebensburg, PA</w:t>
            </w:r>
          </w:p>
          <w:p w:rsidR="00CD1AF6" w:rsidRPr="00CD1AF6" w:rsidP="00CD1AF6" w14:paraId="7BADDA4D"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p>
          <w:p w:rsidR="00CD1AF6" w:rsidRPr="00CD1AF6" w:rsidP="00CD1AF6" w14:paraId="579CC8C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15931</w:t>
            </w:r>
          </w:p>
        </w:tc>
        <w:tc>
          <w:tcPr>
            <w:tcW w:w="822" w:type="dxa"/>
          </w:tcPr>
          <w:p w:rsidR="00CD1AF6" w:rsidRPr="00CD1AF6" w:rsidP="00CD1AF6" w14:paraId="34CED1E8"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2</w:t>
            </w:r>
          </w:p>
        </w:tc>
        <w:tc>
          <w:tcPr>
            <w:tcW w:w="1113" w:type="dxa"/>
          </w:tcPr>
          <w:p w:rsidR="00CD1AF6" w:rsidRPr="00CD1AF6" w:rsidP="00CD1AF6" w14:paraId="7D578EC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230DCF99"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63E1EFEE"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6DBE6502"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3C35FEF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E83A365"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r>
      <w:tr w14:paraId="03724F25" w14:textId="77777777" w:rsidTr="00827431">
        <w:tblPrEx>
          <w:tblW w:w="0" w:type="auto"/>
          <w:tblLook w:val="04A0"/>
        </w:tblPrEx>
        <w:tc>
          <w:tcPr>
            <w:tcW w:w="1795" w:type="dxa"/>
          </w:tcPr>
          <w:p w:rsidR="00CD1AF6" w:rsidRPr="00CD1AF6" w:rsidP="00CD1AF6" w14:paraId="4139EDF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Mineral Point, PA</w:t>
            </w:r>
          </w:p>
          <w:p w:rsidR="00CD1AF6" w:rsidRPr="00CD1AF6" w:rsidP="00CD1AF6" w14:paraId="666B775F"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p>
          <w:p w:rsidR="00CD1AF6" w:rsidRPr="00CD1AF6" w:rsidP="00CD1AF6" w14:paraId="43CF5266"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15942</w:t>
            </w:r>
          </w:p>
        </w:tc>
        <w:tc>
          <w:tcPr>
            <w:tcW w:w="822" w:type="dxa"/>
          </w:tcPr>
          <w:p w:rsidR="00CD1AF6" w:rsidRPr="00CD1AF6" w:rsidP="00CD1AF6" w14:paraId="0398F99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w:t>
            </w:r>
          </w:p>
        </w:tc>
        <w:tc>
          <w:tcPr>
            <w:tcW w:w="1113" w:type="dxa"/>
          </w:tcPr>
          <w:p w:rsidR="00CD1AF6" w:rsidRPr="00CD1AF6" w:rsidP="00CD1AF6" w14:paraId="1EAAA902"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422853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0B5CB658"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ECC060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40F9C32"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5E814C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r>
      <w:tr w14:paraId="51DAC010" w14:textId="77777777" w:rsidTr="00827431">
        <w:tblPrEx>
          <w:tblW w:w="0" w:type="auto"/>
          <w:tblLook w:val="04A0"/>
        </w:tblPrEx>
        <w:tc>
          <w:tcPr>
            <w:tcW w:w="1795" w:type="dxa"/>
          </w:tcPr>
          <w:p w:rsidR="00CD1AF6" w:rsidRPr="00CD1AF6" w:rsidP="00CD1AF6" w14:paraId="5352F60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Boswell, PA</w:t>
            </w:r>
          </w:p>
          <w:p w:rsidR="00CD1AF6" w:rsidRPr="00CD1AF6" w:rsidP="00CD1AF6" w14:paraId="30B5AEEE"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p>
          <w:p w:rsidR="00CD1AF6" w:rsidRPr="00CD1AF6" w:rsidP="00CD1AF6" w14:paraId="4504BD5F"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15531</w:t>
            </w:r>
          </w:p>
        </w:tc>
        <w:tc>
          <w:tcPr>
            <w:tcW w:w="822" w:type="dxa"/>
          </w:tcPr>
          <w:p w:rsidR="00CD1AF6" w:rsidRPr="00CD1AF6" w:rsidP="00CD1AF6" w14:paraId="61E1C857"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4</w:t>
            </w:r>
          </w:p>
        </w:tc>
        <w:tc>
          <w:tcPr>
            <w:tcW w:w="1113" w:type="dxa"/>
          </w:tcPr>
          <w:p w:rsidR="00CD1AF6" w:rsidRPr="00CD1AF6" w:rsidP="00CD1AF6" w14:paraId="2DCFA1D9"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180DF6C"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807E0B1"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0143B175"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CFB901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9D3EA91"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r>
      <w:tr w14:paraId="53CFBC27" w14:textId="77777777" w:rsidTr="00827431">
        <w:tblPrEx>
          <w:tblW w:w="0" w:type="auto"/>
          <w:tblLook w:val="04A0"/>
        </w:tblPrEx>
        <w:tc>
          <w:tcPr>
            <w:tcW w:w="1795" w:type="dxa"/>
          </w:tcPr>
          <w:p w:rsidR="00CD1AF6" w:rsidRPr="00CD1AF6" w:rsidP="00CD1AF6" w14:paraId="5006FFF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Friedens, PA</w:t>
            </w:r>
          </w:p>
          <w:p w:rsidR="00CD1AF6" w:rsidRPr="00CD1AF6" w:rsidP="00CD1AF6" w14:paraId="3795FAD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p>
          <w:p w:rsidR="00CD1AF6" w:rsidRPr="00CD1AF6" w:rsidP="00CD1AF6" w14:paraId="0FC4399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15541</w:t>
            </w:r>
          </w:p>
        </w:tc>
        <w:tc>
          <w:tcPr>
            <w:tcW w:w="822" w:type="dxa"/>
          </w:tcPr>
          <w:p w:rsidR="00CD1AF6" w:rsidRPr="00CD1AF6" w:rsidP="00CD1AF6" w14:paraId="75E0F2AC"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2</w:t>
            </w:r>
          </w:p>
        </w:tc>
        <w:tc>
          <w:tcPr>
            <w:tcW w:w="1113" w:type="dxa"/>
          </w:tcPr>
          <w:p w:rsidR="00CD1AF6" w:rsidRPr="00CD1AF6" w:rsidP="00CD1AF6" w14:paraId="51CA948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63B0524F"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E52900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406CCCB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28F55BEC"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67D43A5C"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r>
      <w:tr w14:paraId="20EAC888" w14:textId="77777777" w:rsidTr="00827431">
        <w:tblPrEx>
          <w:tblW w:w="0" w:type="auto"/>
          <w:tblLook w:val="04A0"/>
        </w:tblPrEx>
        <w:tc>
          <w:tcPr>
            <w:tcW w:w="1795" w:type="dxa"/>
          </w:tcPr>
          <w:p w:rsidR="00CD1AF6" w:rsidRPr="00CD1AF6" w:rsidP="00CD1AF6" w14:paraId="6372111D"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Rockwood, PA</w:t>
            </w:r>
          </w:p>
          <w:p w:rsidR="00CD1AF6" w:rsidRPr="00CD1AF6" w:rsidP="00CD1AF6" w14:paraId="2A07636C"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p>
          <w:p w:rsidR="00CD1AF6" w:rsidRPr="00CD1AF6" w:rsidP="00CD1AF6" w14:paraId="787DF08F"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15557</w:t>
            </w:r>
          </w:p>
        </w:tc>
        <w:tc>
          <w:tcPr>
            <w:tcW w:w="822" w:type="dxa"/>
          </w:tcPr>
          <w:p w:rsidR="00CD1AF6" w:rsidRPr="00CD1AF6" w:rsidP="00CD1AF6" w14:paraId="1282A559"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w:t>
            </w:r>
          </w:p>
        </w:tc>
        <w:tc>
          <w:tcPr>
            <w:tcW w:w="1113" w:type="dxa"/>
          </w:tcPr>
          <w:p w:rsidR="00CD1AF6" w:rsidRPr="00CD1AF6" w:rsidP="00CD1AF6" w14:paraId="390E038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69A919DE"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75247B9"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4A96312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EE8F17E"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49857BCA"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r>
      <w:tr w14:paraId="1050FFD9" w14:textId="77777777" w:rsidTr="00827431">
        <w:tblPrEx>
          <w:tblW w:w="0" w:type="auto"/>
          <w:tblLook w:val="04A0"/>
        </w:tblPrEx>
        <w:tc>
          <w:tcPr>
            <w:tcW w:w="1795" w:type="dxa"/>
          </w:tcPr>
          <w:p w:rsidR="00CD1AF6" w:rsidRPr="00CD1AF6" w:rsidP="00CD1AF6" w14:paraId="6A1BBC35"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Stoystown</w:t>
            </w:r>
            <w:r w:rsidRPr="00CD1AF6">
              <w:rPr>
                <w:rFonts w:ascii="Times New Roman" w:eastAsia="Times New Roman" w:hAnsi="Times New Roman" w:cs="Times New Roman"/>
                <w:kern w:val="0"/>
                <w14:ligatures w14:val="none"/>
              </w:rPr>
              <w:t>, PA</w:t>
            </w:r>
          </w:p>
          <w:p w:rsidR="00CD1AF6" w:rsidRPr="00CD1AF6" w:rsidP="00CD1AF6" w14:paraId="45101CF0"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p>
          <w:p w:rsidR="00CD1AF6" w:rsidRPr="00CD1AF6" w:rsidP="00CD1AF6" w14:paraId="1632FB4E"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15563</w:t>
            </w:r>
          </w:p>
        </w:tc>
        <w:tc>
          <w:tcPr>
            <w:tcW w:w="822" w:type="dxa"/>
          </w:tcPr>
          <w:p w:rsidR="00CD1AF6" w:rsidRPr="00CD1AF6" w:rsidP="00CD1AF6" w14:paraId="3CDFAA31"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1</w:t>
            </w:r>
          </w:p>
        </w:tc>
        <w:tc>
          <w:tcPr>
            <w:tcW w:w="1113" w:type="dxa"/>
          </w:tcPr>
          <w:p w:rsidR="00CD1AF6" w:rsidRPr="00CD1AF6" w:rsidP="00CD1AF6" w14:paraId="6B90DEE2"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2FC3701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77AF58FF"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1CF6358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2C6F9445"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c>
          <w:tcPr>
            <w:tcW w:w="1124" w:type="dxa"/>
          </w:tcPr>
          <w:p w:rsidR="00CD1AF6" w:rsidRPr="00CD1AF6" w:rsidP="00CD1AF6" w14:paraId="4F97DEF3" w14:textId="77777777">
            <w:pPr>
              <w:tabs>
                <w:tab w:val="left" w:pos="-1440"/>
                <w:tab w:val="left" w:pos="-720"/>
                <w:tab w:val="left" w:pos="0"/>
                <w:tab w:val="left" w:pos="720"/>
                <w:tab w:val="right" w:pos="990"/>
                <w:tab w:val="left" w:pos="1440"/>
              </w:tabs>
              <w:suppressAutoHyphens/>
              <w:rPr>
                <w:rFonts w:ascii="Times New Roman" w:eastAsia="Times New Roman" w:hAnsi="Times New Roman" w:cs="Times New Roman"/>
                <w:kern w:val="0"/>
                <w14:ligatures w14:val="none"/>
              </w:rPr>
            </w:pPr>
            <w:r w:rsidRPr="00CD1AF6">
              <w:rPr>
                <w:rFonts w:ascii="Times New Roman" w:eastAsia="Times New Roman" w:hAnsi="Times New Roman" w:cs="Times New Roman"/>
                <w:kern w:val="0"/>
                <w14:ligatures w14:val="none"/>
              </w:rPr>
              <w:t>0.0</w:t>
            </w:r>
          </w:p>
        </w:tc>
      </w:tr>
    </w:tbl>
    <w:p w:rsidR="00CD1AF6" w:rsidRPr="00CD1AF6" w:rsidP="00CD1AF6" w14:paraId="0E73ED12" w14:textId="77777777">
      <w:pPr>
        <w:tabs>
          <w:tab w:val="left" w:pos="-1440"/>
          <w:tab w:val="left" w:pos="-720"/>
          <w:tab w:val="left" w:pos="0"/>
          <w:tab w:val="left" w:pos="720"/>
          <w:tab w:val="right" w:pos="990"/>
          <w:tab w:val="left" w:pos="1440"/>
        </w:tabs>
        <w:suppressAutoHyphens/>
        <w:rPr>
          <w:kern w:val="0"/>
          <w:sz w:val="24"/>
          <w:szCs w:val="24"/>
        </w:rPr>
      </w:pPr>
    </w:p>
    <w:p w:rsidR="00F80B08" w:rsidRPr="00C0110D" w:rsidP="00F80B08" w14:paraId="1F64AFC1" w14:textId="77777777">
      <w:pPr>
        <w:pStyle w:val="ParaNum"/>
        <w:numPr>
          <w:ilvl w:val="0"/>
          <w:numId w:val="0"/>
        </w:numPr>
        <w:ind w:left="720"/>
        <w:rPr>
          <w:b/>
          <w:bCs/>
        </w:rPr>
      </w:pPr>
    </w:p>
    <w:p w:rsidR="00762FCE" w:rsidRPr="00C0110D" w:rsidP="00762FCE" w14:paraId="6D311912" w14:textId="77777777">
      <w:pPr>
        <w:tabs>
          <w:tab w:val="left" w:pos="-1440"/>
          <w:tab w:val="left" w:pos="-720"/>
          <w:tab w:val="left" w:pos="0"/>
          <w:tab w:val="left" w:pos="720"/>
          <w:tab w:val="right" w:pos="990"/>
          <w:tab w:val="left" w:pos="1440"/>
        </w:tabs>
        <w:suppressAutoHyphens/>
        <w:jc w:val="center"/>
        <w:rPr>
          <w:b/>
          <w:bCs/>
          <w:kern w:val="0"/>
        </w:rPr>
      </w:pPr>
      <w:r w:rsidRPr="00C0110D">
        <w:rPr>
          <w:b/>
          <w:bCs/>
          <w:kern w:val="0"/>
        </w:rPr>
        <w:t>Table 2: November 2022/ February 2023</w:t>
      </w:r>
    </w:p>
    <w:p w:rsidR="00762FCE" w:rsidRPr="00C0110D" w:rsidP="00762FCE" w14:paraId="0F9BC2A6" w14:textId="77777777">
      <w:pPr>
        <w:tabs>
          <w:tab w:val="left" w:pos="-1440"/>
          <w:tab w:val="left" w:pos="-720"/>
          <w:tab w:val="left" w:pos="0"/>
          <w:tab w:val="left" w:pos="720"/>
          <w:tab w:val="right" w:pos="990"/>
          <w:tab w:val="left" w:pos="1440"/>
        </w:tabs>
        <w:suppressAutoHyphens/>
        <w:rPr>
          <w:kern w:val="0"/>
        </w:rPr>
      </w:pPr>
    </w:p>
    <w:tbl>
      <w:tblPr>
        <w:tblStyle w:val="TableGrid"/>
        <w:tblW w:w="0" w:type="auto"/>
        <w:tblLook w:val="04A0"/>
      </w:tblPr>
      <w:tblGrid>
        <w:gridCol w:w="1682"/>
        <w:gridCol w:w="999"/>
        <w:gridCol w:w="1084"/>
        <w:gridCol w:w="1117"/>
        <w:gridCol w:w="1117"/>
        <w:gridCol w:w="1117"/>
        <w:gridCol w:w="1117"/>
        <w:gridCol w:w="1117"/>
      </w:tblGrid>
      <w:tr w14:paraId="12B89220" w14:textId="77777777" w:rsidTr="00DB0C81">
        <w:tblPrEx>
          <w:tblW w:w="0" w:type="auto"/>
          <w:tblLook w:val="04A0"/>
        </w:tblPrEx>
        <w:tc>
          <w:tcPr>
            <w:tcW w:w="1795" w:type="dxa"/>
          </w:tcPr>
          <w:p w:rsidR="00762FCE" w:rsidRPr="00C0110D" w:rsidP="00762FCE" w14:paraId="65871E90"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Community and Zip Codes</w:t>
            </w:r>
          </w:p>
        </w:tc>
        <w:tc>
          <w:tcPr>
            <w:tcW w:w="822" w:type="dxa"/>
          </w:tcPr>
          <w:p w:rsidR="00762FCE" w:rsidRPr="00C0110D" w:rsidP="00762FCE" w14:paraId="0BAC665D"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Number in Tab</w:t>
            </w:r>
          </w:p>
        </w:tc>
        <w:tc>
          <w:tcPr>
            <w:tcW w:w="1113" w:type="dxa"/>
          </w:tcPr>
          <w:p w:rsidR="00762FCE" w:rsidRPr="00C0110D" w:rsidP="00762FCE" w14:paraId="6FDFAE69"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Average Share Viewing Hours</w:t>
            </w:r>
          </w:p>
        </w:tc>
        <w:tc>
          <w:tcPr>
            <w:tcW w:w="1124" w:type="dxa"/>
          </w:tcPr>
          <w:p w:rsidR="00762FCE" w:rsidRPr="00C0110D" w:rsidP="00762FCE" w14:paraId="7332EDEC"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Average Share Standard Error</w:t>
            </w:r>
          </w:p>
        </w:tc>
        <w:tc>
          <w:tcPr>
            <w:tcW w:w="1124" w:type="dxa"/>
          </w:tcPr>
          <w:p w:rsidR="00762FCE" w:rsidRPr="00C0110D" w:rsidP="00762FCE" w14:paraId="03DE79A3"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Average View Shares w/1 Standard Error</w:t>
            </w:r>
          </w:p>
        </w:tc>
        <w:tc>
          <w:tcPr>
            <w:tcW w:w="1124" w:type="dxa"/>
          </w:tcPr>
          <w:p w:rsidR="00762FCE" w:rsidRPr="00C0110D" w:rsidP="00762FCE" w14:paraId="08ED2248"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Average Net Weekly Standard Circ.</w:t>
            </w:r>
          </w:p>
        </w:tc>
        <w:tc>
          <w:tcPr>
            <w:tcW w:w="1124" w:type="dxa"/>
          </w:tcPr>
          <w:p w:rsidR="00762FCE" w:rsidRPr="00C0110D" w:rsidP="00762FCE" w14:paraId="0C48E340"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Average Net Weekly Standard Error</w:t>
            </w:r>
          </w:p>
        </w:tc>
        <w:tc>
          <w:tcPr>
            <w:tcW w:w="1124" w:type="dxa"/>
          </w:tcPr>
          <w:p w:rsidR="00762FCE" w:rsidRPr="00C0110D" w:rsidP="00762FCE" w14:paraId="6342BF7A" w14:textId="77777777">
            <w:pPr>
              <w:tabs>
                <w:tab w:val="left" w:pos="-1440"/>
                <w:tab w:val="left" w:pos="-720"/>
                <w:tab w:val="left" w:pos="0"/>
                <w:tab w:val="left" w:pos="720"/>
                <w:tab w:val="right" w:pos="990"/>
                <w:tab w:val="left" w:pos="1440"/>
              </w:tabs>
              <w:suppressAutoHyphens/>
              <w:rPr>
                <w:rFonts w:ascii="Times New Roman" w:hAnsi="Times New Roman" w:cs="Times New Roman"/>
                <w:b/>
                <w:bCs/>
                <w:kern w:val="0"/>
              </w:rPr>
            </w:pPr>
            <w:r w:rsidRPr="00C0110D">
              <w:rPr>
                <w:rFonts w:ascii="Times New Roman" w:hAnsi="Times New Roman" w:cs="Times New Roman"/>
                <w:b/>
                <w:bCs/>
                <w:kern w:val="0"/>
              </w:rPr>
              <w:t>Average Net Weekly Circ. w/1 Standard Error</w:t>
            </w:r>
          </w:p>
        </w:tc>
      </w:tr>
      <w:tr w14:paraId="1346262D" w14:textId="77777777" w:rsidTr="00DB0C81">
        <w:tblPrEx>
          <w:tblW w:w="0" w:type="auto"/>
          <w:tblLook w:val="04A0"/>
        </w:tblPrEx>
        <w:tc>
          <w:tcPr>
            <w:tcW w:w="1795" w:type="dxa"/>
          </w:tcPr>
          <w:p w:rsidR="00762FCE" w:rsidRPr="00C0110D" w:rsidP="00762FCE" w14:paraId="4DCA9131"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Johnstown, PA</w:t>
            </w:r>
          </w:p>
          <w:p w:rsidR="00762FCE" w:rsidRPr="00C0110D" w:rsidP="00762FCE" w14:paraId="6F30EE26"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p>
          <w:p w:rsidR="00F90A03" w:rsidRPr="00C0110D" w:rsidP="00F90A03" w14:paraId="32DE0F15" w14:textId="5BC23B94">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15901, 15902, 15904, 15</w:t>
            </w:r>
            <w:r>
              <w:rPr>
                <w:rFonts w:ascii="Times New Roman" w:hAnsi="Times New Roman" w:cs="Times New Roman"/>
                <w:kern w:val="0"/>
              </w:rPr>
              <w:t>905, 15906, 15909</w:t>
            </w:r>
          </w:p>
        </w:tc>
        <w:tc>
          <w:tcPr>
            <w:tcW w:w="822" w:type="dxa"/>
          </w:tcPr>
          <w:p w:rsidR="00762FCE" w:rsidRPr="00C0110D" w:rsidP="00762FCE" w14:paraId="0BF56EA6"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5</w:t>
            </w:r>
          </w:p>
        </w:tc>
        <w:tc>
          <w:tcPr>
            <w:tcW w:w="1113" w:type="dxa"/>
          </w:tcPr>
          <w:p w:rsidR="00762FCE" w:rsidRPr="00C0110D" w:rsidP="00762FCE" w14:paraId="61A29DD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368EECAB"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241A3D9B"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1DBA22DA"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08D7B9E0"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57026E16"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r>
      <w:tr w14:paraId="589B6560" w14:textId="77777777" w:rsidTr="00DB0C81">
        <w:tblPrEx>
          <w:tblW w:w="0" w:type="auto"/>
          <w:tblLook w:val="04A0"/>
        </w:tblPrEx>
        <w:tc>
          <w:tcPr>
            <w:tcW w:w="1795" w:type="dxa"/>
          </w:tcPr>
          <w:p w:rsidR="00762FCE" w:rsidRPr="008477B3" w:rsidP="00762FCE" w14:paraId="05333A35"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Ebensburg, PA</w:t>
            </w:r>
          </w:p>
          <w:p w:rsidR="00762FCE" w:rsidRPr="008477B3" w:rsidP="00762FCE" w14:paraId="194CBD07"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p>
          <w:p w:rsidR="00762FCE" w:rsidRPr="008477B3" w:rsidP="00762FCE" w14:paraId="2FFC6ABE"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15931</w:t>
            </w:r>
          </w:p>
        </w:tc>
        <w:tc>
          <w:tcPr>
            <w:tcW w:w="822" w:type="dxa"/>
          </w:tcPr>
          <w:p w:rsidR="00762FCE" w:rsidRPr="008477B3" w:rsidP="00762FCE" w14:paraId="0197D385"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2</w:t>
            </w:r>
          </w:p>
        </w:tc>
        <w:tc>
          <w:tcPr>
            <w:tcW w:w="1113" w:type="dxa"/>
          </w:tcPr>
          <w:p w:rsidR="00762FCE" w:rsidRPr="008477B3" w:rsidP="00762FCE" w14:paraId="389A3649"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0F21655E"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0F3A73B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5076A9B2"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7358E68E"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3491CE12"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r>
      <w:tr w14:paraId="3027E310" w14:textId="77777777" w:rsidTr="00DB0C81">
        <w:tblPrEx>
          <w:tblW w:w="0" w:type="auto"/>
          <w:tblLook w:val="04A0"/>
        </w:tblPrEx>
        <w:tc>
          <w:tcPr>
            <w:tcW w:w="1795" w:type="dxa"/>
          </w:tcPr>
          <w:p w:rsidR="00762FCE" w:rsidRPr="008477B3" w:rsidP="00762FCE" w14:paraId="5C8CEFB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Mineral Point, PA</w:t>
            </w:r>
          </w:p>
          <w:p w:rsidR="00762FCE" w:rsidRPr="008477B3" w:rsidP="00762FCE" w14:paraId="25D5F3AA"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p>
          <w:p w:rsidR="00762FCE" w:rsidRPr="008477B3" w:rsidP="00762FCE" w14:paraId="1BF1779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15942</w:t>
            </w:r>
          </w:p>
        </w:tc>
        <w:tc>
          <w:tcPr>
            <w:tcW w:w="822" w:type="dxa"/>
          </w:tcPr>
          <w:p w:rsidR="00762FCE" w:rsidRPr="008477B3" w:rsidP="00762FCE" w14:paraId="19864DA7"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1</w:t>
            </w:r>
          </w:p>
        </w:tc>
        <w:tc>
          <w:tcPr>
            <w:tcW w:w="1113" w:type="dxa"/>
          </w:tcPr>
          <w:p w:rsidR="00762FCE" w:rsidRPr="008477B3" w:rsidP="00762FCE" w14:paraId="505DB910"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369179E6"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05FE334A"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04026358"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6AA9E90E"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135E9FDF"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r>
      <w:tr w14:paraId="21F9CD3B" w14:textId="77777777" w:rsidTr="00DB0C81">
        <w:tblPrEx>
          <w:tblW w:w="0" w:type="auto"/>
          <w:tblLook w:val="04A0"/>
        </w:tblPrEx>
        <w:tc>
          <w:tcPr>
            <w:tcW w:w="1795" w:type="dxa"/>
          </w:tcPr>
          <w:p w:rsidR="00762FCE" w:rsidRPr="008477B3" w:rsidP="00762FCE" w14:paraId="053EA75F"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Boswell, PA</w:t>
            </w:r>
          </w:p>
          <w:p w:rsidR="00762FCE" w:rsidRPr="008477B3" w:rsidP="00762FCE" w14:paraId="4FA790B9"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p>
          <w:p w:rsidR="00762FCE" w:rsidRPr="008477B3" w:rsidP="00762FCE" w14:paraId="6A67DF4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15531</w:t>
            </w:r>
          </w:p>
        </w:tc>
        <w:tc>
          <w:tcPr>
            <w:tcW w:w="822" w:type="dxa"/>
          </w:tcPr>
          <w:p w:rsidR="00762FCE" w:rsidRPr="008477B3" w:rsidP="00762FCE" w14:paraId="2DEE5B80"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4</w:t>
            </w:r>
          </w:p>
        </w:tc>
        <w:tc>
          <w:tcPr>
            <w:tcW w:w="1113" w:type="dxa"/>
          </w:tcPr>
          <w:p w:rsidR="00762FCE" w:rsidRPr="008477B3" w:rsidP="00762FCE" w14:paraId="2C38FEC4"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219260B3"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07946F0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6474E5CA"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73A06CB1"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6C76BB3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r>
      <w:tr w14:paraId="789BD5D6" w14:textId="77777777" w:rsidTr="00DB0C81">
        <w:tblPrEx>
          <w:tblW w:w="0" w:type="auto"/>
          <w:tblLook w:val="04A0"/>
        </w:tblPrEx>
        <w:tc>
          <w:tcPr>
            <w:tcW w:w="1795" w:type="dxa"/>
          </w:tcPr>
          <w:p w:rsidR="00762FCE" w:rsidRPr="008477B3" w:rsidP="00762FCE" w14:paraId="07432196"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Friedens, PA</w:t>
            </w:r>
          </w:p>
          <w:p w:rsidR="00762FCE" w:rsidRPr="008477B3" w:rsidP="00762FCE" w14:paraId="356C201B"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p>
          <w:p w:rsidR="00762FCE" w:rsidRPr="008477B3" w:rsidP="00762FCE" w14:paraId="10187085"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15541</w:t>
            </w:r>
          </w:p>
        </w:tc>
        <w:tc>
          <w:tcPr>
            <w:tcW w:w="822" w:type="dxa"/>
          </w:tcPr>
          <w:p w:rsidR="00762FCE" w:rsidRPr="008477B3" w:rsidP="00762FCE" w14:paraId="14A16773"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2</w:t>
            </w:r>
          </w:p>
        </w:tc>
        <w:tc>
          <w:tcPr>
            <w:tcW w:w="1113" w:type="dxa"/>
          </w:tcPr>
          <w:p w:rsidR="00762FCE" w:rsidRPr="008477B3" w:rsidP="00762FCE" w14:paraId="0F0A650C"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1CD32EAA"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6CB1F729"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0263E412"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4D3149E6"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76ECE1B5"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r>
      <w:tr w14:paraId="24748B65" w14:textId="77777777" w:rsidTr="00DB0C81">
        <w:tblPrEx>
          <w:tblW w:w="0" w:type="auto"/>
          <w:tblLook w:val="04A0"/>
        </w:tblPrEx>
        <w:tc>
          <w:tcPr>
            <w:tcW w:w="1795" w:type="dxa"/>
          </w:tcPr>
          <w:p w:rsidR="00762FCE" w:rsidRPr="008477B3" w:rsidP="00762FCE" w14:paraId="0D6760F7"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Rockwood, PA</w:t>
            </w:r>
          </w:p>
          <w:p w:rsidR="00762FCE" w:rsidRPr="008477B3" w:rsidP="00762FCE" w14:paraId="51FF9EB3"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p>
          <w:p w:rsidR="00762FCE" w:rsidRPr="008477B3" w:rsidP="00762FCE" w14:paraId="567810FE"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15557</w:t>
            </w:r>
          </w:p>
        </w:tc>
        <w:tc>
          <w:tcPr>
            <w:tcW w:w="822" w:type="dxa"/>
          </w:tcPr>
          <w:p w:rsidR="00762FCE" w:rsidRPr="008477B3" w:rsidP="00762FCE" w14:paraId="5730C38D"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1</w:t>
            </w:r>
          </w:p>
        </w:tc>
        <w:tc>
          <w:tcPr>
            <w:tcW w:w="1113" w:type="dxa"/>
          </w:tcPr>
          <w:p w:rsidR="00762FCE" w:rsidRPr="008477B3" w:rsidP="00762FCE" w14:paraId="04CAEBEA"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77C934DD"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7CFDFFB6"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3747EC05"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5D363BE1"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c>
          <w:tcPr>
            <w:tcW w:w="1124" w:type="dxa"/>
          </w:tcPr>
          <w:p w:rsidR="00762FCE" w:rsidRPr="008477B3" w:rsidP="00762FCE" w14:paraId="04A40C32"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8477B3">
              <w:rPr>
                <w:rFonts w:ascii="Times New Roman" w:hAnsi="Times New Roman" w:cs="Times New Roman"/>
                <w:kern w:val="0"/>
              </w:rPr>
              <w:t>0.0</w:t>
            </w:r>
          </w:p>
        </w:tc>
      </w:tr>
      <w:tr w14:paraId="2A324A20" w14:textId="77777777" w:rsidTr="00DB0C81">
        <w:tblPrEx>
          <w:tblW w:w="0" w:type="auto"/>
          <w:tblLook w:val="04A0"/>
        </w:tblPrEx>
        <w:tc>
          <w:tcPr>
            <w:tcW w:w="1795" w:type="dxa"/>
          </w:tcPr>
          <w:p w:rsidR="00762FCE" w:rsidP="00762FCE" w14:paraId="26146222"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Stoystown</w:t>
            </w:r>
            <w:r w:rsidRPr="00C0110D">
              <w:rPr>
                <w:rFonts w:ascii="Times New Roman" w:hAnsi="Times New Roman" w:cs="Times New Roman"/>
                <w:kern w:val="0"/>
              </w:rPr>
              <w:t>, PA</w:t>
            </w:r>
          </w:p>
          <w:p w:rsidR="00762FCE" w:rsidRPr="00C0110D" w:rsidP="00762FCE" w14:paraId="2656B9B9"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15563</w:t>
            </w:r>
          </w:p>
        </w:tc>
        <w:tc>
          <w:tcPr>
            <w:tcW w:w="822" w:type="dxa"/>
          </w:tcPr>
          <w:p w:rsidR="00762FCE" w:rsidRPr="00C0110D" w:rsidP="00762FCE" w14:paraId="681FB0AB"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1</w:t>
            </w:r>
          </w:p>
        </w:tc>
        <w:tc>
          <w:tcPr>
            <w:tcW w:w="1113" w:type="dxa"/>
          </w:tcPr>
          <w:p w:rsidR="00762FCE" w:rsidRPr="00C0110D" w:rsidP="00762FCE" w14:paraId="22C96E62"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249C6C69"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1FF7C493"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7F3CF95D"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61376D4E"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c>
          <w:tcPr>
            <w:tcW w:w="1124" w:type="dxa"/>
          </w:tcPr>
          <w:p w:rsidR="00762FCE" w:rsidRPr="00C0110D" w:rsidP="00762FCE" w14:paraId="26692161" w14:textId="77777777">
            <w:pPr>
              <w:tabs>
                <w:tab w:val="left" w:pos="-1440"/>
                <w:tab w:val="left" w:pos="-720"/>
                <w:tab w:val="left" w:pos="0"/>
                <w:tab w:val="left" w:pos="720"/>
                <w:tab w:val="right" w:pos="990"/>
                <w:tab w:val="left" w:pos="1440"/>
              </w:tabs>
              <w:suppressAutoHyphens/>
              <w:rPr>
                <w:rFonts w:ascii="Times New Roman" w:hAnsi="Times New Roman" w:cs="Times New Roman"/>
                <w:kern w:val="0"/>
              </w:rPr>
            </w:pPr>
            <w:r w:rsidRPr="00C0110D">
              <w:rPr>
                <w:rFonts w:ascii="Times New Roman" w:hAnsi="Times New Roman" w:cs="Times New Roman"/>
                <w:kern w:val="0"/>
              </w:rPr>
              <w:t>0.0</w:t>
            </w:r>
          </w:p>
        </w:tc>
      </w:tr>
    </w:tbl>
    <w:p w:rsidR="00D206E8" w:rsidP="004C58C7" w14:paraId="23A74A35" w14:textId="77777777">
      <w:pPr>
        <w:pStyle w:val="ParaNum"/>
        <w:spacing w:before="120"/>
      </w:pPr>
      <w:r w:rsidRPr="00C0110D">
        <w:t xml:space="preserve">When standard errors are added to the reported audience shares, WTAE-TV does not meet </w:t>
      </w:r>
      <w:r w:rsidRPr="00C0110D" w:rsidR="004C58C7">
        <w:t>the criteria for significantly viewed status for a network affiliate</w:t>
      </w:r>
      <w:r w:rsidRPr="00C0110D">
        <w:t xml:space="preserve"> in Johnstown, Ebensburg, Boswell, and Friedens</w:t>
      </w:r>
      <w:r w:rsidRPr="00C0110D" w:rsidR="004C58C7">
        <w:t>.  In each case, the reported audience statistic plus one standard error is less than the required audience share to establish significantly viewed status for a network affiliate (</w:t>
      </w:r>
      <w:r w:rsidRPr="00C0110D" w:rsidR="004C58C7">
        <w:rPr>
          <w:i/>
        </w:rPr>
        <w:t>i.e</w:t>
      </w:r>
      <w:r w:rsidRPr="00C0110D" w:rsidR="004C58C7">
        <w:t>., a 3 share of total weekly viewing hours and a 25 net weekly circulation share) set forth in section 76.5(</w:t>
      </w:r>
      <w:r w:rsidRPr="00C0110D" w:rsidR="004C58C7">
        <w:t>i</w:t>
      </w:r>
      <w:r w:rsidRPr="00C0110D" w:rsidR="004C58C7">
        <w:t>).</w:t>
      </w:r>
      <w:r>
        <w:rPr>
          <w:rStyle w:val="FootnoteReference"/>
          <w:sz w:val="22"/>
        </w:rPr>
        <w:footnoteReference w:id="43"/>
      </w:r>
      <w:r w:rsidRPr="00C0110D" w:rsidR="004C58C7">
        <w:t xml:space="preserve">  </w:t>
      </w:r>
      <w:r w:rsidRPr="00C0110D" w:rsidR="00ED328E">
        <w:t xml:space="preserve">Indeed, in these Communities the </w:t>
      </w:r>
      <w:r w:rsidRPr="00C0110D" w:rsidR="004C58C7">
        <w:t>reported statistics indicate that W</w:t>
      </w:r>
      <w:r w:rsidRPr="00C0110D" w:rsidR="00ED328E">
        <w:t>TAE-TV ha</w:t>
      </w:r>
      <w:r w:rsidRPr="00C0110D" w:rsidR="00EE7E1E">
        <w:t xml:space="preserve">d no measurable viewing and is therefore no </w:t>
      </w:r>
      <w:r w:rsidRPr="00C0110D" w:rsidR="004C58C7">
        <w:t>longer significantly viewed</w:t>
      </w:r>
      <w:r w:rsidRPr="00C0110D" w:rsidR="00EE7E1E">
        <w:t>.</w:t>
      </w:r>
      <w:r w:rsidRPr="00C0110D" w:rsidR="004C58C7">
        <w:t xml:space="preserve">  </w:t>
      </w:r>
    </w:p>
    <w:p w:rsidR="00810A78" w:rsidP="004C58C7" w14:paraId="206DA920" w14:textId="37ABCB0E">
      <w:pPr>
        <w:pStyle w:val="ParaNum"/>
        <w:spacing w:before="120"/>
      </w:pPr>
      <w:r>
        <w:t>W</w:t>
      </w:r>
      <w:r w:rsidRPr="00C0110D" w:rsidR="00175BBA">
        <w:t xml:space="preserve">e cannot conclude </w:t>
      </w:r>
      <w:r w:rsidR="00003AEC">
        <w:t xml:space="preserve">based on the data provided </w:t>
      </w:r>
      <w:r w:rsidRPr="00C0110D" w:rsidR="00175BBA">
        <w:t>that WTAE-TV is not significantly viewed in Mineral Point, Rockwood</w:t>
      </w:r>
      <w:r w:rsidRPr="00C0110D" w:rsidR="00F73735">
        <w:t>,</w:t>
      </w:r>
      <w:r w:rsidRPr="00C0110D" w:rsidR="00175BBA">
        <w:t xml:space="preserve"> and </w:t>
      </w:r>
      <w:r w:rsidRPr="00C0110D" w:rsidR="00175BBA">
        <w:t>Stoystown</w:t>
      </w:r>
      <w:r w:rsidRPr="00C0110D" w:rsidR="00175BBA">
        <w:t xml:space="preserve">.  </w:t>
      </w:r>
      <w:r w:rsidR="00003AEC">
        <w:t>Because</w:t>
      </w:r>
      <w:r w:rsidRPr="00C0110D" w:rsidR="00175BBA">
        <w:t xml:space="preserve"> the reported data for the survey years was based on only one in-tab household</w:t>
      </w:r>
      <w:r w:rsidRPr="00C0110D" w:rsidR="0027360C">
        <w:t xml:space="preserve"> </w:t>
      </w:r>
      <w:r w:rsidR="00003AEC">
        <w:t>that data is</w:t>
      </w:r>
      <w:r w:rsidRPr="00C0110D" w:rsidR="0027360C">
        <w:t xml:space="preserve"> </w:t>
      </w:r>
      <w:r w:rsidRPr="00C0110D" w:rsidR="00003AEC">
        <w:t>insufficient to estimate a viewing average for a community</w:t>
      </w:r>
      <w:r w:rsidR="00003AEC">
        <w:t xml:space="preserve"> in a community-based survey and </w:t>
      </w:r>
      <w:r w:rsidRPr="00C0110D" w:rsidR="0027360C">
        <w:t>does not allow us to make the determination that WTAE-TV is no longer significantly viewed in these Communities.</w:t>
      </w:r>
      <w:r w:rsidRPr="00C0110D" w:rsidR="00C61C14">
        <w:t xml:space="preserve">  </w:t>
      </w:r>
    </w:p>
    <w:p w:rsidR="004C58C7" w:rsidRPr="00C0110D" w:rsidP="004C58C7" w14:paraId="1BFA7801" w14:textId="4CCAF033">
      <w:pPr>
        <w:pStyle w:val="ParaNum"/>
        <w:spacing w:before="120"/>
      </w:pPr>
      <w:r w:rsidRPr="00C0110D">
        <w:t>A</w:t>
      </w:r>
      <w:r w:rsidRPr="00C0110D" w:rsidR="00A45C16">
        <w:t>ccordingly, we conclude that t</w:t>
      </w:r>
      <w:r w:rsidRPr="00C0110D">
        <w:t>he Petitioner</w:t>
      </w:r>
      <w:r w:rsidRPr="00C0110D" w:rsidR="00F73735">
        <w:t>s</w:t>
      </w:r>
      <w:r w:rsidRPr="00C0110D">
        <w:t xml:space="preserve"> ha</w:t>
      </w:r>
      <w:r w:rsidRPr="00C0110D" w:rsidR="00F73735">
        <w:t>ve</w:t>
      </w:r>
      <w:r w:rsidRPr="00C0110D">
        <w:t xml:space="preserve"> met </w:t>
      </w:r>
      <w:r w:rsidRPr="00C0110D" w:rsidR="00F73735">
        <w:t xml:space="preserve">their </w:t>
      </w:r>
      <w:r w:rsidRPr="00C0110D">
        <w:t>burden and demonstrate that W</w:t>
      </w:r>
      <w:r w:rsidRPr="00C0110D" w:rsidR="00F73735">
        <w:t xml:space="preserve">TAE-TV </w:t>
      </w:r>
      <w:r w:rsidRPr="00C0110D">
        <w:t>fails to meet the requirements to maintain its status as significantly viewed in</w:t>
      </w:r>
      <w:r w:rsidRPr="00C0110D" w:rsidR="00F73735">
        <w:t xml:space="preserve"> the Communities of Johnstown, Ebensburg, Boswell, and Friedens.  The Petitioners, however, have failed to meet that burden with regard to the Communities of Mineral Point, Rockw</w:t>
      </w:r>
      <w:r w:rsidR="00442190">
        <w:t>ood</w:t>
      </w:r>
      <w:r w:rsidRPr="00C0110D" w:rsidR="00F73735">
        <w:t xml:space="preserve">, and </w:t>
      </w:r>
      <w:r w:rsidRPr="00C0110D" w:rsidR="00F73735">
        <w:t>Stoystown</w:t>
      </w:r>
      <w:r w:rsidRPr="00C0110D" w:rsidR="00F73735">
        <w:t xml:space="preserve">. </w:t>
      </w:r>
      <w:r w:rsidRPr="00C0110D">
        <w:t xml:space="preserve">                   </w:t>
      </w:r>
    </w:p>
    <w:p w:rsidR="004C58C7" w:rsidRPr="00C0110D" w:rsidP="004C58C7" w14:paraId="72DA7522" w14:textId="77777777">
      <w:pPr>
        <w:pStyle w:val="Heading1"/>
        <w:rPr>
          <w:rFonts w:ascii="Times New Roman" w:hAnsi="Times New Roman"/>
        </w:rPr>
      </w:pPr>
      <w:r w:rsidRPr="00C0110D">
        <w:rPr>
          <w:rFonts w:ascii="Times New Roman" w:hAnsi="Times New Roman"/>
        </w:rPr>
        <w:t>Ordering Clauses</w:t>
      </w:r>
    </w:p>
    <w:p w:rsidR="004C58C7" w:rsidRPr="00C0110D" w:rsidP="004C58C7" w14:paraId="4D7A5013" w14:textId="36C78AFA">
      <w:pPr>
        <w:pStyle w:val="ParaNum"/>
      </w:pPr>
      <w:r w:rsidRPr="00C0110D">
        <w:t xml:space="preserve">Accordingly, </w:t>
      </w:r>
      <w:r w:rsidRPr="00C0110D">
        <w:rPr>
          <w:b/>
        </w:rPr>
        <w:t>IT IS ORDERED</w:t>
      </w:r>
      <w:r w:rsidRPr="00C0110D">
        <w:t>, pursuant to sections 76.92(f) and 76.106(a) of the Commission’s rules, 47 CFR §§ 76.92(f) and 76.106(a), that the captioned Petition for Special Relief (MB Docket No. 2</w:t>
      </w:r>
      <w:r w:rsidRPr="00C0110D" w:rsidR="003C5023">
        <w:t>3</w:t>
      </w:r>
      <w:r w:rsidRPr="00C0110D">
        <w:t>-</w:t>
      </w:r>
      <w:r w:rsidRPr="00C0110D" w:rsidR="003C5023">
        <w:t>183</w:t>
      </w:r>
      <w:r w:rsidRPr="00C0110D">
        <w:t>, CSR 90</w:t>
      </w:r>
      <w:r w:rsidRPr="00C0110D" w:rsidR="003C5023">
        <w:t>10</w:t>
      </w:r>
      <w:r w:rsidRPr="00C0110D">
        <w:t xml:space="preserve">-N) filed by </w:t>
      </w:r>
      <w:r w:rsidRPr="00C0110D" w:rsidR="003C5023">
        <w:t xml:space="preserve">Palm Television, L.P. and Johnstown </w:t>
      </w:r>
      <w:r w:rsidRPr="00C0110D" w:rsidR="00400EB9">
        <w:t xml:space="preserve">(WWCP-TV) </w:t>
      </w:r>
      <w:r w:rsidRPr="00C0110D" w:rsidR="003C5023">
        <w:t xml:space="preserve">Licensee, Inc. </w:t>
      </w:r>
      <w:r w:rsidRPr="00C0110D">
        <w:rPr>
          <w:b/>
        </w:rPr>
        <w:t>IS GRANTED</w:t>
      </w:r>
      <w:r w:rsidRPr="00C0110D" w:rsidR="003C5023">
        <w:rPr>
          <w:b/>
        </w:rPr>
        <w:t xml:space="preserve"> IN PART AND DENIED IN PART</w:t>
      </w:r>
      <w:r w:rsidRPr="00B50CB5" w:rsidR="00661251">
        <w:rPr>
          <w:bCs/>
        </w:rPr>
        <w:t xml:space="preserve"> as discussed herein</w:t>
      </w:r>
      <w:r w:rsidRPr="00C0110D">
        <w:t>.</w:t>
      </w:r>
    </w:p>
    <w:p w:rsidR="004C58C7" w:rsidRPr="00C0110D" w:rsidP="004C58C7" w14:paraId="36B9F577" w14:textId="02BAA5E1">
      <w:pPr>
        <w:pStyle w:val="ParaNum"/>
      </w:pPr>
      <w:r w:rsidRPr="00C0110D">
        <w:t>This action is taken pursuant to authority delegated under section 0.283 of the Commission’s Rules.</w:t>
      </w:r>
      <w:r>
        <w:rPr>
          <w:rStyle w:val="FootnoteReference"/>
          <w:sz w:val="22"/>
        </w:rPr>
        <w:footnoteReference w:id="44"/>
      </w:r>
    </w:p>
    <w:p w:rsidR="004C58C7" w:rsidRPr="00C0110D" w:rsidP="004C58C7" w14:paraId="170A983F" w14:textId="77777777">
      <w:pPr>
        <w:pStyle w:val="ParaNum"/>
        <w:numPr>
          <w:ilvl w:val="0"/>
          <w:numId w:val="0"/>
        </w:numPr>
      </w:pPr>
      <w:r w:rsidRPr="00C0110D">
        <w:tab/>
      </w:r>
      <w:r w:rsidRPr="00C0110D">
        <w:tab/>
      </w:r>
      <w:r w:rsidRPr="00C0110D">
        <w:tab/>
      </w:r>
      <w:r w:rsidRPr="00C0110D">
        <w:tab/>
      </w:r>
      <w:r w:rsidRPr="00C0110D">
        <w:tab/>
        <w:t>FEDERAL COMMUNICATIONS COMMISSION</w:t>
      </w:r>
    </w:p>
    <w:p w:rsidR="004C58C7" w:rsidRPr="00C0110D" w:rsidP="004C58C7" w14:paraId="0C7F5D57" w14:textId="77777777">
      <w:pPr>
        <w:pStyle w:val="ParaNum"/>
        <w:numPr>
          <w:ilvl w:val="0"/>
          <w:numId w:val="0"/>
        </w:numPr>
        <w:spacing w:after="0"/>
      </w:pPr>
      <w:r w:rsidRPr="00C0110D">
        <w:tab/>
      </w:r>
      <w:r w:rsidRPr="00C0110D">
        <w:tab/>
      </w:r>
      <w:r w:rsidRPr="00C0110D">
        <w:tab/>
      </w:r>
      <w:r w:rsidRPr="00C0110D">
        <w:tab/>
      </w:r>
      <w:r w:rsidRPr="00C0110D">
        <w:tab/>
      </w:r>
    </w:p>
    <w:p w:rsidR="004C58C7" w:rsidRPr="00C0110D" w:rsidP="004C58C7" w14:paraId="0D2C8BC7" w14:textId="77777777">
      <w:pPr>
        <w:pStyle w:val="ParaNum"/>
        <w:numPr>
          <w:ilvl w:val="0"/>
          <w:numId w:val="0"/>
        </w:numPr>
        <w:spacing w:after="0"/>
      </w:pPr>
    </w:p>
    <w:p w:rsidR="004C58C7" w:rsidRPr="00C0110D" w:rsidP="004C58C7" w14:paraId="00FB1B7A" w14:textId="77777777">
      <w:pPr>
        <w:pStyle w:val="ParaNum"/>
        <w:numPr>
          <w:ilvl w:val="0"/>
          <w:numId w:val="0"/>
        </w:numPr>
        <w:spacing w:after="0"/>
      </w:pPr>
    </w:p>
    <w:p w:rsidR="004C58C7" w:rsidRPr="00C0110D" w:rsidP="004C58C7" w14:paraId="3C59C40E" w14:textId="77777777">
      <w:pPr>
        <w:pStyle w:val="ParaNum"/>
        <w:numPr>
          <w:ilvl w:val="0"/>
          <w:numId w:val="0"/>
        </w:numPr>
        <w:spacing w:after="0"/>
      </w:pPr>
      <w:r w:rsidRPr="00C0110D">
        <w:tab/>
      </w:r>
      <w:r w:rsidRPr="00C0110D">
        <w:tab/>
      </w:r>
      <w:r w:rsidRPr="00C0110D">
        <w:tab/>
      </w:r>
      <w:r w:rsidRPr="00C0110D">
        <w:tab/>
      </w:r>
      <w:r w:rsidRPr="00C0110D">
        <w:tab/>
      </w:r>
    </w:p>
    <w:p w:rsidR="004C58C7" w:rsidRPr="00C0110D" w:rsidP="004C58C7" w14:paraId="5AC3116C" w14:textId="77777777">
      <w:pPr>
        <w:pStyle w:val="ParaNum"/>
        <w:numPr>
          <w:ilvl w:val="0"/>
          <w:numId w:val="0"/>
        </w:numPr>
        <w:spacing w:after="0"/>
      </w:pPr>
      <w:r w:rsidRPr="00C0110D">
        <w:tab/>
      </w:r>
      <w:r w:rsidRPr="00C0110D">
        <w:tab/>
      </w:r>
      <w:r w:rsidRPr="00C0110D">
        <w:tab/>
      </w:r>
      <w:r w:rsidRPr="00C0110D">
        <w:tab/>
      </w:r>
      <w:r w:rsidRPr="00C0110D">
        <w:tab/>
        <w:t>Steven A. Broeckaert</w:t>
      </w:r>
    </w:p>
    <w:p w:rsidR="004C58C7" w:rsidRPr="00C0110D" w:rsidP="004C58C7" w14:paraId="0880345B" w14:textId="77777777">
      <w:pPr>
        <w:pStyle w:val="ParaNum"/>
        <w:numPr>
          <w:ilvl w:val="0"/>
          <w:numId w:val="0"/>
        </w:numPr>
        <w:spacing w:after="0"/>
      </w:pPr>
      <w:r w:rsidRPr="00C0110D">
        <w:tab/>
      </w:r>
      <w:r w:rsidRPr="00C0110D">
        <w:tab/>
      </w:r>
      <w:r w:rsidRPr="00C0110D">
        <w:tab/>
      </w:r>
      <w:r w:rsidRPr="00C0110D">
        <w:tab/>
      </w:r>
      <w:r w:rsidRPr="00C0110D">
        <w:tab/>
        <w:t>Senior Deputy Chief, Policy Division</w:t>
      </w:r>
    </w:p>
    <w:p w:rsidR="00412FC5" w:rsidRPr="00C0110D" w:rsidP="004C58C7" w14:paraId="7944854E" w14:textId="487A633D">
      <w:pPr>
        <w:pStyle w:val="ParaNum"/>
        <w:numPr>
          <w:ilvl w:val="0"/>
          <w:numId w:val="0"/>
        </w:numPr>
        <w:spacing w:after="0"/>
      </w:pPr>
      <w:r w:rsidRPr="00C0110D">
        <w:tab/>
      </w:r>
      <w:r w:rsidRPr="00C0110D">
        <w:tab/>
      </w:r>
      <w:r w:rsidRPr="00C0110D">
        <w:tab/>
      </w:r>
      <w:r w:rsidRPr="00C0110D">
        <w:tab/>
      </w:r>
      <w:r w:rsidRPr="00C0110D">
        <w:tab/>
        <w:t>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0209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3D04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58C7" w14:paraId="15140AC2" w14:textId="7283817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2378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4346" w14:paraId="0A03240E" w14:textId="77777777">
      <w:r>
        <w:separator/>
      </w:r>
    </w:p>
  </w:footnote>
  <w:footnote w:type="continuationSeparator" w:id="1">
    <w:p w:rsidR="00654346" w:rsidP="00C721AC" w14:paraId="2D14D7A1" w14:textId="77777777">
      <w:pPr>
        <w:spacing w:before="120"/>
        <w:rPr>
          <w:sz w:val="20"/>
        </w:rPr>
      </w:pPr>
      <w:r>
        <w:rPr>
          <w:sz w:val="20"/>
        </w:rPr>
        <w:t xml:space="preserve">(Continued from previous page)  </w:t>
      </w:r>
      <w:r>
        <w:rPr>
          <w:sz w:val="20"/>
        </w:rPr>
        <w:separator/>
      </w:r>
    </w:p>
  </w:footnote>
  <w:footnote w:type="continuationNotice" w:id="2">
    <w:p w:rsidR="00654346" w:rsidP="00C721AC" w14:paraId="261AE4EC" w14:textId="77777777">
      <w:pPr>
        <w:jc w:val="right"/>
        <w:rPr>
          <w:sz w:val="20"/>
        </w:rPr>
      </w:pPr>
      <w:r>
        <w:rPr>
          <w:sz w:val="20"/>
        </w:rPr>
        <w:t>(continued….)</w:t>
      </w:r>
    </w:p>
  </w:footnote>
  <w:footnote w:id="3">
    <w:p w:rsidR="004C58C7" w:rsidP="004C58C7" w14:paraId="5B4D0CCC" w14:textId="03BB1705">
      <w:pPr>
        <w:pStyle w:val="FootnoteText"/>
      </w:pPr>
      <w:r>
        <w:rPr>
          <w:rStyle w:val="FootnoteReference"/>
        </w:rPr>
        <w:footnoteRef/>
      </w:r>
      <w:r>
        <w:t xml:space="preserve"> </w:t>
      </w:r>
      <w:r>
        <w:rPr>
          <w:i/>
        </w:rPr>
        <w:t xml:space="preserve">See </w:t>
      </w:r>
      <w:r w:rsidR="00B1392A">
        <w:rPr>
          <w:i/>
        </w:rPr>
        <w:t>Palm Television, L.P. and Johnstown (WWCP-TV) Licensee</w:t>
      </w:r>
      <w:r w:rsidR="00C32A7C">
        <w:rPr>
          <w:i/>
        </w:rPr>
        <w:t>, Inc.</w:t>
      </w:r>
      <w:r>
        <w:rPr>
          <w:i/>
        </w:rPr>
        <w:t xml:space="preserve"> for Waiver of Sections 76.92(f) and 76.106(a) of the Commission’s Rules for </w:t>
      </w:r>
      <w:r w:rsidR="00C32A7C">
        <w:rPr>
          <w:i/>
        </w:rPr>
        <w:t>WATM-TV</w:t>
      </w:r>
      <w:r>
        <w:rPr>
          <w:i/>
        </w:rPr>
        <w:t xml:space="preserve">, </w:t>
      </w:r>
      <w:r w:rsidR="00C32A7C">
        <w:rPr>
          <w:i/>
        </w:rPr>
        <w:t>Altoona, PA</w:t>
      </w:r>
      <w:r>
        <w:t>, Petition for Special Relief, MB Docket No. 2</w:t>
      </w:r>
      <w:r w:rsidR="00C32A7C">
        <w:t>3</w:t>
      </w:r>
      <w:r>
        <w:t>-</w:t>
      </w:r>
      <w:r w:rsidR="00C32A7C">
        <w:t>183</w:t>
      </w:r>
      <w:r>
        <w:t xml:space="preserve"> (filed </w:t>
      </w:r>
      <w:r w:rsidR="00C32A7C">
        <w:t>May 31</w:t>
      </w:r>
      <w:r>
        <w:t>, 202</w:t>
      </w:r>
      <w:r w:rsidR="00C32A7C">
        <w:t>3</w:t>
      </w:r>
      <w:r>
        <w:t xml:space="preserve">) (Petition).  The Media Bureau placed the Petition on public notice and sought comment.  </w:t>
      </w:r>
      <w:r>
        <w:rPr>
          <w:i/>
        </w:rPr>
        <w:t>Special Relief and Show Cause Petitions</w:t>
      </w:r>
      <w:r>
        <w:t>, Pubic Notice, Report No. 050</w:t>
      </w:r>
      <w:r w:rsidR="00F45A38">
        <w:t>7</w:t>
      </w:r>
      <w:r>
        <w:t xml:space="preserve"> (MB </w:t>
      </w:r>
      <w:r w:rsidR="000C7B55">
        <w:t>June</w:t>
      </w:r>
      <w:r>
        <w:t xml:space="preserve"> 2, 202</w:t>
      </w:r>
      <w:r w:rsidR="000C7B55">
        <w:t>3</w:t>
      </w:r>
      <w:r>
        <w:t>) (</w:t>
      </w:r>
      <w:r>
        <w:rPr>
          <w:i/>
        </w:rPr>
        <w:t>Public Notice</w:t>
      </w:r>
      <w:r>
        <w:t>).</w:t>
      </w:r>
      <w:r>
        <w:rPr>
          <w:i/>
        </w:rPr>
        <w:t xml:space="preserve"> </w:t>
      </w:r>
      <w:r>
        <w:t xml:space="preserve"> </w:t>
      </w:r>
      <w:r>
        <w:rPr>
          <w:i/>
        </w:rPr>
        <w:t xml:space="preserve"> </w:t>
      </w:r>
      <w:r>
        <w:t xml:space="preserve"> </w:t>
      </w:r>
    </w:p>
  </w:footnote>
  <w:footnote w:id="4">
    <w:p w:rsidR="004C58C7" w:rsidRPr="00AD0AFA" w:rsidP="004C58C7" w14:paraId="35F0D85C" w14:textId="5765217D">
      <w:pPr>
        <w:pStyle w:val="FootnoteText"/>
      </w:pPr>
      <w:r>
        <w:rPr>
          <w:rStyle w:val="FootnoteReference"/>
        </w:rPr>
        <w:footnoteRef/>
      </w:r>
      <w:r>
        <w:t xml:space="preserve"> 47 CFR §§ 76.92(f), 76.106(a) (significantly viewed exception to the cable network non-duplication and syndicated exclusivity rules). </w:t>
      </w:r>
      <w:r w:rsidR="00171595">
        <w:t xml:space="preserve"> </w:t>
      </w:r>
      <w:r w:rsidRPr="00C0110D" w:rsidR="00171595">
        <w:t>Palm and WWCP Licensee are parties to a grandfathered Time Brokerage Agreement whereby WWCP Licensee brokers time on WATM-TV.</w:t>
      </w:r>
      <w:r w:rsidR="00171595">
        <w:t xml:space="preserve">  Petition at </w:t>
      </w:r>
      <w:r w:rsidR="003B4F8D">
        <w:t xml:space="preserve"> 2</w:t>
      </w:r>
      <w:r w:rsidR="00171595">
        <w:t xml:space="preserve">.  </w:t>
      </w:r>
      <w:r w:rsidRPr="00C0110D" w:rsidR="00171595">
        <w:t>Therefore, Palm and WWCP Licensee argue that they both have an interest in WATM-TV’s ability to exercise its network nonduplication and syndicated exclusivity rights against out of market stations.</w:t>
      </w:r>
      <w:r w:rsidR="00171595">
        <w:t xml:space="preserve">  </w:t>
      </w:r>
      <w:r w:rsidR="00171595">
        <w:rPr>
          <w:i/>
          <w:iCs/>
        </w:rPr>
        <w:t>Id</w:t>
      </w:r>
      <w:r w:rsidR="00171595">
        <w:t xml:space="preserve">.  </w:t>
      </w:r>
      <w:r>
        <w:t xml:space="preserve"> </w:t>
      </w:r>
      <w:r w:rsidR="003C7AC8">
        <w:t xml:space="preserve">  </w:t>
      </w:r>
      <w:r>
        <w:t xml:space="preserve">   </w:t>
      </w:r>
    </w:p>
  </w:footnote>
  <w:footnote w:id="5">
    <w:p w:rsidR="004C58C7" w:rsidRPr="008A625D" w:rsidP="004C58C7" w14:paraId="73A90AA0" w14:textId="5378E14E">
      <w:pPr>
        <w:pStyle w:val="FootnoteText"/>
      </w:pPr>
      <w:r>
        <w:rPr>
          <w:rStyle w:val="FootnoteReference"/>
        </w:rPr>
        <w:footnoteRef/>
      </w:r>
      <w:r>
        <w:t xml:space="preserve"> Petition at 1</w:t>
      </w:r>
      <w:r w:rsidR="00425B58">
        <w:t>-2</w:t>
      </w:r>
      <w:r>
        <w:t>.</w:t>
      </w:r>
    </w:p>
  </w:footnote>
  <w:footnote w:id="6">
    <w:p w:rsidR="004C58C7" w:rsidRPr="00B97F1B" w:rsidP="004C58C7" w14:paraId="370987B9" w14:textId="1A4C0DF0">
      <w:pPr>
        <w:pStyle w:val="FootnoteText"/>
        <w:rPr>
          <w:i/>
          <w:iCs/>
        </w:rPr>
      </w:pPr>
      <w:r>
        <w:rPr>
          <w:rStyle w:val="FootnoteReference"/>
        </w:rPr>
        <w:footnoteRef/>
      </w:r>
      <w:r>
        <w:t xml:space="preserve"> </w:t>
      </w:r>
      <w:r>
        <w:rPr>
          <w:i/>
          <w:iCs/>
        </w:rPr>
        <w:t>Id</w:t>
      </w:r>
      <w:r w:rsidRPr="00B638F2">
        <w:t>.</w:t>
      </w:r>
      <w:r w:rsidRPr="00DB7E68">
        <w:t xml:space="preserve"> </w:t>
      </w:r>
      <w:r>
        <w:t xml:space="preserve">at n.1. </w:t>
      </w:r>
    </w:p>
  </w:footnote>
  <w:footnote w:id="7">
    <w:p w:rsidR="004C58C7" w:rsidP="004C58C7" w14:paraId="03A897C2" w14:textId="77777777">
      <w:pPr>
        <w:pStyle w:val="FootnoteText"/>
      </w:pPr>
      <w:r>
        <w:rPr>
          <w:rStyle w:val="FootnoteReference"/>
        </w:rPr>
        <w:footnoteRef/>
      </w:r>
      <w:r>
        <w:rPr>
          <w:i/>
        </w:rPr>
        <w:t xml:space="preserve"> See </w:t>
      </w:r>
      <w:r>
        <w:t xml:space="preserve">47 CFR §§ 76.92, 76.101. </w:t>
      </w:r>
    </w:p>
  </w:footnote>
  <w:footnote w:id="8">
    <w:p w:rsidR="004C58C7" w:rsidP="004C58C7" w14:paraId="75D28EE4" w14:textId="77777777">
      <w:pPr>
        <w:pStyle w:val="FootnoteText"/>
      </w:pPr>
      <w:r>
        <w:rPr>
          <w:rStyle w:val="FootnoteReference"/>
        </w:rPr>
        <w:footnoteRef/>
      </w:r>
      <w:r>
        <w:t xml:space="preserve"> 47 CFR §§ 76.92(f), 76.122(j) (network non-duplication exception for cable and satellite carriers); </w:t>
      </w:r>
      <w:r>
        <w:rPr>
          <w:i/>
        </w:rPr>
        <w:t xml:space="preserve">see </w:t>
      </w:r>
      <w:r>
        <w:t>47 CFR §§ 76.5(</w:t>
      </w:r>
      <w:r>
        <w:t>i</w:t>
      </w:r>
      <w:r>
        <w:t xml:space="preserve">), 76.54. </w:t>
      </w:r>
    </w:p>
  </w:footnote>
  <w:footnote w:id="9">
    <w:p w:rsidR="004C58C7" w:rsidP="004C58C7" w14:paraId="29C0C17B" w14:textId="77777777">
      <w:pPr>
        <w:pStyle w:val="FootnoteText"/>
      </w:pPr>
      <w:r>
        <w:rPr>
          <w:rStyle w:val="FootnoteReference"/>
        </w:rPr>
        <w:footnoteRef/>
      </w:r>
      <w:r>
        <w:t xml:space="preserve"> 47 CFR §§ 76.106(a), 76.123(k) (significantly viewed exception for cable and satellite carriers). </w:t>
      </w:r>
    </w:p>
  </w:footnote>
  <w:footnote w:id="10">
    <w:p w:rsidR="004C58C7" w:rsidP="004C58C7" w14:paraId="62CB60E0" w14:textId="587FB3A3">
      <w:pPr>
        <w:pStyle w:val="FootnoteText"/>
      </w:pPr>
      <w:r>
        <w:rPr>
          <w:rStyle w:val="FootnoteReference"/>
        </w:rPr>
        <w:footnoteRef/>
      </w:r>
      <w:r>
        <w:t xml:space="preserve"> T</w:t>
      </w:r>
      <w:r w:rsidRPr="00BC4670">
        <w:t xml:space="preserve">he Commission has found that </w:t>
      </w:r>
      <w:r>
        <w:t>the definition of “significantly viewed” in section 76.5(</w:t>
      </w:r>
      <w:r>
        <w:t>i</w:t>
      </w:r>
      <w:r>
        <w:t xml:space="preserve">) </w:t>
      </w:r>
      <w:r w:rsidRPr="00BC4670">
        <w:t xml:space="preserve">is </w:t>
      </w:r>
      <w:r>
        <w:t xml:space="preserve">equally </w:t>
      </w:r>
      <w:r w:rsidRPr="00BC4670">
        <w:t>applicable for waivers of the syndicated exclusivity exemption.</w:t>
      </w:r>
      <w:r>
        <w:rPr>
          <w:vertAlign w:val="superscript"/>
        </w:rPr>
        <w:t xml:space="preserve">  </w:t>
      </w:r>
      <w:r w:rsidR="00D23AA7">
        <w:rPr>
          <w:vertAlign w:val="superscript"/>
        </w:rPr>
        <w:t xml:space="preserve"> </w:t>
      </w:r>
      <w:r>
        <w:rPr>
          <w:i/>
        </w:rPr>
        <w:t>See Chambers Cable of Oregon, Inc.</w:t>
      </w:r>
      <w:r w:rsidRPr="00B638F2">
        <w:rPr>
          <w:iCs/>
        </w:rPr>
        <w:t>,</w:t>
      </w:r>
      <w:r>
        <w:t xml:space="preserve"> 5 FCC </w:t>
      </w:r>
      <w:r>
        <w:t>Rcd</w:t>
      </w:r>
      <w:r>
        <w:t xml:space="preserve"> 5640, 5640-41 at para. 6 (1990).  </w:t>
      </w:r>
    </w:p>
  </w:footnote>
  <w:footnote w:id="11">
    <w:p w:rsidR="004C58C7" w:rsidP="004C58C7" w14:paraId="2F505F5F" w14:textId="77777777">
      <w:pPr>
        <w:pStyle w:val="FootnoteText"/>
      </w:pPr>
      <w:r>
        <w:rPr>
          <w:rStyle w:val="FootnoteReference"/>
        </w:rPr>
        <w:footnoteRef/>
      </w:r>
      <w:r>
        <w:t xml:space="preserve"> 47 CFR § 76.5(</w:t>
      </w:r>
      <w:r>
        <w:t>i</w:t>
      </w:r>
      <w:r>
        <w:t xml:space="preserve">). </w:t>
      </w:r>
    </w:p>
  </w:footnote>
  <w:footnote w:id="12">
    <w:p w:rsidR="004C58C7" w:rsidP="004C58C7" w14:paraId="39678BDD" w14:textId="77777777">
      <w:pPr>
        <w:pStyle w:val="FootnoteText"/>
      </w:pPr>
      <w:r>
        <w:rPr>
          <w:rStyle w:val="FootnoteReference"/>
        </w:rPr>
        <w:footnoteRef/>
      </w:r>
      <w:r>
        <w:t xml:space="preserve"> </w:t>
      </w:r>
      <w:r>
        <w:rPr>
          <w:i/>
        </w:rPr>
        <w:t>KCST-TV, Inc.</w:t>
      </w:r>
      <w:r>
        <w:t xml:space="preserve">, 103 FCC 2d 407, 412 at para. 10 &amp; n.9 (1986). </w:t>
      </w:r>
    </w:p>
  </w:footnote>
  <w:footnote w:id="13">
    <w:p w:rsidR="004C58C7" w:rsidP="004C58C7" w14:paraId="546D7AA5" w14:textId="77777777">
      <w:pPr>
        <w:pStyle w:val="FootnoteText"/>
      </w:pPr>
      <w:r>
        <w:rPr>
          <w:rStyle w:val="FootnoteReference"/>
        </w:rPr>
        <w:footnoteRef/>
      </w:r>
      <w:r>
        <w:t xml:space="preserve"> 47 CFR § 76.54(b).</w:t>
      </w:r>
    </w:p>
  </w:footnote>
  <w:footnote w:id="14">
    <w:p w:rsidR="004C58C7" w:rsidRPr="006C4855" w:rsidP="004C58C7" w14:paraId="0706F239" w14:textId="71ACA46E">
      <w:pPr>
        <w:pStyle w:val="FootnoteText"/>
      </w:pPr>
      <w:r>
        <w:rPr>
          <w:rStyle w:val="FootnoteReference"/>
        </w:rPr>
        <w:footnoteRef/>
      </w:r>
      <w:r>
        <w:t xml:space="preserve"> </w:t>
      </w:r>
      <w:r w:rsidRPr="00352FC6">
        <w:rPr>
          <w:i/>
          <w:iCs/>
        </w:rPr>
        <w:t>Id</w:t>
      </w:r>
      <w:r>
        <w:t xml:space="preserve">.  The criteria set forth in </w:t>
      </w:r>
      <w:r>
        <w:rPr>
          <w:i/>
        </w:rPr>
        <w:t xml:space="preserve">KCST-TV, Inc. </w:t>
      </w:r>
      <w:r>
        <w:t xml:space="preserve">require that two separate surveys be performed pursuant to section 76.54(b) in consecutive years.  The provisions of section 76.54(b) therefore apply to each year’s survey.  </w:t>
      </w:r>
      <w:r w:rsidR="008F3205">
        <w:t xml:space="preserve">Because we require independent surveys, </w:t>
      </w:r>
      <w:r w:rsidR="00052C2A">
        <w:t>it should be noted that t</w:t>
      </w:r>
      <w:r>
        <w:t xml:space="preserve">hese surveys cannot be performed by the affected television station, cable system, or satellite operator.  </w:t>
      </w:r>
      <w:r w:rsidR="009019FB">
        <w:rPr>
          <w:i/>
          <w:iCs/>
        </w:rPr>
        <w:t xml:space="preserve">See </w:t>
      </w:r>
      <w:r w:rsidR="00BC53F3">
        <w:rPr>
          <w:i/>
          <w:iCs/>
        </w:rPr>
        <w:t xml:space="preserve">In the Matter of Gulf-California Broadcast </w:t>
      </w:r>
      <w:r w:rsidR="006C4855">
        <w:rPr>
          <w:i/>
          <w:iCs/>
        </w:rPr>
        <w:t>Company</w:t>
      </w:r>
      <w:r w:rsidR="006C4855">
        <w:t xml:space="preserve">, 23 FCC </w:t>
      </w:r>
      <w:r w:rsidR="006C4855">
        <w:t>Rcd</w:t>
      </w:r>
      <w:r w:rsidR="006C4855">
        <w:t xml:space="preserve"> </w:t>
      </w:r>
      <w:r w:rsidR="009C6C55">
        <w:t xml:space="preserve">7400, 7401 at para. 4, n.11 (2008). </w:t>
      </w:r>
    </w:p>
  </w:footnote>
  <w:footnote w:id="15">
    <w:p w:rsidR="00A566DF" w14:paraId="356A69C8" w14:textId="3CDC9359">
      <w:pPr>
        <w:pStyle w:val="FootnoteText"/>
      </w:pPr>
      <w:r>
        <w:rPr>
          <w:rStyle w:val="FootnoteReference"/>
        </w:rPr>
        <w:footnoteRef/>
      </w:r>
      <w:r>
        <w:t xml:space="preserve"> </w:t>
      </w:r>
      <w:r w:rsidR="0099387D">
        <w:t xml:space="preserve"> The term “sweeps” dates from 1954, when Nielsen collected diaries from households in the Eastern United States first; from there they would “sweep” west.  Seven day diaries (or eight day diaries </w:t>
      </w:r>
      <w:r w:rsidR="00222258">
        <w:t xml:space="preserve">in homes with DVRs) were mailed to homes to keep a tally of what was watched on each television set and by whom.  </w:t>
      </w:r>
      <w:hyperlink w:history="1">
        <w:r w:rsidRPr="008B3A67" w:rsidR="00A86599">
          <w:rPr>
            <w:rStyle w:val="Hyperlink"/>
          </w:rPr>
          <w:t>https://en.wikipedia.org&gt;wiki&gt;Nielsen_ratings</w:t>
        </w:r>
      </w:hyperlink>
      <w:r w:rsidR="00A86599">
        <w:t xml:space="preserve">.  </w:t>
      </w:r>
      <w:r w:rsidR="00222258">
        <w:t xml:space="preserve"> </w:t>
      </w:r>
    </w:p>
  </w:footnote>
  <w:footnote w:id="16">
    <w:p w:rsidR="004C58C7" w:rsidP="004C58C7" w14:paraId="308725DC" w14:textId="77777777">
      <w:pPr>
        <w:pStyle w:val="FootnoteText"/>
      </w:pPr>
      <w:r>
        <w:rPr>
          <w:rStyle w:val="FootnoteReference"/>
        </w:rPr>
        <w:footnoteRef/>
      </w:r>
      <w:r>
        <w:t xml:space="preserve"> Although, in general, petitioners are prohibited from using two surveys between April and September (</w:t>
      </w:r>
      <w:r>
        <w:rPr>
          <w:i/>
        </w:rPr>
        <w:t xml:space="preserve">i.e., </w:t>
      </w:r>
      <w:r>
        <w:t xml:space="preserve">May or July sweeps), we have not ruled out a petitioner providing all sweeps periods in a year where more than two are submitted.  </w:t>
      </w:r>
      <w:r>
        <w:rPr>
          <w:i/>
        </w:rPr>
        <w:t>See WTNH Broadcasting, Inc. and K-W TV, Inc.</w:t>
      </w:r>
      <w:r w:rsidRPr="00B638F2">
        <w:rPr>
          <w:iCs/>
        </w:rPr>
        <w:t>,</w:t>
      </w:r>
      <w:r>
        <w:rPr>
          <w:i/>
        </w:rPr>
        <w:t xml:space="preserve"> </w:t>
      </w:r>
      <w:r>
        <w:t xml:space="preserve">16 FCC </w:t>
      </w:r>
      <w:r>
        <w:t>Rcd</w:t>
      </w:r>
      <w:r>
        <w:t xml:space="preserve"> 6781, 6784 at para. 7 (CSB 2001) (concluding that, if a petitioner were to submit both May and July data, it would be necessary to provide individual survey period results so that we could determine the effect of the third and fourth sweep periods).  </w:t>
      </w:r>
      <w:r w:rsidRPr="00BC4670">
        <w:t xml:space="preserve">If a petitioner is purchasing survey data on a system-specific basis where two or more communities are involved, the </w:t>
      </w:r>
      <w:r>
        <w:t>proportion</w:t>
      </w:r>
      <w:r w:rsidRPr="00BC4670">
        <w:t xml:space="preserve"> of diaries from each community surveyed must be approximately the same as the </w:t>
      </w:r>
      <w:r>
        <w:t>proportion</w:t>
      </w:r>
      <w:r w:rsidRPr="00BC4670">
        <w:t xml:space="preserve"> of the population for each community served by the cable system.</w:t>
      </w:r>
      <w:r>
        <w:t xml:space="preserve">  47 CFR § 76.54(b).  Proportionality based on population ensures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w:t>
      </w:r>
    </w:p>
  </w:footnote>
  <w:footnote w:id="17">
    <w:p w:rsidR="004C58C7" w:rsidP="004C58C7" w14:paraId="4BC448C1" w14:textId="0A08A141">
      <w:pPr>
        <w:pStyle w:val="FootnoteText"/>
      </w:pPr>
      <w:r>
        <w:rPr>
          <w:rStyle w:val="FootnoteReference"/>
        </w:rPr>
        <w:footnoteRef/>
      </w:r>
      <w:r>
        <w:t xml:space="preserve"> D</w:t>
      </w:r>
      <w:r w:rsidRPr="00BC4670">
        <w:t xml:space="preserve">espite the fact that a petitioner is purchasing a re-tabulation of data that has already been collected, it is still obligated to notify interested parties prior to the purchase of such data, pursuant to the requirements set forth in </w:t>
      </w:r>
      <w:r>
        <w:t>s</w:t>
      </w:r>
      <w:r w:rsidRPr="00BC4670">
        <w:t>ection 76.54(c) of the Commission’s rules.</w:t>
      </w:r>
      <w:r>
        <w:t xml:space="preserve">  47 CFR § 76.54(c).  The Petitioner</w:t>
      </w:r>
      <w:r w:rsidR="00EC0D9F">
        <w:t>s</w:t>
      </w:r>
      <w:r>
        <w:t xml:space="preserve"> </w:t>
      </w:r>
      <w:r w:rsidR="00EC0D9F">
        <w:t xml:space="preserve">here </w:t>
      </w:r>
      <w:r>
        <w:t xml:space="preserve">state that as required by 47 CFR § 76.54(c), </w:t>
      </w:r>
      <w:r w:rsidR="00C05E22">
        <w:t>WATM-TV</w:t>
      </w:r>
      <w:r>
        <w:t xml:space="preserve"> sent letters via certified mail, return receipt requested, notifying all relevant entities more than 30 days before purchasing the studies of W</w:t>
      </w:r>
      <w:r w:rsidR="00C05E22">
        <w:t>TAE-TV</w:t>
      </w:r>
      <w:r>
        <w:t xml:space="preserve">.  Petition at </w:t>
      </w:r>
      <w:r w:rsidR="00C05E22">
        <w:t>6-</w:t>
      </w:r>
      <w:r>
        <w:t xml:space="preserve">7 and Exhibit </w:t>
      </w:r>
      <w:r w:rsidR="00C05E22">
        <w:t>B</w:t>
      </w:r>
      <w:r>
        <w:t xml:space="preserve"> (Declaration of </w:t>
      </w:r>
      <w:r w:rsidR="00C05E22">
        <w:t>Keri Rhodes, Manager of Palm Television, L.P.</w:t>
      </w:r>
      <w:r>
        <w:t>).</w:t>
      </w:r>
      <w:r w:rsidR="00DB4B14">
        <w:t xml:space="preserve">  </w:t>
      </w:r>
      <w:r w:rsidR="00F02778">
        <w:t xml:space="preserve">It is noted in the Declaration that notice was sent via certified mail to WTAE-TV on March 16, 2023, but returned to sender as “unclaimed.”  The notice was subsequently re-delivered via Fed Ex and the Station Manager of WATM-TV states successful delivery was confirmed.  Declaration of Keri Rhodes at n.1.    </w:t>
      </w:r>
    </w:p>
  </w:footnote>
  <w:footnote w:id="18">
    <w:p w:rsidR="004C58C7" w:rsidP="004C58C7" w14:paraId="4427FA2A" w14:textId="1D14F5B9">
      <w:pPr>
        <w:pStyle w:val="FootnoteText"/>
      </w:pPr>
      <w:r>
        <w:rPr>
          <w:rStyle w:val="FootnoteReference"/>
        </w:rPr>
        <w:footnoteRef/>
      </w:r>
      <w:r>
        <w:t xml:space="preserve"> 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See e.g.</w:t>
      </w:r>
      <w:r w:rsidRPr="00B638F2">
        <w:rPr>
          <w:iCs/>
        </w:rPr>
        <w:t>,</w:t>
      </w:r>
      <w:r>
        <w:rPr>
          <w:i/>
        </w:rPr>
        <w:t xml:space="preserve"> Radio Perry, Inc.</w:t>
      </w:r>
      <w:r w:rsidRPr="00B638F2">
        <w:rPr>
          <w:iCs/>
        </w:rPr>
        <w:t>,</w:t>
      </w:r>
      <w:r>
        <w:rPr>
          <w:i/>
        </w:rPr>
        <w:t xml:space="preserve"> </w:t>
      </w:r>
      <w:r>
        <w:t xml:space="preserve">11 FCC </w:t>
      </w:r>
      <w:r>
        <w:t>Rcd</w:t>
      </w:r>
      <w:r>
        <w:t xml:space="preserve"> 10564, 10568-</w:t>
      </w:r>
      <w:r w:rsidR="00232762">
        <w:t>6</w:t>
      </w:r>
      <w:r>
        <w:t xml:space="preserve">9 at para. 10 (CSB 1996); </w:t>
      </w:r>
      <w:r>
        <w:rPr>
          <w:i/>
        </w:rPr>
        <w:t>Gulf-California Broadcast Company</w:t>
      </w:r>
      <w:r w:rsidRPr="00B638F2">
        <w:rPr>
          <w:iCs/>
        </w:rPr>
        <w:t>,</w:t>
      </w:r>
      <w:r>
        <w:rPr>
          <w:i/>
        </w:rPr>
        <w:t xml:space="preserve"> </w:t>
      </w:r>
      <w:r>
        <w:t xml:space="preserve">21 FCC </w:t>
      </w:r>
      <w:r>
        <w:t>Rcd</w:t>
      </w:r>
      <w:r>
        <w:t xml:space="preserve"> 3476, 3479-80 at para 8 (MB 2006).  </w:t>
      </w:r>
    </w:p>
  </w:footnote>
  <w:footnote w:id="19">
    <w:p w:rsidR="00A52659" w14:paraId="3E5BEB8F" w14:textId="13C75B56">
      <w:pPr>
        <w:pStyle w:val="FootnoteText"/>
      </w:pPr>
      <w:r>
        <w:rPr>
          <w:rStyle w:val="FootnoteReference"/>
        </w:rPr>
        <w:footnoteRef/>
      </w:r>
      <w:r>
        <w:t xml:space="preserve"> </w:t>
      </w:r>
      <w:r w:rsidR="00C50278">
        <w:rPr>
          <w:i/>
          <w:iCs/>
        </w:rPr>
        <w:t xml:space="preserve">See </w:t>
      </w:r>
      <w:r>
        <w:rPr>
          <w:i/>
          <w:iCs/>
        </w:rPr>
        <w:t>Significantly Viewed Stations, Modernization of Media Regulation Initiative</w:t>
      </w:r>
      <w:r>
        <w:t xml:space="preserve">, Notice of Proposed Rulemaking, 35 FCC </w:t>
      </w:r>
      <w:r>
        <w:t>Rcd</w:t>
      </w:r>
      <w:r>
        <w:t xml:space="preserve"> 3215, 3220</w:t>
      </w:r>
      <w:r w:rsidR="007E755E">
        <w:t xml:space="preserve">, </w:t>
      </w:r>
      <w:r w:rsidR="008F7A71">
        <w:t>para</w:t>
      </w:r>
      <w:r w:rsidR="002B2569">
        <w:t>.</w:t>
      </w:r>
      <w:r w:rsidR="007E755E">
        <w:t xml:space="preserve"> 7</w:t>
      </w:r>
      <w:r>
        <w:t xml:space="preserve"> (2020) (</w:t>
      </w:r>
      <w:r>
        <w:rPr>
          <w:i/>
          <w:iCs/>
        </w:rPr>
        <w:t>Significantly Viewed Notice</w:t>
      </w:r>
      <w:r>
        <w:t xml:space="preserve">).  </w:t>
      </w:r>
      <w:r>
        <w:rPr>
          <w:i/>
          <w:iCs/>
        </w:rPr>
        <w:t xml:space="preserve"> </w:t>
      </w:r>
    </w:p>
  </w:footnote>
  <w:footnote w:id="20">
    <w:p w:rsidR="00FA416B" w:rsidRPr="00A66C2C" w14:paraId="187F1CC2" w14:textId="44626B68">
      <w:pPr>
        <w:pStyle w:val="FootnoteText"/>
      </w:pPr>
      <w:r>
        <w:rPr>
          <w:rStyle w:val="FootnoteReference"/>
        </w:rPr>
        <w:footnoteRef/>
      </w:r>
      <w:r>
        <w:t xml:space="preserve"> </w:t>
      </w:r>
      <w:r>
        <w:rPr>
          <w:i/>
          <w:iCs/>
        </w:rPr>
        <w:t>Id</w:t>
      </w:r>
      <w:r w:rsidRPr="00A66C2C">
        <w:t>.</w:t>
      </w:r>
    </w:p>
  </w:footnote>
  <w:footnote w:id="21">
    <w:p w:rsidR="00F712D9" w:rsidRPr="00F712D9" w14:paraId="750ABC7A" w14:textId="1E5F770F">
      <w:pPr>
        <w:pStyle w:val="FootnoteText"/>
      </w:pPr>
      <w:r>
        <w:rPr>
          <w:rStyle w:val="FootnoteReference"/>
        </w:rPr>
        <w:footnoteRef/>
      </w:r>
      <w:r>
        <w:t xml:space="preserve"> </w:t>
      </w:r>
      <w:r>
        <w:rPr>
          <w:i/>
          <w:iCs/>
        </w:rPr>
        <w:t>Id</w:t>
      </w:r>
      <w:r w:rsidRPr="00A66C2C">
        <w:t>.</w:t>
      </w:r>
    </w:p>
  </w:footnote>
  <w:footnote w:id="22">
    <w:p w:rsidR="004C58C7" w:rsidP="004C58C7" w14:paraId="068E926C" w14:textId="15C90C1C">
      <w:pPr>
        <w:pStyle w:val="FootnoteText"/>
      </w:pPr>
      <w:r>
        <w:rPr>
          <w:rStyle w:val="FootnoteReference"/>
        </w:rPr>
        <w:footnoteRef/>
      </w:r>
      <w:r>
        <w:t xml:space="preserve"> Petition at 2 and Exhibit </w:t>
      </w:r>
      <w:r w:rsidR="003435E0">
        <w:t>B</w:t>
      </w:r>
      <w:r>
        <w:t xml:space="preserve">. </w:t>
      </w:r>
    </w:p>
  </w:footnote>
  <w:footnote w:id="23">
    <w:p w:rsidR="00F91BC3" w:rsidRPr="00445DE2" w:rsidP="00F91BC3" w14:paraId="51ABCA0B" w14:textId="7DE9D19B">
      <w:pPr>
        <w:pStyle w:val="FootnoteText"/>
      </w:pPr>
      <w:r>
        <w:rPr>
          <w:rStyle w:val="FootnoteReference"/>
        </w:rPr>
        <w:footnoteRef/>
      </w:r>
      <w:r>
        <w:t xml:space="preserve"> Petition at 3; </w:t>
      </w:r>
      <w:r>
        <w:rPr>
          <w:i/>
          <w:iCs/>
        </w:rPr>
        <w:t xml:space="preserve">see </w:t>
      </w:r>
      <w:r>
        <w:t>47 CFR §§ 76.92 and 76.93.</w:t>
      </w:r>
      <w:r w:rsidR="00165BBA">
        <w:t xml:space="preserve">  G</w:t>
      </w:r>
      <w:r w:rsidRPr="00C0110D" w:rsidR="00165BBA">
        <w:t>enerally</w:t>
      </w:r>
      <w:r w:rsidR="00165BBA">
        <w:t>,</w:t>
      </w:r>
      <w:r w:rsidRPr="00C0110D" w:rsidR="00165BBA">
        <w:t xml:space="preserve"> cable systems serving cable communities located in a station’s geographic zone of protection are required to “black out” duplicative network programming</w:t>
      </w:r>
      <w:r w:rsidR="00165BBA">
        <w:t xml:space="preserve">.  </w:t>
      </w:r>
      <w:r w:rsidR="00165BBA">
        <w:rPr>
          <w:i/>
          <w:iCs/>
        </w:rPr>
        <w:t>See</w:t>
      </w:r>
      <w:r w:rsidR="00165BBA">
        <w:t xml:space="preserve"> 47 CFR § 76.92.  </w:t>
      </w:r>
    </w:p>
  </w:footnote>
  <w:footnote w:id="24">
    <w:p w:rsidR="00427E9A" w:rsidRPr="00094F45" w:rsidP="00427E9A" w14:paraId="72B44111" w14:textId="536266D3">
      <w:pPr>
        <w:pStyle w:val="FootnoteText"/>
      </w:pPr>
      <w:r>
        <w:rPr>
          <w:rStyle w:val="FootnoteReference"/>
        </w:rPr>
        <w:footnoteRef/>
      </w:r>
      <w:r>
        <w:t xml:space="preserve"> </w:t>
      </w:r>
      <w:r>
        <w:rPr>
          <w:i/>
          <w:iCs/>
        </w:rPr>
        <w:t>Id</w:t>
      </w:r>
      <w:r w:rsidRPr="00A66C2C">
        <w:t>.</w:t>
      </w:r>
      <w:r>
        <w:t xml:space="preserve">; </w:t>
      </w:r>
      <w:r>
        <w:rPr>
          <w:i/>
          <w:iCs/>
        </w:rPr>
        <w:t xml:space="preserve">see </w:t>
      </w:r>
      <w:r>
        <w:t>47 CFR § 76.103(a).</w:t>
      </w:r>
      <w:r w:rsidR="00C25D2F">
        <w:t xml:space="preserve">  G</w:t>
      </w:r>
      <w:r w:rsidRPr="00C0110D" w:rsidR="00C25D2F">
        <w:t>enerally, cable systems located within the geographic zone of protection of a television station may not carry syndicated programming that duplicates syndicated programming of a station with exclusivity rights within that community</w:t>
      </w:r>
      <w:r w:rsidR="00C25D2F">
        <w:t xml:space="preserve">.  </w:t>
      </w:r>
      <w:r w:rsidR="00C25D2F">
        <w:rPr>
          <w:i/>
          <w:iCs/>
        </w:rPr>
        <w:t>See</w:t>
      </w:r>
      <w:r w:rsidR="00C25D2F">
        <w:t xml:space="preserve"> 47 CFR § 76.101 and note.  </w:t>
      </w:r>
    </w:p>
  </w:footnote>
  <w:footnote w:id="25">
    <w:p w:rsidR="004C58C7" w:rsidRPr="00F14564" w:rsidP="004C58C7" w14:paraId="120709A6" w14:textId="46FED2C6">
      <w:pPr>
        <w:pStyle w:val="FootnoteText"/>
      </w:pPr>
      <w:r>
        <w:rPr>
          <w:rStyle w:val="FootnoteReference"/>
        </w:rPr>
        <w:footnoteRef/>
      </w:r>
      <w:r>
        <w:t xml:space="preserve"> </w:t>
      </w:r>
      <w:r>
        <w:rPr>
          <w:i/>
          <w:iCs/>
        </w:rPr>
        <w:t>Id</w:t>
      </w:r>
      <w:r w:rsidRPr="00F14564">
        <w:t>.</w:t>
      </w:r>
    </w:p>
  </w:footnote>
  <w:footnote w:id="26">
    <w:p w:rsidR="004C58C7" w:rsidRPr="00F14564" w:rsidP="004C58C7" w14:paraId="3309DE40" w14:textId="072CFC16">
      <w:pPr>
        <w:pStyle w:val="FootnoteText"/>
      </w:pPr>
      <w:r>
        <w:rPr>
          <w:rStyle w:val="FootnoteReference"/>
        </w:rPr>
        <w:footnoteRef/>
      </w:r>
      <w:r>
        <w:t xml:space="preserve"> </w:t>
      </w:r>
      <w:r>
        <w:rPr>
          <w:i/>
          <w:iCs/>
        </w:rPr>
        <w:t>Id</w:t>
      </w:r>
      <w:r w:rsidRPr="00F14564">
        <w:t>.</w:t>
      </w:r>
      <w:r w:rsidR="00253AB6">
        <w:t xml:space="preserve"> </w:t>
      </w:r>
    </w:p>
  </w:footnote>
  <w:footnote w:id="27">
    <w:p w:rsidR="004C58C7" w:rsidP="004C58C7" w14:paraId="1CA018E4" w14:textId="77777777">
      <w:pPr>
        <w:pStyle w:val="FootnoteText"/>
      </w:pPr>
      <w:r>
        <w:rPr>
          <w:rStyle w:val="FootnoteReference"/>
        </w:rPr>
        <w:footnoteRef/>
      </w:r>
      <w:r>
        <w:t xml:space="preserve"> 47 CFR § 76.51.</w:t>
      </w:r>
    </w:p>
  </w:footnote>
  <w:footnote w:id="28">
    <w:p w:rsidR="004C58C7" w:rsidRPr="00E43824" w:rsidP="004C58C7" w14:paraId="44E79BEC" w14:textId="57B07638">
      <w:pPr>
        <w:pStyle w:val="FootnoteText"/>
        <w:rPr>
          <w:i/>
          <w:iCs/>
        </w:rPr>
      </w:pPr>
      <w:r>
        <w:rPr>
          <w:rStyle w:val="FootnoteReference"/>
        </w:rPr>
        <w:footnoteRef/>
      </w:r>
      <w:r>
        <w:t xml:space="preserve"> Petition at </w:t>
      </w:r>
      <w:r w:rsidR="003612EA">
        <w:t>3.</w:t>
      </w:r>
      <w:r>
        <w:t xml:space="preserve">    </w:t>
      </w:r>
      <w:r>
        <w:rPr>
          <w:i/>
          <w:iCs/>
        </w:rPr>
        <w:t xml:space="preserve">   </w:t>
      </w:r>
    </w:p>
  </w:footnote>
  <w:footnote w:id="29">
    <w:p w:rsidR="00DC0CED" w:rsidRPr="00A66C2C" w14:paraId="43E47FB5" w14:textId="344360DE">
      <w:pPr>
        <w:pStyle w:val="FootnoteText"/>
      </w:pPr>
      <w:r>
        <w:rPr>
          <w:rStyle w:val="FootnoteReference"/>
        </w:rPr>
        <w:footnoteRef/>
      </w:r>
      <w:r>
        <w:t xml:space="preserve"> </w:t>
      </w:r>
      <w:r>
        <w:rPr>
          <w:i/>
          <w:iCs/>
        </w:rPr>
        <w:t>Id</w:t>
      </w:r>
      <w:r w:rsidRPr="00A66C2C">
        <w:t>.</w:t>
      </w:r>
    </w:p>
  </w:footnote>
  <w:footnote w:id="30">
    <w:p w:rsidR="0000600C" w:rsidRPr="00A66C2C" w14:paraId="4CCC1410" w14:textId="6BABFD69">
      <w:pPr>
        <w:pStyle w:val="FootnoteText"/>
      </w:pPr>
      <w:r>
        <w:rPr>
          <w:rStyle w:val="FootnoteReference"/>
        </w:rPr>
        <w:footnoteRef/>
      </w:r>
      <w:r>
        <w:t xml:space="preserve"> </w:t>
      </w:r>
      <w:r>
        <w:rPr>
          <w:i/>
          <w:iCs/>
        </w:rPr>
        <w:t>Id</w:t>
      </w:r>
      <w:r w:rsidRPr="00A66C2C">
        <w:t>.</w:t>
      </w:r>
    </w:p>
  </w:footnote>
  <w:footnote w:id="31">
    <w:p w:rsidR="000966D8" w:rsidRPr="002715C7" w14:paraId="31DA425D" w14:textId="5F684B12">
      <w:pPr>
        <w:pStyle w:val="FootnoteText"/>
      </w:pPr>
      <w:r>
        <w:rPr>
          <w:rStyle w:val="FootnoteReference"/>
        </w:rPr>
        <w:footnoteRef/>
      </w:r>
      <w:r>
        <w:t xml:space="preserve"> </w:t>
      </w:r>
      <w:r>
        <w:rPr>
          <w:i/>
          <w:iCs/>
        </w:rPr>
        <w:t>Id</w:t>
      </w:r>
      <w:r w:rsidRPr="00A66C2C">
        <w:t>.</w:t>
      </w:r>
      <w:r>
        <w:t xml:space="preserve">; </w:t>
      </w:r>
      <w:r>
        <w:rPr>
          <w:i/>
          <w:iCs/>
        </w:rPr>
        <w:t>see</w:t>
      </w:r>
      <w:r>
        <w:t xml:space="preserve"> </w:t>
      </w:r>
      <w:hyperlink r:id="rId1" w:history="1">
        <w:r w:rsidRPr="00334AA6">
          <w:rPr>
            <w:rStyle w:val="Hyperlink"/>
          </w:rPr>
          <w:t>https://tools.usps.com/find-location.htm</w:t>
        </w:r>
      </w:hyperlink>
      <w:r>
        <w:t xml:space="preserve">.  </w:t>
      </w:r>
      <w:r w:rsidR="002715C7">
        <w:t xml:space="preserve">The Petitioners note that the 35-mile geographic zone of all major markets extends from the reference point of the community of license of the television station.  Those reference points are listed in section 76.53 of the Commission’s </w:t>
      </w:r>
      <w:r w:rsidR="0049436F">
        <w:t>r</w:t>
      </w:r>
      <w:r w:rsidR="002715C7">
        <w:t xml:space="preserve">ules.  Where a community’s reference point is not given, the geographic coordinates of the main post office in the community shall be used.  </w:t>
      </w:r>
      <w:r w:rsidR="002715C7">
        <w:rPr>
          <w:i/>
          <w:iCs/>
        </w:rPr>
        <w:t xml:space="preserve">See </w:t>
      </w:r>
      <w:r w:rsidR="002715C7">
        <w:t xml:space="preserve">47 CFR §§ 73.658 and 76.53.  </w:t>
      </w:r>
      <w:r w:rsidR="002715C7">
        <w:rPr>
          <w:i/>
          <w:iCs/>
        </w:rPr>
        <w:t>Id.</w:t>
      </w:r>
      <w:r w:rsidR="002715C7">
        <w:t xml:space="preserve"> at n.4.    </w:t>
      </w:r>
    </w:p>
  </w:footnote>
  <w:footnote w:id="32">
    <w:p w:rsidR="004C58C7" w:rsidRPr="00DD5D15" w:rsidP="004C58C7" w14:paraId="00D76E52" w14:textId="1D29B9FC">
      <w:pPr>
        <w:pStyle w:val="FootnoteText"/>
      </w:pPr>
      <w:r>
        <w:rPr>
          <w:rStyle w:val="FootnoteReference"/>
        </w:rPr>
        <w:footnoteRef/>
      </w:r>
      <w:r>
        <w:t xml:space="preserve"> </w:t>
      </w:r>
      <w:r w:rsidR="00FB26DD">
        <w:rPr>
          <w:i/>
          <w:iCs/>
        </w:rPr>
        <w:t>Id</w:t>
      </w:r>
      <w:r w:rsidRPr="00A66C2C" w:rsidR="00FB26DD">
        <w:t>.</w:t>
      </w:r>
      <w:r w:rsidR="000541A8">
        <w:rPr>
          <w:i/>
          <w:iCs/>
        </w:rPr>
        <w:t xml:space="preserve"> </w:t>
      </w:r>
      <w:r>
        <w:t xml:space="preserve">at 4; </w:t>
      </w:r>
      <w:r>
        <w:rPr>
          <w:i/>
          <w:iCs/>
        </w:rPr>
        <w:t xml:space="preserve">see </w:t>
      </w:r>
      <w:r w:rsidRPr="000C0A29">
        <w:t>47</w:t>
      </w:r>
      <w:r>
        <w:t xml:space="preserve"> CFR §§ 76.92(f) and 76.106(a). </w:t>
      </w:r>
    </w:p>
  </w:footnote>
  <w:footnote w:id="33">
    <w:p w:rsidR="004C58C7" w:rsidRPr="005A1749" w:rsidP="004C58C7" w14:paraId="63AFF06A" w14:textId="77777777">
      <w:pPr>
        <w:pStyle w:val="FootnoteText"/>
      </w:pPr>
      <w:r>
        <w:rPr>
          <w:rStyle w:val="FootnoteReference"/>
        </w:rPr>
        <w:footnoteRef/>
      </w:r>
      <w:r>
        <w:t xml:space="preserve"> </w:t>
      </w:r>
      <w:r>
        <w:rPr>
          <w:i/>
          <w:iCs/>
        </w:rPr>
        <w:t>Id</w:t>
      </w:r>
      <w:r w:rsidRPr="00A66C2C">
        <w:t>.</w:t>
      </w:r>
      <w:r>
        <w:t xml:space="preserve">; </w:t>
      </w:r>
      <w:r>
        <w:rPr>
          <w:i/>
          <w:iCs/>
        </w:rPr>
        <w:t>see Amendment of Part 74, Subpart K, of the Commission’s Rules and Regulations Relative to Community Antenna Systems</w:t>
      </w:r>
      <w:r>
        <w:t>, Memorandum Opinion and Order on Reconsideration of the Cable Television Report and Order, 36 FCC 2d 326, App. B (1972) (list) (</w:t>
      </w:r>
      <w:r>
        <w:rPr>
          <w:i/>
          <w:iCs/>
        </w:rPr>
        <w:t>1972 Order</w:t>
      </w:r>
      <w:r>
        <w:t>); 47 CFR § 76.5(</w:t>
      </w:r>
      <w:r>
        <w:t>i</w:t>
      </w:r>
      <w:r>
        <w:t xml:space="preserve">) (significant viewing standards). </w:t>
      </w:r>
    </w:p>
  </w:footnote>
  <w:footnote w:id="34">
    <w:p w:rsidR="00370223" w:rsidRPr="00CB5A9E" w:rsidP="00370223" w14:paraId="5AE3020B" w14:textId="671B97EF">
      <w:pPr>
        <w:pStyle w:val="FootnoteText"/>
      </w:pPr>
      <w:r>
        <w:rPr>
          <w:rStyle w:val="FootnoteReference"/>
        </w:rPr>
        <w:footnoteRef/>
      </w:r>
      <w:r>
        <w:t xml:space="preserve"> </w:t>
      </w:r>
      <w:r w:rsidR="00F14872">
        <w:t>Petition at 4.</w:t>
      </w:r>
      <w:r>
        <w:t xml:space="preserve">    </w:t>
      </w:r>
    </w:p>
  </w:footnote>
  <w:footnote w:id="35">
    <w:p w:rsidR="004C58C7" w:rsidRPr="0003159F" w:rsidP="004C58C7" w14:paraId="6FA70E4A" w14:textId="7C119054">
      <w:pPr>
        <w:pStyle w:val="FootnoteText"/>
      </w:pPr>
      <w:r>
        <w:rPr>
          <w:rStyle w:val="FootnoteReference"/>
        </w:rPr>
        <w:footnoteRef/>
      </w:r>
      <w:r>
        <w:t xml:space="preserve"> </w:t>
      </w:r>
      <w:r w:rsidR="00F14872">
        <w:rPr>
          <w:i/>
          <w:iCs/>
        </w:rPr>
        <w:t>Id</w:t>
      </w:r>
      <w:r w:rsidR="00D93187">
        <w:t>.</w:t>
      </w:r>
      <w:r w:rsidR="006903FA">
        <w:t xml:space="preserve">, citing </w:t>
      </w:r>
      <w:r w:rsidR="00396C71">
        <w:t xml:space="preserve">47 CFR </w:t>
      </w:r>
      <w:r w:rsidR="002F43E2">
        <w:t>§</w:t>
      </w:r>
      <w:r w:rsidR="007414FB">
        <w:t>§</w:t>
      </w:r>
      <w:r w:rsidR="002F43E2">
        <w:t xml:space="preserve"> 76.5(</w:t>
      </w:r>
      <w:r w:rsidR="002F43E2">
        <w:t>i</w:t>
      </w:r>
      <w:r w:rsidR="002F43E2">
        <w:t xml:space="preserve">) and </w:t>
      </w:r>
      <w:r w:rsidR="007414FB">
        <w:t>76.54</w:t>
      </w:r>
      <w:r w:rsidR="00005FCC">
        <w:t>.</w:t>
      </w:r>
    </w:p>
  </w:footnote>
  <w:footnote w:id="36">
    <w:p w:rsidR="00F3400D" w:rsidRPr="00352FC6" w:rsidP="00F3400D" w14:paraId="6F375491" w14:textId="77777777">
      <w:pPr>
        <w:pStyle w:val="FootnoteText"/>
      </w:pPr>
      <w:r>
        <w:rPr>
          <w:rStyle w:val="FootnoteReference"/>
        </w:rPr>
        <w:footnoteRef/>
      </w:r>
      <w:r>
        <w:t xml:space="preserve"> </w:t>
      </w:r>
      <w:r>
        <w:rPr>
          <w:i/>
          <w:iCs/>
        </w:rPr>
        <w:t>See KCST-TV, Inc.</w:t>
      </w:r>
      <w:r>
        <w:t xml:space="preserve">, 103 FCC 2d at 412, 413, paras. 10-11.  While the Commission considers changes in methodologies for significantly viewed cases in its </w:t>
      </w:r>
      <w:r>
        <w:rPr>
          <w:i/>
          <w:iCs/>
        </w:rPr>
        <w:t>Significantly Viewed Notice</w:t>
      </w:r>
      <w:r>
        <w:t xml:space="preserve">, the standards established in </w:t>
      </w:r>
      <w:r>
        <w:rPr>
          <w:i/>
          <w:iCs/>
        </w:rPr>
        <w:t xml:space="preserve">KCST-TV, Inc. </w:t>
      </w:r>
      <w:r>
        <w:t xml:space="preserve">remain in effect.     </w:t>
      </w:r>
    </w:p>
  </w:footnote>
  <w:footnote w:id="37">
    <w:p w:rsidR="00F3400D" w:rsidP="00F3400D" w14:paraId="38B4245B" w14:textId="77777777">
      <w:pPr>
        <w:pStyle w:val="FootnoteText"/>
      </w:pPr>
      <w:r>
        <w:rPr>
          <w:rStyle w:val="FootnoteReference"/>
        </w:rPr>
        <w:footnoteRef/>
      </w:r>
      <w:r>
        <w:t xml:space="preserve"> Petition at 6. </w:t>
      </w:r>
    </w:p>
  </w:footnote>
  <w:footnote w:id="38">
    <w:p w:rsidR="00F3400D" w:rsidRPr="005D12B0" w:rsidP="00F3400D" w14:paraId="71E37D44" w14:textId="77777777">
      <w:pPr>
        <w:pStyle w:val="FootnoteText"/>
      </w:pPr>
      <w:r>
        <w:rPr>
          <w:rStyle w:val="FootnoteReference"/>
        </w:rPr>
        <w:footnoteRef/>
      </w:r>
      <w:r>
        <w:t xml:space="preserve"> </w:t>
      </w:r>
      <w:r>
        <w:rPr>
          <w:i/>
          <w:iCs/>
        </w:rPr>
        <w:t>Id</w:t>
      </w:r>
      <w:r w:rsidRPr="008314C2">
        <w:t>.</w:t>
      </w:r>
      <w:r w:rsidRPr="006120C0">
        <w:t xml:space="preserve"> </w:t>
      </w:r>
      <w:r>
        <w:t xml:space="preserve">at 7 and Exhibit A (Nielsen Significant Viewing Study).  </w:t>
      </w:r>
    </w:p>
  </w:footnote>
  <w:footnote w:id="39">
    <w:p w:rsidR="0002037D" w:rsidP="0002037D" w14:paraId="4B86C6E8" w14:textId="4DD01413">
      <w:pPr>
        <w:pStyle w:val="FootnoteText"/>
      </w:pPr>
      <w:r>
        <w:rPr>
          <w:rStyle w:val="FootnoteReference"/>
        </w:rPr>
        <w:footnoteRef/>
      </w:r>
      <w:r>
        <w:t xml:space="preserve">  </w:t>
      </w:r>
      <w:r w:rsidR="00B20FA1">
        <w:rPr>
          <w:i/>
          <w:iCs/>
        </w:rPr>
        <w:t>Id</w:t>
      </w:r>
      <w:r w:rsidRPr="008314C2" w:rsidR="00B20FA1">
        <w:t>.</w:t>
      </w:r>
      <w:r w:rsidR="00B20FA1">
        <w:t xml:space="preserve"> and Exhibit B. </w:t>
      </w:r>
    </w:p>
  </w:footnote>
  <w:footnote w:id="40">
    <w:p w:rsidR="006130BF" w:rsidRPr="006130BF" w14:paraId="4AFFF3A0" w14:textId="6A04FBD6">
      <w:pPr>
        <w:pStyle w:val="FootnoteText"/>
      </w:pPr>
      <w:r>
        <w:rPr>
          <w:rStyle w:val="FootnoteReference"/>
        </w:rPr>
        <w:footnoteRef/>
      </w:r>
      <w:r>
        <w:t xml:space="preserve"> </w:t>
      </w:r>
      <w:r>
        <w:rPr>
          <w:i/>
          <w:iCs/>
        </w:rPr>
        <w:t xml:space="preserve">See </w:t>
      </w:r>
      <w:r>
        <w:t xml:space="preserve">Exhibit A.  </w:t>
      </w:r>
      <w:r w:rsidRPr="00C0110D" w:rsidR="00D206E8">
        <w:t>These Tables include the number of in-tab households, the average share viewing hours, the standard error of the average share viewing hou</w:t>
      </w:r>
      <w:r w:rsidR="00D206E8">
        <w:t>rs</w:t>
      </w:r>
      <w:r w:rsidRPr="00C0110D" w:rsidR="00D206E8">
        <w:t xml:space="preserve">, the average share viewing hours with one standard error, the average net weekly circulation, the average net weekly circulation standard error, and the average net weekly circulation with one standard error.  </w:t>
      </w:r>
    </w:p>
  </w:footnote>
  <w:footnote w:id="41">
    <w:p w:rsidR="003C5BFF" w:rsidRPr="004E25DC" w14:paraId="58B3C350" w14:textId="1D212A86">
      <w:pPr>
        <w:pStyle w:val="FootnoteText"/>
      </w:pPr>
      <w:r>
        <w:rPr>
          <w:rStyle w:val="FootnoteReference"/>
        </w:rPr>
        <w:footnoteRef/>
      </w:r>
      <w:r>
        <w:t xml:space="preserve"> </w:t>
      </w:r>
      <w:r>
        <w:rPr>
          <w:i/>
          <w:iCs/>
        </w:rPr>
        <w:t>See United Communications Corporation WWNY-TV, Carthage NY</w:t>
      </w:r>
      <w:r>
        <w:t xml:space="preserve">, 33 FCC </w:t>
      </w:r>
      <w:r>
        <w:t>Rcd</w:t>
      </w:r>
      <w:r>
        <w:t xml:space="preserve"> 8048, para. 13 (2018)</w:t>
      </w:r>
      <w:r w:rsidR="004E25DC">
        <w:t xml:space="preserve">; </w:t>
      </w:r>
      <w:r w:rsidR="004E25DC">
        <w:rPr>
          <w:i/>
          <w:iCs/>
        </w:rPr>
        <w:t>Virginia Broadcasting Corporation</w:t>
      </w:r>
      <w:r w:rsidR="004E25DC">
        <w:t xml:space="preserve">, 22 FCC </w:t>
      </w:r>
      <w:r w:rsidR="004E25DC">
        <w:t>R</w:t>
      </w:r>
      <w:r w:rsidR="006120C0">
        <w:t>c</w:t>
      </w:r>
      <w:r w:rsidR="004E25DC">
        <w:t>d</w:t>
      </w:r>
      <w:r w:rsidR="004E25DC">
        <w:t xml:space="preserve"> 18109, 18117-18, paras. 12-13 (2007) (denying a request for a waiver of the significantly viewed exception to the network nonduplication and syndicated exclusivity rules in communities for which the reported data for one survey year was based on one in-tab household, and thus could not be the average of the reported audience for two survey periods). </w:t>
      </w:r>
    </w:p>
  </w:footnote>
  <w:footnote w:id="42">
    <w:p w:rsidR="00607C01" w14:paraId="2107BFD5" w14:textId="7D56CDD0">
      <w:pPr>
        <w:pStyle w:val="FootnoteText"/>
      </w:pPr>
      <w:r>
        <w:rPr>
          <w:rStyle w:val="FootnoteReference"/>
        </w:rPr>
        <w:footnoteRef/>
      </w:r>
      <w:r>
        <w:t xml:space="preserve"> </w:t>
      </w:r>
      <w:r w:rsidRPr="00607C01">
        <w:t xml:space="preserve">For example, the formula that Nielsen uses to compute the Share Standard Error (shown in </w:t>
      </w:r>
      <w:r>
        <w:t>Exhibit</w:t>
      </w:r>
      <w:r w:rsidRPr="00607C01">
        <w:t xml:space="preserve"> A) includes the term </w:t>
      </w:r>
      <m:oMath>
        <m:r>
          <w:rPr>
            <w:rFonts w:ascii="Cambria Math" w:hAnsi="Cambria Math"/>
          </w:rPr>
          <m:t>n/(n-1)</m:t>
        </m:r>
      </m:oMath>
      <w:r w:rsidRPr="00607C01">
        <w:t xml:space="preserve">, where </w:t>
      </w:r>
      <w:r w:rsidRPr="00607C01">
        <w:rPr>
          <w:i/>
          <w:iCs/>
        </w:rPr>
        <w:t>n</w:t>
      </w:r>
      <w:r w:rsidRPr="00607C01">
        <w:t xml:space="preserve"> equals the number of households. </w:t>
      </w:r>
      <w:r w:rsidR="008314C2">
        <w:t xml:space="preserve"> </w:t>
      </w:r>
      <w:r w:rsidRPr="00607C01">
        <w:t xml:space="preserve">To avoid 0 in the denominator of this expression, </w:t>
      </w:r>
      <w:r w:rsidRPr="00607C01">
        <w:rPr>
          <w:i/>
          <w:iCs/>
        </w:rPr>
        <w:t>n</w:t>
      </w:r>
      <w:r w:rsidRPr="00607C01">
        <w:t xml:space="preserve"> must be greater than 1.</w:t>
      </w:r>
    </w:p>
  </w:footnote>
  <w:footnote w:id="43">
    <w:p w:rsidR="004C58C7" w:rsidP="004C58C7" w14:paraId="6FCAF253" w14:textId="77777777">
      <w:pPr>
        <w:pStyle w:val="FootnoteText"/>
      </w:pPr>
      <w:r>
        <w:rPr>
          <w:rStyle w:val="FootnoteReference"/>
        </w:rPr>
        <w:footnoteRef/>
      </w:r>
      <w:r>
        <w:t xml:space="preserve"> 47 CFR § 76.5(</w:t>
      </w:r>
      <w:r>
        <w:t>i</w:t>
      </w:r>
      <w:r>
        <w:t>).</w:t>
      </w:r>
    </w:p>
  </w:footnote>
  <w:footnote w:id="44">
    <w:p w:rsidR="004C58C7" w:rsidP="004C58C7" w14:paraId="5FBB6C41" w14:textId="77777777">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84" w14:paraId="1A3EEB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A7843" w14:paraId="4C4D6332" w14:textId="359B0331">
    <w:pPr>
      <w:pStyle w:val="Header"/>
    </w:pPr>
    <w:r>
      <w:tab/>
      <w:t>Federal Communications Commission</w:t>
    </w:r>
    <w:r>
      <w:tab/>
    </w:r>
    <w:r w:rsidR="000A326D">
      <w:t xml:space="preserve">DA </w:t>
    </w:r>
    <w:r w:rsidR="000A326D">
      <w:t>2</w:t>
    </w:r>
    <w:r w:rsidR="00475B58">
      <w:t>3</w:t>
    </w:r>
    <w:r w:rsidR="000A326D">
      <w:t>-</w:t>
    </w:r>
    <w:r w:rsidR="00535884">
      <w:t>1039</w:t>
    </w:r>
  </w:p>
  <w:p w:rsidR="00D25FB5" w14:paraId="4FE34D34" w14:textId="578F4369">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5E15AE2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A7843" w:rsidP="007A7843" w14:paraId="7BE4BFDC" w14:textId="776A8A5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7A7843">
      <w:t>Federal Communications Commission</w:t>
    </w:r>
    <w:r w:rsidRPr="007A7843">
      <w:tab/>
    </w:r>
    <w:r w:rsidRPr="007A7843" w:rsidR="00CF7DA5">
      <w:t>DA</w:t>
    </w:r>
    <w:r w:rsidRPr="007A7843" w:rsidR="000A326D">
      <w:t xml:space="preserve"> 2</w:t>
    </w:r>
    <w:r w:rsidRPr="007A7843" w:rsidR="00475B58">
      <w:t>3</w:t>
    </w:r>
    <w:r w:rsidRPr="007A7843" w:rsidR="000A326D">
      <w:t>-</w:t>
    </w:r>
    <w:r w:rsidR="00535884">
      <w:t>1039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EB26C034"/>
    <w:lvl w:ilvl="0">
      <w:start w:val="1"/>
      <w:numFmt w:val="decimal"/>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C7"/>
    <w:rsid w:val="00003AEC"/>
    <w:rsid w:val="00005FCC"/>
    <w:rsid w:val="0000600C"/>
    <w:rsid w:val="0002037D"/>
    <w:rsid w:val="00025FC9"/>
    <w:rsid w:val="0003159F"/>
    <w:rsid w:val="00036039"/>
    <w:rsid w:val="00037F90"/>
    <w:rsid w:val="000458D6"/>
    <w:rsid w:val="00052C2A"/>
    <w:rsid w:val="000541A8"/>
    <w:rsid w:val="00061091"/>
    <w:rsid w:val="00076C7B"/>
    <w:rsid w:val="0008569A"/>
    <w:rsid w:val="000875BF"/>
    <w:rsid w:val="00091A66"/>
    <w:rsid w:val="00094F45"/>
    <w:rsid w:val="000966D8"/>
    <w:rsid w:val="00096D8C"/>
    <w:rsid w:val="000A326D"/>
    <w:rsid w:val="000A6A0D"/>
    <w:rsid w:val="000C0A29"/>
    <w:rsid w:val="000C0B65"/>
    <w:rsid w:val="000C7792"/>
    <w:rsid w:val="000C7B55"/>
    <w:rsid w:val="000D3103"/>
    <w:rsid w:val="000E05FE"/>
    <w:rsid w:val="000E3D42"/>
    <w:rsid w:val="000F1674"/>
    <w:rsid w:val="000F6312"/>
    <w:rsid w:val="0010514C"/>
    <w:rsid w:val="00106326"/>
    <w:rsid w:val="00112F87"/>
    <w:rsid w:val="0012260D"/>
    <w:rsid w:val="00122BD5"/>
    <w:rsid w:val="00131767"/>
    <w:rsid w:val="001322B6"/>
    <w:rsid w:val="00133F79"/>
    <w:rsid w:val="0014385B"/>
    <w:rsid w:val="00163EC8"/>
    <w:rsid w:val="00165BBA"/>
    <w:rsid w:val="00171595"/>
    <w:rsid w:val="00175BBA"/>
    <w:rsid w:val="00180554"/>
    <w:rsid w:val="00185F18"/>
    <w:rsid w:val="0019385B"/>
    <w:rsid w:val="00194A66"/>
    <w:rsid w:val="001B184F"/>
    <w:rsid w:val="001C7E9D"/>
    <w:rsid w:val="001D5000"/>
    <w:rsid w:val="001D6BCF"/>
    <w:rsid w:val="001E01CA"/>
    <w:rsid w:val="001E3363"/>
    <w:rsid w:val="001F493D"/>
    <w:rsid w:val="00207BEE"/>
    <w:rsid w:val="00222258"/>
    <w:rsid w:val="00232762"/>
    <w:rsid w:val="00240A87"/>
    <w:rsid w:val="00252DC1"/>
    <w:rsid w:val="00253AB6"/>
    <w:rsid w:val="002671E1"/>
    <w:rsid w:val="00267E80"/>
    <w:rsid w:val="002715C7"/>
    <w:rsid w:val="0027360C"/>
    <w:rsid w:val="00275CF5"/>
    <w:rsid w:val="0028301F"/>
    <w:rsid w:val="00285017"/>
    <w:rsid w:val="00293EE1"/>
    <w:rsid w:val="002A1C8A"/>
    <w:rsid w:val="002A24E0"/>
    <w:rsid w:val="002A2D2E"/>
    <w:rsid w:val="002A40DC"/>
    <w:rsid w:val="002A64E5"/>
    <w:rsid w:val="002B2569"/>
    <w:rsid w:val="002C00E8"/>
    <w:rsid w:val="002E4A22"/>
    <w:rsid w:val="002F43E2"/>
    <w:rsid w:val="00307E62"/>
    <w:rsid w:val="00312575"/>
    <w:rsid w:val="00332063"/>
    <w:rsid w:val="003326CF"/>
    <w:rsid w:val="00334AA6"/>
    <w:rsid w:val="0034018A"/>
    <w:rsid w:val="003435E0"/>
    <w:rsid w:val="00343749"/>
    <w:rsid w:val="00346CCC"/>
    <w:rsid w:val="00352FC6"/>
    <w:rsid w:val="003612EA"/>
    <w:rsid w:val="00363EB5"/>
    <w:rsid w:val="003660ED"/>
    <w:rsid w:val="00370223"/>
    <w:rsid w:val="00370D3A"/>
    <w:rsid w:val="00396C71"/>
    <w:rsid w:val="003B0550"/>
    <w:rsid w:val="003B0883"/>
    <w:rsid w:val="003B23C1"/>
    <w:rsid w:val="003B4F8D"/>
    <w:rsid w:val="003B694F"/>
    <w:rsid w:val="003C19A4"/>
    <w:rsid w:val="003C5023"/>
    <w:rsid w:val="003C5BFF"/>
    <w:rsid w:val="003C7AC8"/>
    <w:rsid w:val="003E66F9"/>
    <w:rsid w:val="003F171C"/>
    <w:rsid w:val="00400EB9"/>
    <w:rsid w:val="0040661D"/>
    <w:rsid w:val="00406AC7"/>
    <w:rsid w:val="00412FC5"/>
    <w:rsid w:val="00420539"/>
    <w:rsid w:val="00422276"/>
    <w:rsid w:val="004242F1"/>
    <w:rsid w:val="00425B58"/>
    <w:rsid w:val="00427E9A"/>
    <w:rsid w:val="00431D39"/>
    <w:rsid w:val="00434CDE"/>
    <w:rsid w:val="00442190"/>
    <w:rsid w:val="00445A00"/>
    <w:rsid w:val="00445DE2"/>
    <w:rsid w:val="00451B0F"/>
    <w:rsid w:val="00454F77"/>
    <w:rsid w:val="00475B58"/>
    <w:rsid w:val="00481796"/>
    <w:rsid w:val="0049436F"/>
    <w:rsid w:val="00497AA3"/>
    <w:rsid w:val="004A3BAA"/>
    <w:rsid w:val="004A52E7"/>
    <w:rsid w:val="004C2EE3"/>
    <w:rsid w:val="004C58C7"/>
    <w:rsid w:val="004E25DC"/>
    <w:rsid w:val="004E4A22"/>
    <w:rsid w:val="004F236E"/>
    <w:rsid w:val="004F7877"/>
    <w:rsid w:val="00504A6F"/>
    <w:rsid w:val="005056A1"/>
    <w:rsid w:val="00511968"/>
    <w:rsid w:val="0051437A"/>
    <w:rsid w:val="00517A25"/>
    <w:rsid w:val="00535884"/>
    <w:rsid w:val="00535C42"/>
    <w:rsid w:val="00554B7C"/>
    <w:rsid w:val="00554DDB"/>
    <w:rsid w:val="0055614C"/>
    <w:rsid w:val="005639F3"/>
    <w:rsid w:val="005660D0"/>
    <w:rsid w:val="00566D06"/>
    <w:rsid w:val="00573652"/>
    <w:rsid w:val="00584782"/>
    <w:rsid w:val="005A1749"/>
    <w:rsid w:val="005B265E"/>
    <w:rsid w:val="005B6CB0"/>
    <w:rsid w:val="005C20D3"/>
    <w:rsid w:val="005D12B0"/>
    <w:rsid w:val="005D5AE9"/>
    <w:rsid w:val="005E14C2"/>
    <w:rsid w:val="005E2303"/>
    <w:rsid w:val="005F2252"/>
    <w:rsid w:val="005F235B"/>
    <w:rsid w:val="006059C2"/>
    <w:rsid w:val="00607BA5"/>
    <w:rsid w:val="00607C01"/>
    <w:rsid w:val="0061180A"/>
    <w:rsid w:val="006120C0"/>
    <w:rsid w:val="006130BF"/>
    <w:rsid w:val="00622E6F"/>
    <w:rsid w:val="00626EB6"/>
    <w:rsid w:val="00641D5C"/>
    <w:rsid w:val="00654346"/>
    <w:rsid w:val="00655D03"/>
    <w:rsid w:val="00661251"/>
    <w:rsid w:val="006704C7"/>
    <w:rsid w:val="00675364"/>
    <w:rsid w:val="00683388"/>
    <w:rsid w:val="00683F84"/>
    <w:rsid w:val="006903FA"/>
    <w:rsid w:val="00693E2D"/>
    <w:rsid w:val="006A2A2E"/>
    <w:rsid w:val="006A6A81"/>
    <w:rsid w:val="006C097F"/>
    <w:rsid w:val="006C4855"/>
    <w:rsid w:val="006F466D"/>
    <w:rsid w:val="006F7393"/>
    <w:rsid w:val="0070224F"/>
    <w:rsid w:val="007115F7"/>
    <w:rsid w:val="00711E71"/>
    <w:rsid w:val="00720636"/>
    <w:rsid w:val="007414FB"/>
    <w:rsid w:val="00744CD2"/>
    <w:rsid w:val="007503BD"/>
    <w:rsid w:val="00755CE6"/>
    <w:rsid w:val="00756383"/>
    <w:rsid w:val="00762FCE"/>
    <w:rsid w:val="00767986"/>
    <w:rsid w:val="007711E9"/>
    <w:rsid w:val="00772EFA"/>
    <w:rsid w:val="00774870"/>
    <w:rsid w:val="00776F80"/>
    <w:rsid w:val="00782184"/>
    <w:rsid w:val="007824EF"/>
    <w:rsid w:val="00785689"/>
    <w:rsid w:val="00795095"/>
    <w:rsid w:val="0079754B"/>
    <w:rsid w:val="007A1E6D"/>
    <w:rsid w:val="007A7843"/>
    <w:rsid w:val="007B0EB2"/>
    <w:rsid w:val="007B6902"/>
    <w:rsid w:val="007C43D5"/>
    <w:rsid w:val="007C7096"/>
    <w:rsid w:val="007E755E"/>
    <w:rsid w:val="00810A78"/>
    <w:rsid w:val="00810B6F"/>
    <w:rsid w:val="00810FC6"/>
    <w:rsid w:val="00816485"/>
    <w:rsid w:val="00822CE0"/>
    <w:rsid w:val="00825C11"/>
    <w:rsid w:val="008314C2"/>
    <w:rsid w:val="0083516D"/>
    <w:rsid w:val="00841AB1"/>
    <w:rsid w:val="008477B3"/>
    <w:rsid w:val="00850494"/>
    <w:rsid w:val="008527A1"/>
    <w:rsid w:val="008753D0"/>
    <w:rsid w:val="008805C6"/>
    <w:rsid w:val="00884E3E"/>
    <w:rsid w:val="0088797B"/>
    <w:rsid w:val="00892D8D"/>
    <w:rsid w:val="00893022"/>
    <w:rsid w:val="00893471"/>
    <w:rsid w:val="008A1CFA"/>
    <w:rsid w:val="008A3198"/>
    <w:rsid w:val="008A625D"/>
    <w:rsid w:val="008B363F"/>
    <w:rsid w:val="008B3A67"/>
    <w:rsid w:val="008C391A"/>
    <w:rsid w:val="008C68F1"/>
    <w:rsid w:val="008E04FD"/>
    <w:rsid w:val="008E5FA0"/>
    <w:rsid w:val="008F3205"/>
    <w:rsid w:val="008F7A71"/>
    <w:rsid w:val="009019FB"/>
    <w:rsid w:val="009126FF"/>
    <w:rsid w:val="00921803"/>
    <w:rsid w:val="00922596"/>
    <w:rsid w:val="00926503"/>
    <w:rsid w:val="00937851"/>
    <w:rsid w:val="00945FF9"/>
    <w:rsid w:val="009505BC"/>
    <w:rsid w:val="0097119D"/>
    <w:rsid w:val="009726D8"/>
    <w:rsid w:val="0099387D"/>
    <w:rsid w:val="009A07C7"/>
    <w:rsid w:val="009C6C55"/>
    <w:rsid w:val="009D7308"/>
    <w:rsid w:val="009E1193"/>
    <w:rsid w:val="009E3C99"/>
    <w:rsid w:val="009E70A1"/>
    <w:rsid w:val="009F76DB"/>
    <w:rsid w:val="00A023B8"/>
    <w:rsid w:val="00A03494"/>
    <w:rsid w:val="00A177FD"/>
    <w:rsid w:val="00A32C3B"/>
    <w:rsid w:val="00A32FA3"/>
    <w:rsid w:val="00A33C8F"/>
    <w:rsid w:val="00A45C16"/>
    <w:rsid w:val="00A45F4F"/>
    <w:rsid w:val="00A52659"/>
    <w:rsid w:val="00A566DF"/>
    <w:rsid w:val="00A600A9"/>
    <w:rsid w:val="00A66C2C"/>
    <w:rsid w:val="00A67995"/>
    <w:rsid w:val="00A81E9A"/>
    <w:rsid w:val="00A86599"/>
    <w:rsid w:val="00A92FE5"/>
    <w:rsid w:val="00A96D99"/>
    <w:rsid w:val="00AA55B7"/>
    <w:rsid w:val="00AA5B9E"/>
    <w:rsid w:val="00AB2407"/>
    <w:rsid w:val="00AB53DF"/>
    <w:rsid w:val="00AB67FB"/>
    <w:rsid w:val="00AD0AFA"/>
    <w:rsid w:val="00AE6FB9"/>
    <w:rsid w:val="00AF7A6D"/>
    <w:rsid w:val="00B07E5C"/>
    <w:rsid w:val="00B106EF"/>
    <w:rsid w:val="00B10D3B"/>
    <w:rsid w:val="00B1392A"/>
    <w:rsid w:val="00B20FA1"/>
    <w:rsid w:val="00B309F4"/>
    <w:rsid w:val="00B31079"/>
    <w:rsid w:val="00B41731"/>
    <w:rsid w:val="00B47B1B"/>
    <w:rsid w:val="00B504D2"/>
    <w:rsid w:val="00B50CB5"/>
    <w:rsid w:val="00B61318"/>
    <w:rsid w:val="00B638F2"/>
    <w:rsid w:val="00B811F7"/>
    <w:rsid w:val="00B84516"/>
    <w:rsid w:val="00B92F26"/>
    <w:rsid w:val="00B97F1B"/>
    <w:rsid w:val="00BA2E25"/>
    <w:rsid w:val="00BA5DC6"/>
    <w:rsid w:val="00BA6196"/>
    <w:rsid w:val="00BC4670"/>
    <w:rsid w:val="00BC53F3"/>
    <w:rsid w:val="00BC6D8C"/>
    <w:rsid w:val="00BD3AC8"/>
    <w:rsid w:val="00BF76F4"/>
    <w:rsid w:val="00C0110D"/>
    <w:rsid w:val="00C05368"/>
    <w:rsid w:val="00C05E22"/>
    <w:rsid w:val="00C10E9A"/>
    <w:rsid w:val="00C15F43"/>
    <w:rsid w:val="00C25D2F"/>
    <w:rsid w:val="00C265B6"/>
    <w:rsid w:val="00C32A7C"/>
    <w:rsid w:val="00C34006"/>
    <w:rsid w:val="00C34A72"/>
    <w:rsid w:val="00C36B4C"/>
    <w:rsid w:val="00C40E83"/>
    <w:rsid w:val="00C426B1"/>
    <w:rsid w:val="00C43F89"/>
    <w:rsid w:val="00C4434A"/>
    <w:rsid w:val="00C50278"/>
    <w:rsid w:val="00C53BFD"/>
    <w:rsid w:val="00C53FC7"/>
    <w:rsid w:val="00C61C14"/>
    <w:rsid w:val="00C61FCF"/>
    <w:rsid w:val="00C66160"/>
    <w:rsid w:val="00C721AC"/>
    <w:rsid w:val="00C73E1A"/>
    <w:rsid w:val="00C74C1E"/>
    <w:rsid w:val="00C77869"/>
    <w:rsid w:val="00C85A41"/>
    <w:rsid w:val="00C90D6A"/>
    <w:rsid w:val="00CA247E"/>
    <w:rsid w:val="00CA6D21"/>
    <w:rsid w:val="00CB0B47"/>
    <w:rsid w:val="00CB5A9E"/>
    <w:rsid w:val="00CC0E1F"/>
    <w:rsid w:val="00CC72B6"/>
    <w:rsid w:val="00CD1AF6"/>
    <w:rsid w:val="00CE0D40"/>
    <w:rsid w:val="00CF6468"/>
    <w:rsid w:val="00CF7DA5"/>
    <w:rsid w:val="00D0218D"/>
    <w:rsid w:val="00D03010"/>
    <w:rsid w:val="00D206E8"/>
    <w:rsid w:val="00D23AA7"/>
    <w:rsid w:val="00D25FB5"/>
    <w:rsid w:val="00D3078E"/>
    <w:rsid w:val="00D44223"/>
    <w:rsid w:val="00D73B14"/>
    <w:rsid w:val="00D84140"/>
    <w:rsid w:val="00D84CBD"/>
    <w:rsid w:val="00D85547"/>
    <w:rsid w:val="00D93187"/>
    <w:rsid w:val="00DA2529"/>
    <w:rsid w:val="00DB130A"/>
    <w:rsid w:val="00DB14F2"/>
    <w:rsid w:val="00DB2EBB"/>
    <w:rsid w:val="00DB4B14"/>
    <w:rsid w:val="00DB5452"/>
    <w:rsid w:val="00DB7E68"/>
    <w:rsid w:val="00DC0CED"/>
    <w:rsid w:val="00DC10A1"/>
    <w:rsid w:val="00DC655F"/>
    <w:rsid w:val="00DC78C6"/>
    <w:rsid w:val="00DD0B59"/>
    <w:rsid w:val="00DD5D15"/>
    <w:rsid w:val="00DD7EBD"/>
    <w:rsid w:val="00DE56BA"/>
    <w:rsid w:val="00DF62B6"/>
    <w:rsid w:val="00E002FE"/>
    <w:rsid w:val="00E07225"/>
    <w:rsid w:val="00E32B35"/>
    <w:rsid w:val="00E36D64"/>
    <w:rsid w:val="00E40128"/>
    <w:rsid w:val="00E43824"/>
    <w:rsid w:val="00E5409F"/>
    <w:rsid w:val="00E667B5"/>
    <w:rsid w:val="00E717ED"/>
    <w:rsid w:val="00E879AF"/>
    <w:rsid w:val="00E924B6"/>
    <w:rsid w:val="00E9394B"/>
    <w:rsid w:val="00E94678"/>
    <w:rsid w:val="00E94E6F"/>
    <w:rsid w:val="00EB1CCA"/>
    <w:rsid w:val="00EC0D9F"/>
    <w:rsid w:val="00ED328E"/>
    <w:rsid w:val="00ED38A9"/>
    <w:rsid w:val="00EE6488"/>
    <w:rsid w:val="00EE7E1E"/>
    <w:rsid w:val="00F021FA"/>
    <w:rsid w:val="00F02778"/>
    <w:rsid w:val="00F14564"/>
    <w:rsid w:val="00F14872"/>
    <w:rsid w:val="00F15CD1"/>
    <w:rsid w:val="00F21263"/>
    <w:rsid w:val="00F25F44"/>
    <w:rsid w:val="00F2625F"/>
    <w:rsid w:val="00F30A34"/>
    <w:rsid w:val="00F31F2B"/>
    <w:rsid w:val="00F3400D"/>
    <w:rsid w:val="00F45A38"/>
    <w:rsid w:val="00F47EA7"/>
    <w:rsid w:val="00F5579E"/>
    <w:rsid w:val="00F62E97"/>
    <w:rsid w:val="00F64209"/>
    <w:rsid w:val="00F712D9"/>
    <w:rsid w:val="00F73735"/>
    <w:rsid w:val="00F80B08"/>
    <w:rsid w:val="00F90A03"/>
    <w:rsid w:val="00F91286"/>
    <w:rsid w:val="00F91BC3"/>
    <w:rsid w:val="00F93BF5"/>
    <w:rsid w:val="00F96D07"/>
    <w:rsid w:val="00FA1854"/>
    <w:rsid w:val="00FA416B"/>
    <w:rsid w:val="00FB26DD"/>
    <w:rsid w:val="00FD33A3"/>
    <w:rsid w:val="00FD6373"/>
    <w:rsid w:val="00FE54B8"/>
    <w:rsid w:val="00FE75A4"/>
    <w:rsid w:val="00FF46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FB6C67"/>
  <w15:chartTrackingRefBased/>
  <w15:docId w15:val="{E91F3AE1-E9FE-444C-94DF-F71B65F9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5884"/>
    <w:pPr>
      <w:widowControl w:val="0"/>
    </w:pPr>
    <w:rPr>
      <w:snapToGrid w:val="0"/>
      <w:kern w:val="28"/>
      <w:sz w:val="22"/>
    </w:rPr>
  </w:style>
  <w:style w:type="paragraph" w:styleId="Heading1">
    <w:name w:val="heading 1"/>
    <w:basedOn w:val="Normal"/>
    <w:next w:val="ParaNum"/>
    <w:qFormat/>
    <w:rsid w:val="0053588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35884"/>
    <w:pPr>
      <w:keepNext/>
      <w:numPr>
        <w:ilvl w:val="1"/>
        <w:numId w:val="3"/>
      </w:numPr>
      <w:spacing w:after="120"/>
      <w:outlineLvl w:val="1"/>
    </w:pPr>
    <w:rPr>
      <w:b/>
    </w:rPr>
  </w:style>
  <w:style w:type="paragraph" w:styleId="Heading3">
    <w:name w:val="heading 3"/>
    <w:basedOn w:val="Normal"/>
    <w:next w:val="ParaNum"/>
    <w:qFormat/>
    <w:rsid w:val="00535884"/>
    <w:pPr>
      <w:keepNext/>
      <w:numPr>
        <w:ilvl w:val="2"/>
        <w:numId w:val="3"/>
      </w:numPr>
      <w:tabs>
        <w:tab w:val="left" w:pos="2160"/>
      </w:tabs>
      <w:spacing w:after="120"/>
      <w:outlineLvl w:val="2"/>
    </w:pPr>
    <w:rPr>
      <w:b/>
    </w:rPr>
  </w:style>
  <w:style w:type="paragraph" w:styleId="Heading4">
    <w:name w:val="heading 4"/>
    <w:basedOn w:val="Normal"/>
    <w:next w:val="ParaNum"/>
    <w:qFormat/>
    <w:rsid w:val="00535884"/>
    <w:pPr>
      <w:keepNext/>
      <w:numPr>
        <w:ilvl w:val="3"/>
        <w:numId w:val="3"/>
      </w:numPr>
      <w:tabs>
        <w:tab w:val="left" w:pos="2880"/>
      </w:tabs>
      <w:spacing w:after="120"/>
      <w:outlineLvl w:val="3"/>
    </w:pPr>
    <w:rPr>
      <w:b/>
    </w:rPr>
  </w:style>
  <w:style w:type="paragraph" w:styleId="Heading5">
    <w:name w:val="heading 5"/>
    <w:basedOn w:val="Normal"/>
    <w:next w:val="ParaNum"/>
    <w:qFormat/>
    <w:rsid w:val="0053588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35884"/>
    <w:pPr>
      <w:numPr>
        <w:ilvl w:val="5"/>
        <w:numId w:val="3"/>
      </w:numPr>
      <w:tabs>
        <w:tab w:val="left" w:pos="4320"/>
      </w:tabs>
      <w:spacing w:after="120"/>
      <w:outlineLvl w:val="5"/>
    </w:pPr>
    <w:rPr>
      <w:b/>
    </w:rPr>
  </w:style>
  <w:style w:type="paragraph" w:styleId="Heading7">
    <w:name w:val="heading 7"/>
    <w:basedOn w:val="Normal"/>
    <w:next w:val="ParaNum"/>
    <w:qFormat/>
    <w:rsid w:val="0053588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3588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3588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358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5884"/>
  </w:style>
  <w:style w:type="paragraph" w:customStyle="1" w:styleId="ParaNum">
    <w:name w:val="ParaNum"/>
    <w:basedOn w:val="Normal"/>
    <w:link w:val="ParaNumChar1"/>
    <w:rsid w:val="00535884"/>
    <w:pPr>
      <w:numPr>
        <w:numId w:val="2"/>
      </w:numPr>
      <w:tabs>
        <w:tab w:val="clear" w:pos="1080"/>
        <w:tab w:val="num" w:pos="1440"/>
      </w:tabs>
      <w:spacing w:after="120"/>
    </w:pPr>
  </w:style>
  <w:style w:type="paragraph" w:styleId="EndnoteText">
    <w:name w:val="endnote text"/>
    <w:basedOn w:val="Normal"/>
    <w:semiHidden/>
    <w:rsid w:val="00535884"/>
    <w:rPr>
      <w:sz w:val="20"/>
    </w:rPr>
  </w:style>
  <w:style w:type="character" w:styleId="EndnoteReference">
    <w:name w:val="endnote reference"/>
    <w:semiHidden/>
    <w:rsid w:val="00535884"/>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 Char Char Char Char Char Char Char,f,fn Char Char"/>
    <w:link w:val="FootnoteTextChar"/>
    <w:rsid w:val="00535884"/>
    <w:pPr>
      <w:spacing w:after="120"/>
    </w:pPr>
  </w:style>
  <w:style w:type="character" w:styleId="FootnoteReference">
    <w:name w:val="footnote reference"/>
    <w:aliases w:val="(NECG) Footnote Reference,Appel note de bas de p,Style 12,Style 124"/>
    <w:rsid w:val="00535884"/>
    <w:rPr>
      <w:rFonts w:ascii="Times New Roman" w:hAnsi="Times New Roman"/>
      <w:dstrike w:val="0"/>
      <w:color w:val="auto"/>
      <w:sz w:val="20"/>
      <w:vertAlign w:val="superscript"/>
    </w:rPr>
  </w:style>
  <w:style w:type="paragraph" w:styleId="TOC1">
    <w:name w:val="toc 1"/>
    <w:basedOn w:val="Normal"/>
    <w:next w:val="Normal"/>
    <w:semiHidden/>
    <w:rsid w:val="0053588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35884"/>
    <w:pPr>
      <w:tabs>
        <w:tab w:val="left" w:pos="720"/>
        <w:tab w:val="right" w:leader="dot" w:pos="9360"/>
      </w:tabs>
      <w:suppressAutoHyphens/>
      <w:ind w:left="720" w:right="720" w:hanging="360"/>
    </w:pPr>
    <w:rPr>
      <w:noProof/>
    </w:rPr>
  </w:style>
  <w:style w:type="paragraph" w:styleId="TOC3">
    <w:name w:val="toc 3"/>
    <w:basedOn w:val="Normal"/>
    <w:next w:val="Normal"/>
    <w:semiHidden/>
    <w:rsid w:val="0053588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3588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3588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3588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3588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3588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3588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35884"/>
    <w:pPr>
      <w:tabs>
        <w:tab w:val="right" w:pos="9360"/>
      </w:tabs>
      <w:suppressAutoHyphens/>
    </w:pPr>
  </w:style>
  <w:style w:type="character" w:customStyle="1" w:styleId="EquationCaption">
    <w:name w:val="_Equation Caption"/>
    <w:rsid w:val="00535884"/>
  </w:style>
  <w:style w:type="paragraph" w:styleId="Header">
    <w:name w:val="header"/>
    <w:basedOn w:val="Normal"/>
    <w:autoRedefine/>
    <w:rsid w:val="00535884"/>
    <w:pPr>
      <w:tabs>
        <w:tab w:val="center" w:pos="4680"/>
        <w:tab w:val="right" w:pos="9360"/>
      </w:tabs>
    </w:pPr>
    <w:rPr>
      <w:b/>
    </w:rPr>
  </w:style>
  <w:style w:type="paragraph" w:styleId="Footer">
    <w:name w:val="footer"/>
    <w:basedOn w:val="Normal"/>
    <w:link w:val="FooterChar"/>
    <w:uiPriority w:val="99"/>
    <w:rsid w:val="00535884"/>
    <w:pPr>
      <w:tabs>
        <w:tab w:val="center" w:pos="4320"/>
        <w:tab w:val="right" w:pos="8640"/>
      </w:tabs>
    </w:pPr>
  </w:style>
  <w:style w:type="character" w:styleId="PageNumber">
    <w:name w:val="page number"/>
    <w:basedOn w:val="DefaultParagraphFont"/>
    <w:rsid w:val="00535884"/>
  </w:style>
  <w:style w:type="paragraph" w:styleId="BlockText">
    <w:name w:val="Block Text"/>
    <w:basedOn w:val="Normal"/>
    <w:rsid w:val="00535884"/>
    <w:pPr>
      <w:spacing w:after="240"/>
      <w:ind w:left="1440" w:right="1440"/>
    </w:pPr>
  </w:style>
  <w:style w:type="paragraph" w:customStyle="1" w:styleId="Paratitle">
    <w:name w:val="Para title"/>
    <w:basedOn w:val="Normal"/>
    <w:rsid w:val="00535884"/>
    <w:pPr>
      <w:tabs>
        <w:tab w:val="center" w:pos="9270"/>
      </w:tabs>
      <w:spacing w:after="240"/>
    </w:pPr>
    <w:rPr>
      <w:spacing w:val="-2"/>
    </w:rPr>
  </w:style>
  <w:style w:type="paragraph" w:customStyle="1" w:styleId="Bullet">
    <w:name w:val="Bullet"/>
    <w:basedOn w:val="Normal"/>
    <w:rsid w:val="00535884"/>
    <w:pPr>
      <w:tabs>
        <w:tab w:val="left" w:pos="2160"/>
      </w:tabs>
      <w:spacing w:after="220"/>
      <w:ind w:left="2160" w:hanging="720"/>
    </w:pPr>
  </w:style>
  <w:style w:type="paragraph" w:customStyle="1" w:styleId="TableFormat">
    <w:name w:val="TableFormat"/>
    <w:basedOn w:val="Bullet"/>
    <w:rsid w:val="00535884"/>
    <w:pPr>
      <w:tabs>
        <w:tab w:val="clear" w:pos="2160"/>
        <w:tab w:val="left" w:pos="5040"/>
      </w:tabs>
      <w:ind w:left="5040" w:hanging="3600"/>
    </w:pPr>
  </w:style>
  <w:style w:type="paragraph" w:customStyle="1" w:styleId="TOCTitle">
    <w:name w:val="TOC Title"/>
    <w:basedOn w:val="Normal"/>
    <w:rsid w:val="0053588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35884"/>
    <w:pPr>
      <w:jc w:val="center"/>
    </w:pPr>
    <w:rPr>
      <w:rFonts w:ascii="Times New Roman Bold" w:hAnsi="Times New Roman Bold"/>
      <w:b/>
      <w:bCs/>
      <w:caps/>
      <w:szCs w:val="22"/>
    </w:rPr>
  </w:style>
  <w:style w:type="character" w:styleId="Hyperlink">
    <w:name w:val="Hyperlink"/>
    <w:rsid w:val="00535884"/>
    <w:rPr>
      <w:color w:val="0000FF"/>
      <w:u w:val="single"/>
    </w:rPr>
  </w:style>
  <w:style w:type="character" w:customStyle="1" w:styleId="FooterChar">
    <w:name w:val="Footer Char"/>
    <w:link w:val="Footer"/>
    <w:uiPriority w:val="99"/>
    <w:rsid w:val="00535884"/>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basedOn w:val="DefaultParagraphFont"/>
    <w:link w:val="FootnoteText"/>
    <w:rsid w:val="004C58C7"/>
  </w:style>
  <w:style w:type="character" w:customStyle="1" w:styleId="ParaNumChar1">
    <w:name w:val="ParaNum Char1"/>
    <w:link w:val="ParaNum"/>
    <w:rsid w:val="004C58C7"/>
    <w:rPr>
      <w:snapToGrid w:val="0"/>
      <w:kern w:val="28"/>
      <w:sz w:val="22"/>
    </w:rPr>
  </w:style>
  <w:style w:type="paragraph" w:styleId="Revision">
    <w:name w:val="Revision"/>
    <w:hidden/>
    <w:uiPriority w:val="99"/>
    <w:semiHidden/>
    <w:rsid w:val="0012260D"/>
    <w:rPr>
      <w:snapToGrid w:val="0"/>
      <w:kern w:val="28"/>
      <w:sz w:val="22"/>
    </w:rPr>
  </w:style>
  <w:style w:type="character" w:styleId="CommentReference">
    <w:name w:val="annotation reference"/>
    <w:basedOn w:val="DefaultParagraphFont"/>
    <w:rsid w:val="00F91286"/>
    <w:rPr>
      <w:sz w:val="16"/>
      <w:szCs w:val="16"/>
    </w:rPr>
  </w:style>
  <w:style w:type="paragraph" w:styleId="CommentText">
    <w:name w:val="annotation text"/>
    <w:basedOn w:val="Normal"/>
    <w:link w:val="CommentTextChar"/>
    <w:rsid w:val="00F91286"/>
    <w:rPr>
      <w:sz w:val="20"/>
    </w:rPr>
  </w:style>
  <w:style w:type="character" w:customStyle="1" w:styleId="CommentTextChar">
    <w:name w:val="Comment Text Char"/>
    <w:basedOn w:val="DefaultParagraphFont"/>
    <w:link w:val="CommentText"/>
    <w:rsid w:val="00F91286"/>
    <w:rPr>
      <w:snapToGrid w:val="0"/>
      <w:kern w:val="28"/>
    </w:rPr>
  </w:style>
  <w:style w:type="paragraph" w:styleId="CommentSubject">
    <w:name w:val="annotation subject"/>
    <w:basedOn w:val="CommentText"/>
    <w:next w:val="CommentText"/>
    <w:link w:val="CommentSubjectChar"/>
    <w:rsid w:val="00F91286"/>
    <w:rPr>
      <w:b/>
      <w:bCs/>
    </w:rPr>
  </w:style>
  <w:style w:type="character" w:customStyle="1" w:styleId="CommentSubjectChar">
    <w:name w:val="Comment Subject Char"/>
    <w:basedOn w:val="CommentTextChar"/>
    <w:link w:val="CommentSubject"/>
    <w:rsid w:val="00F91286"/>
    <w:rPr>
      <w:b/>
      <w:bCs/>
      <w:snapToGrid w:val="0"/>
      <w:kern w:val="28"/>
    </w:rPr>
  </w:style>
  <w:style w:type="character" w:styleId="UnresolvedMention">
    <w:name w:val="Unresolved Mention"/>
    <w:basedOn w:val="DefaultParagraphFont"/>
    <w:uiPriority w:val="99"/>
    <w:semiHidden/>
    <w:unhideWhenUsed/>
    <w:rsid w:val="00A86599"/>
    <w:rPr>
      <w:color w:val="605E5C"/>
      <w:shd w:val="clear" w:color="auto" w:fill="E1DFDD"/>
    </w:rPr>
  </w:style>
  <w:style w:type="table" w:styleId="TableGrid">
    <w:name w:val="Table Grid"/>
    <w:basedOn w:val="TableNormal"/>
    <w:uiPriority w:val="39"/>
    <w:rsid w:val="00F80B08"/>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tools.usps.com/find-location.htm"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