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E7866" w:rsidP="00EE7866" w14:paraId="61A0993D" w14:textId="77777777">
      <w:pPr>
        <w:jc w:val="center"/>
        <w:rPr>
          <w:b/>
        </w:rPr>
      </w:pPr>
      <w:r w:rsidRPr="0070224F">
        <w:rPr>
          <w:rFonts w:ascii="Times New Roman Bold" w:hAnsi="Times New Roman Bold"/>
          <w:b/>
          <w:kern w:val="0"/>
          <w:szCs w:val="22"/>
        </w:rPr>
        <w:t>Before</w:t>
      </w:r>
      <w:r>
        <w:rPr>
          <w:b/>
        </w:rPr>
        <w:t xml:space="preserve"> the</w:t>
      </w:r>
    </w:p>
    <w:p w:rsidR="00EE7866" w:rsidP="00EE7866" w14:paraId="692391B9" w14:textId="77777777">
      <w:pPr>
        <w:pStyle w:val="StyleBoldCentered"/>
      </w:pPr>
      <w:r>
        <w:t>F</w:t>
      </w:r>
      <w:r>
        <w:rPr>
          <w:caps w:val="0"/>
        </w:rPr>
        <w:t>ederal Communications Commission</w:t>
      </w:r>
    </w:p>
    <w:p w:rsidR="00EE7866" w:rsidP="00EE7866" w14:paraId="149A5AE0" w14:textId="77777777">
      <w:pPr>
        <w:pStyle w:val="StyleBoldCentered"/>
      </w:pPr>
      <w:r>
        <w:rPr>
          <w:caps w:val="0"/>
        </w:rPr>
        <w:t>Washington, D.C. 20554</w:t>
      </w:r>
    </w:p>
    <w:p w:rsidR="00EE7866" w:rsidP="00EE7866" w14:paraId="009CEFBD" w14:textId="77777777"/>
    <w:p w:rsidR="00EE7866" w:rsidP="00EE7866" w14:paraId="1FA5C728" w14:textId="77777777"/>
    <w:tbl>
      <w:tblPr>
        <w:tblW w:w="0" w:type="auto"/>
        <w:tblLayout w:type="fixed"/>
        <w:tblLook w:val="0000"/>
      </w:tblPr>
      <w:tblGrid>
        <w:gridCol w:w="4698"/>
        <w:gridCol w:w="630"/>
        <w:gridCol w:w="4248"/>
      </w:tblGrid>
      <w:tr w14:paraId="6395562C" w14:textId="77777777">
        <w:tblPrEx>
          <w:tblW w:w="0" w:type="auto"/>
          <w:tblLayout w:type="fixed"/>
          <w:tblLook w:val="0000"/>
        </w:tblPrEx>
        <w:tc>
          <w:tcPr>
            <w:tcW w:w="4698" w:type="dxa"/>
          </w:tcPr>
          <w:p w:rsidR="00EE7866" w14:paraId="35D6046D" w14:textId="77777777">
            <w:pPr>
              <w:tabs>
                <w:tab w:val="center" w:pos="4680"/>
              </w:tabs>
              <w:suppressAutoHyphens/>
              <w:rPr>
                <w:spacing w:val="-2"/>
              </w:rPr>
            </w:pPr>
            <w:r>
              <w:rPr>
                <w:spacing w:val="-2"/>
              </w:rPr>
              <w:t>In the Matter of</w:t>
            </w:r>
          </w:p>
          <w:p w:rsidR="00EE7866" w14:paraId="6E74A618" w14:textId="77777777">
            <w:pPr>
              <w:tabs>
                <w:tab w:val="center" w:pos="4680"/>
              </w:tabs>
              <w:suppressAutoHyphens/>
              <w:rPr>
                <w:spacing w:val="-2"/>
              </w:rPr>
            </w:pPr>
          </w:p>
          <w:p w:rsidR="00EE7866" w14:paraId="0C14DCCF" w14:textId="77777777">
            <w:pPr>
              <w:tabs>
                <w:tab w:val="center" w:pos="4680"/>
              </w:tabs>
              <w:suppressAutoHyphens/>
            </w:pPr>
            <w:r>
              <w:rPr>
                <w:spacing w:val="-2"/>
              </w:rPr>
              <w:t>Telecommunications Relay Services and Speech-to-Speech Services for Individuals with Hearing and Speech Disabilities</w:t>
            </w:r>
          </w:p>
          <w:p w:rsidR="00EE7866" w14:paraId="1767AEDE" w14:textId="77777777">
            <w:pPr>
              <w:tabs>
                <w:tab w:val="center" w:pos="4680"/>
              </w:tabs>
              <w:suppressAutoHyphens/>
              <w:rPr>
                <w:spacing w:val="-2"/>
              </w:rPr>
            </w:pPr>
          </w:p>
          <w:p w:rsidR="00EE7866" w14:paraId="0E43D2D7" w14:textId="29F09C00">
            <w:pPr>
              <w:tabs>
                <w:tab w:val="center" w:pos="4680"/>
              </w:tabs>
              <w:suppressAutoHyphens/>
              <w:rPr>
                <w:spacing w:val="-2"/>
              </w:rPr>
            </w:pPr>
            <w:r>
              <w:t xml:space="preserve">Internet Protocol Captioned Telephone Service Compensation </w:t>
            </w:r>
          </w:p>
          <w:p w:rsidR="00EE7866" w:rsidRPr="007115F7" w14:paraId="646E6A54" w14:textId="46EBD513">
            <w:pPr>
              <w:tabs>
                <w:tab w:val="center" w:pos="4680"/>
              </w:tabs>
              <w:suppressAutoHyphens/>
              <w:rPr>
                <w:spacing w:val="-2"/>
              </w:rPr>
            </w:pPr>
          </w:p>
        </w:tc>
        <w:tc>
          <w:tcPr>
            <w:tcW w:w="630" w:type="dxa"/>
          </w:tcPr>
          <w:p w:rsidR="00EE7866" w14:paraId="7AF21259" w14:textId="77777777">
            <w:pPr>
              <w:tabs>
                <w:tab w:val="center" w:pos="4680"/>
              </w:tabs>
              <w:suppressAutoHyphens/>
              <w:rPr>
                <w:b/>
                <w:spacing w:val="-2"/>
              </w:rPr>
            </w:pPr>
            <w:r>
              <w:rPr>
                <w:b/>
                <w:spacing w:val="-2"/>
              </w:rPr>
              <w:t>)</w:t>
            </w:r>
          </w:p>
          <w:p w:rsidR="00EE7866" w14:paraId="33B6C782" w14:textId="77777777">
            <w:pPr>
              <w:tabs>
                <w:tab w:val="center" w:pos="4680"/>
              </w:tabs>
              <w:suppressAutoHyphens/>
              <w:rPr>
                <w:b/>
                <w:spacing w:val="-2"/>
              </w:rPr>
            </w:pPr>
            <w:r>
              <w:rPr>
                <w:b/>
                <w:spacing w:val="-2"/>
              </w:rPr>
              <w:t>)</w:t>
            </w:r>
          </w:p>
          <w:p w:rsidR="00EE7866" w:rsidRPr="00752A37" w14:paraId="0610A4B7" w14:textId="77777777">
            <w:pPr>
              <w:tabs>
                <w:tab w:val="center" w:pos="4680"/>
              </w:tabs>
              <w:suppressAutoHyphens/>
              <w:rPr>
                <w:bCs/>
                <w:spacing w:val="-2"/>
              </w:rPr>
            </w:pPr>
            <w:r>
              <w:rPr>
                <w:b/>
                <w:spacing w:val="-2"/>
              </w:rPr>
              <w:t>)</w:t>
            </w:r>
          </w:p>
          <w:p w:rsidR="00EE7866" w14:paraId="478BB5D4" w14:textId="77777777">
            <w:pPr>
              <w:tabs>
                <w:tab w:val="center" w:pos="4680"/>
              </w:tabs>
              <w:suppressAutoHyphens/>
              <w:rPr>
                <w:b/>
                <w:spacing w:val="-2"/>
              </w:rPr>
            </w:pPr>
            <w:r>
              <w:rPr>
                <w:b/>
                <w:spacing w:val="-2"/>
              </w:rPr>
              <w:t>)</w:t>
            </w:r>
          </w:p>
          <w:p w:rsidR="00EE7866" w14:paraId="55CB6C71" w14:textId="77777777">
            <w:pPr>
              <w:tabs>
                <w:tab w:val="center" w:pos="4680"/>
              </w:tabs>
              <w:suppressAutoHyphens/>
              <w:rPr>
                <w:b/>
                <w:spacing w:val="-2"/>
              </w:rPr>
            </w:pPr>
            <w:r>
              <w:rPr>
                <w:b/>
                <w:spacing w:val="-2"/>
              </w:rPr>
              <w:t>)</w:t>
            </w:r>
          </w:p>
          <w:p w:rsidR="00EE7866" w14:paraId="780C1080" w14:textId="77777777">
            <w:pPr>
              <w:tabs>
                <w:tab w:val="center" w:pos="4680"/>
              </w:tabs>
              <w:suppressAutoHyphens/>
              <w:rPr>
                <w:b/>
                <w:spacing w:val="-2"/>
              </w:rPr>
            </w:pPr>
            <w:r>
              <w:rPr>
                <w:b/>
                <w:spacing w:val="-2"/>
              </w:rPr>
              <w:t>)</w:t>
            </w:r>
          </w:p>
          <w:p w:rsidR="00EE7866" w14:paraId="01E1FC75" w14:textId="77777777">
            <w:pPr>
              <w:tabs>
                <w:tab w:val="center" w:pos="4680"/>
              </w:tabs>
              <w:suppressAutoHyphens/>
              <w:rPr>
                <w:b/>
                <w:spacing w:val="-2"/>
              </w:rPr>
            </w:pPr>
            <w:r>
              <w:rPr>
                <w:b/>
                <w:spacing w:val="-2"/>
              </w:rPr>
              <w:t>)</w:t>
            </w:r>
          </w:p>
          <w:p w:rsidR="00EE7866" w14:paraId="559ED504" w14:textId="77777777">
            <w:pPr>
              <w:tabs>
                <w:tab w:val="center" w:pos="4680"/>
              </w:tabs>
              <w:suppressAutoHyphens/>
              <w:rPr>
                <w:b/>
                <w:spacing w:val="-2"/>
              </w:rPr>
            </w:pPr>
            <w:r>
              <w:rPr>
                <w:b/>
                <w:spacing w:val="-2"/>
              </w:rPr>
              <w:t>)</w:t>
            </w:r>
          </w:p>
          <w:p w:rsidR="00EE7866" w14:paraId="0F3460EB" w14:textId="1356EA17">
            <w:pPr>
              <w:tabs>
                <w:tab w:val="center" w:pos="4680"/>
              </w:tabs>
              <w:suppressAutoHyphens/>
              <w:rPr>
                <w:spacing w:val="-2"/>
              </w:rPr>
            </w:pPr>
          </w:p>
        </w:tc>
        <w:tc>
          <w:tcPr>
            <w:tcW w:w="4248" w:type="dxa"/>
          </w:tcPr>
          <w:p w:rsidR="00EE7866" w14:paraId="6776CEE4" w14:textId="77777777">
            <w:pPr>
              <w:tabs>
                <w:tab w:val="center" w:pos="4680"/>
              </w:tabs>
              <w:suppressAutoHyphens/>
              <w:rPr>
                <w:spacing w:val="-2"/>
              </w:rPr>
            </w:pPr>
          </w:p>
          <w:p w:rsidR="00EE7866" w14:paraId="53EBF185" w14:textId="77777777">
            <w:pPr>
              <w:tabs>
                <w:tab w:val="center" w:pos="4680"/>
              </w:tabs>
              <w:suppressAutoHyphens/>
              <w:rPr>
                <w:spacing w:val="-2"/>
              </w:rPr>
            </w:pPr>
          </w:p>
          <w:p w:rsidR="00EE7866" w14:paraId="1D9D5C5A" w14:textId="77777777">
            <w:pPr>
              <w:tabs>
                <w:tab w:val="center" w:pos="4680"/>
              </w:tabs>
              <w:suppressAutoHyphens/>
              <w:rPr>
                <w:spacing w:val="-2"/>
              </w:rPr>
            </w:pPr>
            <w:r>
              <w:rPr>
                <w:spacing w:val="-2"/>
              </w:rPr>
              <w:t>CG Docket No. 03-123</w:t>
            </w:r>
          </w:p>
          <w:p w:rsidR="00EE7866" w14:paraId="38ECA4CA" w14:textId="77777777">
            <w:pPr>
              <w:tabs>
                <w:tab w:val="center" w:pos="4680"/>
              </w:tabs>
              <w:suppressAutoHyphens/>
              <w:rPr>
                <w:spacing w:val="-2"/>
              </w:rPr>
            </w:pPr>
          </w:p>
          <w:p w:rsidR="00EE7866" w14:paraId="697AA6C8" w14:textId="77777777">
            <w:pPr>
              <w:tabs>
                <w:tab w:val="center" w:pos="4680"/>
              </w:tabs>
              <w:suppressAutoHyphens/>
              <w:rPr>
                <w:spacing w:val="-2"/>
              </w:rPr>
            </w:pPr>
          </w:p>
          <w:p w:rsidR="00EE7866" w14:paraId="215D38D9" w14:textId="77777777">
            <w:pPr>
              <w:tabs>
                <w:tab w:val="center" w:pos="4680"/>
              </w:tabs>
              <w:suppressAutoHyphens/>
              <w:rPr>
                <w:spacing w:val="-2"/>
              </w:rPr>
            </w:pPr>
          </w:p>
          <w:p w:rsidR="00EE7866" w14:paraId="105AAFC8" w14:textId="41C88ED9">
            <w:pPr>
              <w:tabs>
                <w:tab w:val="center" w:pos="4680"/>
              </w:tabs>
              <w:suppressAutoHyphens/>
              <w:rPr>
                <w:spacing w:val="-2"/>
              </w:rPr>
            </w:pPr>
            <w:r>
              <w:rPr>
                <w:spacing w:val="-2"/>
              </w:rPr>
              <w:t xml:space="preserve">CG Docket No. </w:t>
            </w:r>
            <w:r w:rsidR="00CE2C98">
              <w:rPr>
                <w:spacing w:val="-2"/>
              </w:rPr>
              <w:t>22-408</w:t>
            </w:r>
          </w:p>
          <w:p w:rsidR="00EE7866" w14:paraId="0216420F" w14:textId="77777777">
            <w:pPr>
              <w:tabs>
                <w:tab w:val="center" w:pos="4680"/>
              </w:tabs>
              <w:suppressAutoHyphens/>
              <w:rPr>
                <w:spacing w:val="-2"/>
              </w:rPr>
            </w:pPr>
          </w:p>
          <w:p w:rsidR="00EE7866" w14:paraId="2AF0E7FB" w14:textId="77777777">
            <w:pPr>
              <w:tabs>
                <w:tab w:val="center" w:pos="4680"/>
              </w:tabs>
              <w:suppressAutoHyphens/>
              <w:rPr>
                <w:spacing w:val="-2"/>
              </w:rPr>
            </w:pPr>
          </w:p>
          <w:p w:rsidR="00EE7866" w14:paraId="77005A4E" w14:textId="605A269F">
            <w:pPr>
              <w:tabs>
                <w:tab w:val="center" w:pos="4680"/>
              </w:tabs>
              <w:suppressAutoHyphens/>
              <w:rPr>
                <w:spacing w:val="-2"/>
              </w:rPr>
            </w:pPr>
          </w:p>
        </w:tc>
      </w:tr>
    </w:tbl>
    <w:p w:rsidR="00EE7866" w:rsidP="00EE7866" w14:paraId="73784D01" w14:textId="77777777">
      <w:pPr>
        <w:pStyle w:val="StyleBoldCentered"/>
      </w:pPr>
      <w:r>
        <w:t>order</w:t>
      </w:r>
    </w:p>
    <w:p w:rsidR="00EE7866" w:rsidP="00EE7866" w14:paraId="692F1AC5" w14:textId="77777777">
      <w:pPr>
        <w:tabs>
          <w:tab w:val="left" w:pos="-720"/>
        </w:tabs>
        <w:suppressAutoHyphens/>
        <w:spacing w:line="227" w:lineRule="auto"/>
        <w:rPr>
          <w:spacing w:val="-2"/>
        </w:rPr>
      </w:pPr>
    </w:p>
    <w:p w:rsidR="00EE7866" w:rsidP="00EE7866" w14:paraId="4F22D7B3" w14:textId="72943F59">
      <w:pPr>
        <w:tabs>
          <w:tab w:val="left" w:pos="720"/>
          <w:tab w:val="right" w:pos="9360"/>
        </w:tabs>
        <w:suppressAutoHyphens/>
        <w:spacing w:line="227" w:lineRule="auto"/>
        <w:rPr>
          <w:spacing w:val="-2"/>
        </w:rPr>
      </w:pPr>
      <w:r>
        <w:rPr>
          <w:b/>
          <w:spacing w:val="-2"/>
        </w:rPr>
        <w:t xml:space="preserve">Adopted:  </w:t>
      </w:r>
      <w:r w:rsidR="004E4516">
        <w:rPr>
          <w:b/>
          <w:spacing w:val="-2"/>
        </w:rPr>
        <w:t>November 17, 2023</w:t>
      </w:r>
      <w:r>
        <w:rPr>
          <w:b/>
          <w:spacing w:val="-2"/>
        </w:rPr>
        <w:tab/>
        <w:t xml:space="preserve">Released:  </w:t>
      </w:r>
      <w:r w:rsidR="004E4516">
        <w:rPr>
          <w:b/>
          <w:spacing w:val="-2"/>
        </w:rPr>
        <w:t xml:space="preserve">November </w:t>
      </w:r>
      <w:r w:rsidR="00533C30">
        <w:rPr>
          <w:b/>
          <w:spacing w:val="-2"/>
        </w:rPr>
        <w:t>17, 2023</w:t>
      </w:r>
    </w:p>
    <w:p w:rsidR="00EE7866" w:rsidP="00EE7866" w14:paraId="06B9C998" w14:textId="77777777"/>
    <w:p w:rsidR="00EE7866" w:rsidP="00EE7866" w14:paraId="20777E59" w14:textId="77777777">
      <w:pPr>
        <w:rPr>
          <w:spacing w:val="-2"/>
        </w:rPr>
      </w:pPr>
      <w:r>
        <w:t>By the</w:t>
      </w:r>
      <w:r>
        <w:rPr>
          <w:spacing w:val="-2"/>
        </w:rPr>
        <w:t xml:space="preserve"> Chief, Consumer and Governmental Affairs Bureau:</w:t>
      </w:r>
    </w:p>
    <w:p w:rsidR="00EE7866" w:rsidP="00EE7866" w14:paraId="2336E3AA" w14:textId="77777777">
      <w:pPr>
        <w:rPr>
          <w:spacing w:val="-2"/>
        </w:rPr>
      </w:pPr>
    </w:p>
    <w:p w:rsidR="00EE7866" w:rsidP="00EE7866" w14:paraId="0BC8C79A" w14:textId="3D2FFF58">
      <w:pPr>
        <w:pStyle w:val="ParaNum"/>
        <w:numPr>
          <w:ilvl w:val="0"/>
          <w:numId w:val="2"/>
        </w:numPr>
        <w:tabs>
          <w:tab w:val="clear" w:pos="1080"/>
          <w:tab w:val="left" w:pos="1440"/>
        </w:tabs>
      </w:pPr>
      <w:r>
        <w:t xml:space="preserve">In this Order, the Consumer and Governmental Affairs Bureau (Bureau) of the Federal Communications Commission (FCC or Commission), on its own motion, extends </w:t>
      </w:r>
      <w:r w:rsidR="00F41589">
        <w:t xml:space="preserve">a </w:t>
      </w:r>
      <w:r w:rsidR="0035370A">
        <w:t>previo</w:t>
      </w:r>
      <w:r w:rsidR="00F41589">
        <w:t xml:space="preserve">usly granted </w:t>
      </w:r>
      <w:r>
        <w:t>waiver of the</w:t>
      </w:r>
      <w:r w:rsidR="00FC26D6">
        <w:t xml:space="preserve"> expiration of the</w:t>
      </w:r>
      <w:r>
        <w:t xml:space="preserve"> Telecommunications Relay Service (TRS) Fund compensation formula for </w:t>
      </w:r>
      <w:r w:rsidRPr="00963A7F" w:rsidR="00963A7F">
        <w:t>Internet Protocol Captioned Telephone Service (IP CTS)</w:t>
      </w:r>
      <w:r w:rsidR="00037A6B">
        <w:t xml:space="preserve">.  </w:t>
      </w:r>
      <w:r w:rsidR="001820DF">
        <w:t>The current compensation formula will continue to apply</w:t>
      </w:r>
      <w:r w:rsidR="008E0C9E">
        <w:t xml:space="preserve"> </w:t>
      </w:r>
      <w:r w:rsidR="000A3C36">
        <w:t>through the earlier of December 31</w:t>
      </w:r>
      <w:r w:rsidRPr="00131836" w:rsidR="000A3C36">
        <w:t>, 202</w:t>
      </w:r>
      <w:r w:rsidR="000A3C36">
        <w:t>3, or the effective date of Commission action establishing a revised compensation formula for that service</w:t>
      </w:r>
      <w:r>
        <w:t>.</w:t>
      </w:r>
      <w:r>
        <w:rPr>
          <w:rStyle w:val="FootnoteReference"/>
        </w:rPr>
        <w:footnoteReference w:id="3"/>
      </w:r>
    </w:p>
    <w:p w:rsidR="007B0EB3" w:rsidRPr="007B0EB3" w:rsidP="00EF37FF" w14:paraId="64033590" w14:textId="163B6892">
      <w:pPr>
        <w:pStyle w:val="ParaNum"/>
        <w:numPr>
          <w:ilvl w:val="0"/>
          <w:numId w:val="8"/>
        </w:numPr>
        <w:tabs>
          <w:tab w:val="clear" w:pos="1080"/>
          <w:tab w:val="left" w:pos="1440"/>
        </w:tabs>
      </w:pPr>
      <w:r w:rsidRPr="00EF37FF">
        <w:rPr>
          <w:i/>
          <w:iCs/>
        </w:rPr>
        <w:t xml:space="preserve">Background.  </w:t>
      </w:r>
      <w:r>
        <w:t xml:space="preserve">On June 30, 2022, the Bureau released an Order in which, among other things, </w:t>
      </w:r>
      <w:r w:rsidR="00585B0B">
        <w:t xml:space="preserve">it </w:t>
      </w:r>
      <w:r>
        <w:t xml:space="preserve">waived the expiration of the $1.30 per-minute </w:t>
      </w:r>
      <w:r w:rsidR="00206CCF">
        <w:t xml:space="preserve">IP CTS </w:t>
      </w:r>
      <w:r>
        <w:t>compensation formula, extending it through June 30, 2023, or the effective date of action by the Commission to establish compensation levels for IP CTS, whichever is earlier.</w:t>
      </w:r>
      <w:r>
        <w:rPr>
          <w:rStyle w:val="FootnoteReference"/>
        </w:rPr>
        <w:footnoteReference w:id="4"/>
      </w:r>
      <w:r w:rsidR="00521048">
        <w:t xml:space="preserve">  </w:t>
      </w:r>
      <w:r w:rsidRPr="00EF37FF" w:rsidR="00EF37FF">
        <w:t>In a notice of proposed rulemaking adopted in December 2022, the Commission sought</w:t>
      </w:r>
      <w:r w:rsidR="00EF37FF">
        <w:t xml:space="preserve"> </w:t>
      </w:r>
      <w:r w:rsidRPr="00EF37FF" w:rsidR="00EF37FF">
        <w:t>comment on setting IP CTS compensation for the next period.</w:t>
      </w:r>
      <w:r>
        <w:rPr>
          <w:rStyle w:val="FootnoteReference"/>
        </w:rPr>
        <w:footnoteReference w:id="5"/>
      </w:r>
      <w:r w:rsidRPr="00EF37FF" w:rsidR="00EF37FF">
        <w:t xml:space="preserve"> </w:t>
      </w:r>
      <w:r w:rsidR="00810693">
        <w:t xml:space="preserve"> </w:t>
      </w:r>
      <w:r w:rsidR="00287284">
        <w:t xml:space="preserve">Then, </w:t>
      </w:r>
      <w:r w:rsidR="00A31F57">
        <w:t>i</w:t>
      </w:r>
      <w:r w:rsidR="00287284">
        <w:t xml:space="preserve">n a June 2023 Order, the Bureau </w:t>
      </w:r>
      <w:r w:rsidR="002F4FBD">
        <w:t xml:space="preserve">extended the </w:t>
      </w:r>
      <w:r w:rsidR="00287284">
        <w:t>waive</w:t>
      </w:r>
      <w:r w:rsidR="002F4FBD">
        <w:t>r of</w:t>
      </w:r>
      <w:r w:rsidR="00287284">
        <w:t xml:space="preserve"> the expiration date of the IP CTS compensation formula until either November 30, 2023, or the effective date of Commission action establishing </w:t>
      </w:r>
      <w:r w:rsidR="00897EAA">
        <w:t xml:space="preserve">a </w:t>
      </w:r>
      <w:r w:rsidR="00287284">
        <w:t>new compensation formula, whichever is earlier.</w:t>
      </w:r>
      <w:r>
        <w:rPr>
          <w:rStyle w:val="FootnoteReference"/>
        </w:rPr>
        <w:footnoteReference w:id="6"/>
      </w:r>
      <w:r w:rsidR="00287284">
        <w:t xml:space="preserve"> </w:t>
      </w:r>
    </w:p>
    <w:p w:rsidR="00EE7866" w:rsidRPr="004A7F98" w:rsidP="00EE7866" w14:paraId="138F307B" w14:textId="77777777">
      <w:pPr>
        <w:pStyle w:val="ParaNum"/>
        <w:widowControl/>
        <w:numPr>
          <w:ilvl w:val="0"/>
          <w:numId w:val="2"/>
        </w:numPr>
        <w:tabs>
          <w:tab w:val="clear" w:pos="1080"/>
          <w:tab w:val="left" w:pos="1440"/>
        </w:tabs>
      </w:pPr>
      <w:r w:rsidRPr="026C2F58">
        <w:rPr>
          <w:i/>
        </w:rPr>
        <w:t>Waiver Standard.</w:t>
      </w:r>
      <w:r w:rsidRPr="026C2F58">
        <w:t xml:space="preserve">  A </w:t>
      </w:r>
      <w:r w:rsidRPr="00A675A8">
        <w:t>Commission</w:t>
      </w:r>
      <w:r w:rsidRPr="026C2F58">
        <w:t xml:space="preserve"> rule may be waived for “good cause shown.”</w:t>
      </w:r>
      <w:r>
        <w:rPr>
          <w:rStyle w:val="FootnoteReference"/>
          <w:szCs w:val="22"/>
        </w:rPr>
        <w:footnoteReference w:id="7"/>
      </w:r>
      <w:r w:rsidRPr="026C2F58">
        <w:t xml:space="preserve">  In particular, a waiver is appropriate where the particular facts make strict compliance inconsistent with the </w:t>
      </w:r>
      <w:r w:rsidRPr="026C2F58">
        <w:t>public interest.</w:t>
      </w:r>
      <w:r>
        <w:rPr>
          <w:rStyle w:val="FootnoteReference"/>
          <w:szCs w:val="22"/>
        </w:rPr>
        <w:footnoteReference w:id="8"/>
      </w:r>
      <w:r w:rsidRPr="026C2F58">
        <w:t xml:space="preserve">  In addition, we may take into account considerations of hardship, equity, or more effective implementation of overall policy on an individual basis.</w:t>
      </w:r>
      <w:r>
        <w:rPr>
          <w:rStyle w:val="FootnoteReference"/>
          <w:szCs w:val="22"/>
        </w:rPr>
        <w:footnoteReference w:id="9"/>
      </w:r>
      <w:r w:rsidRPr="026C2F58">
        <w:t xml:space="preserve">  Good cause for a waiver may be found if special circumstances warrant a deviation from the general rule and such deviation will serve the public interest.</w:t>
      </w:r>
      <w:r>
        <w:rPr>
          <w:rStyle w:val="FootnoteReference"/>
          <w:szCs w:val="22"/>
        </w:rPr>
        <w:footnoteReference w:id="10"/>
      </w:r>
      <w:r w:rsidRPr="006002B5">
        <w:rPr>
          <w:szCs w:val="22"/>
        </w:rPr>
        <w:t xml:space="preserve"> </w:t>
      </w:r>
    </w:p>
    <w:p w:rsidR="004E2927" w:rsidP="00EE7866" w14:paraId="2A00B42B" w14:textId="277956B4">
      <w:pPr>
        <w:pStyle w:val="ParaNum"/>
        <w:widowControl/>
        <w:numPr>
          <w:ilvl w:val="0"/>
          <w:numId w:val="2"/>
        </w:numPr>
        <w:tabs>
          <w:tab w:val="clear" w:pos="1080"/>
          <w:tab w:val="left" w:pos="1440"/>
        </w:tabs>
      </w:pPr>
      <w:r>
        <w:rPr>
          <w:i/>
          <w:iCs/>
        </w:rPr>
        <w:t xml:space="preserve">Discussion.  </w:t>
      </w:r>
      <w:r>
        <w:t xml:space="preserve">We find good cause to waive the </w:t>
      </w:r>
      <w:r w:rsidR="00D53694">
        <w:t xml:space="preserve">IP CTS </w:t>
      </w:r>
      <w:r>
        <w:t xml:space="preserve">compensation formula expiration date.  As we acknowledged in the </w:t>
      </w:r>
      <w:r w:rsidRPr="0015107E">
        <w:rPr>
          <w:i/>
          <w:iCs/>
        </w:rPr>
        <w:t>2023 Waiver Order</w:t>
      </w:r>
      <w:r>
        <w:t>, establishing an equitable methodology and compensation level</w:t>
      </w:r>
      <w:r w:rsidR="0015095D">
        <w:t>s</w:t>
      </w:r>
      <w:r>
        <w:t xml:space="preserve"> for </w:t>
      </w:r>
      <w:r w:rsidR="0027262B">
        <w:t>IP CTS</w:t>
      </w:r>
      <w:r>
        <w:t xml:space="preserve"> is inherently complex.</w:t>
      </w:r>
      <w:r>
        <w:rPr>
          <w:rStyle w:val="FootnoteReference"/>
        </w:rPr>
        <w:footnoteReference w:id="11"/>
      </w:r>
      <w:r>
        <w:t xml:space="preserve">  </w:t>
      </w:r>
      <w:r w:rsidR="00E56BAB">
        <w:t>While t</w:t>
      </w:r>
      <w:r>
        <w:t xml:space="preserve">he Commission has made significant progress toward completion of a revised </w:t>
      </w:r>
      <w:r w:rsidR="009C37DB">
        <w:t>IP CTS</w:t>
      </w:r>
      <w:r>
        <w:t xml:space="preserve"> compensation</w:t>
      </w:r>
      <w:r w:rsidR="006344EE">
        <w:t xml:space="preserve"> plan</w:t>
      </w:r>
      <w:r w:rsidR="00E56BAB">
        <w:t>,</w:t>
      </w:r>
      <w:r>
        <w:t xml:space="preserve"> the revised plan may not be finalized by the </w:t>
      </w:r>
      <w:r w:rsidR="00CA7C2E">
        <w:t>current</w:t>
      </w:r>
      <w:r w:rsidR="00D57C62">
        <w:t xml:space="preserve"> November 30</w:t>
      </w:r>
      <w:r>
        <w:t>, 2023, expiration date.</w:t>
      </w:r>
      <w:r w:rsidR="00D63870">
        <w:t xml:space="preserve">  </w:t>
      </w:r>
      <w:r>
        <w:t xml:space="preserve">Accordingly, it is </w:t>
      </w:r>
      <w:r w:rsidR="00EA7DB7">
        <w:t xml:space="preserve">appropriate </w:t>
      </w:r>
      <w:r>
        <w:t xml:space="preserve">to extend the existing compensation formula to provide certainty and stability to </w:t>
      </w:r>
      <w:r w:rsidR="00657A0B">
        <w:t xml:space="preserve">IP CTS </w:t>
      </w:r>
      <w:r>
        <w:t>providers pending final Commission action.</w:t>
      </w:r>
      <w:r w:rsidR="00EA7DB7">
        <w:t xml:space="preserve">  To do otherwise could deprive consumers with disabilities of the services they need to enjoy functionally equivalent telecommunications.</w:t>
      </w:r>
      <w:r w:rsidR="00AB239C">
        <w:t xml:space="preserve">  </w:t>
      </w:r>
    </w:p>
    <w:p w:rsidR="00EE7866" w:rsidP="00A63856" w14:paraId="77439DD8" w14:textId="7999D240">
      <w:pPr>
        <w:pStyle w:val="ParaNum"/>
        <w:numPr>
          <w:ilvl w:val="0"/>
          <w:numId w:val="2"/>
        </w:numPr>
      </w:pPr>
      <w:r>
        <w:t xml:space="preserve">Regarding the duration of this extension, we </w:t>
      </w:r>
      <w:r w:rsidR="007D155E">
        <w:t xml:space="preserve">anticipate </w:t>
      </w:r>
      <w:r w:rsidR="006469F9">
        <w:t xml:space="preserve">that the Commission will be able to </w:t>
      </w:r>
      <w:r w:rsidR="00AF220A">
        <w:t xml:space="preserve">adopt a decision in the near future, but it is </w:t>
      </w:r>
      <w:r w:rsidR="006469F9">
        <w:t>difficult to predict a specific date by which</w:t>
      </w:r>
      <w:r w:rsidR="00AF220A">
        <w:t xml:space="preserve"> that will occur. </w:t>
      </w:r>
      <w:r w:rsidR="006469F9">
        <w:t xml:space="preserve"> </w:t>
      </w:r>
      <w:r w:rsidR="00CC3D02">
        <w:t>We therefore</w:t>
      </w:r>
      <w:r w:rsidRPr="00781DA1" w:rsidR="00EA7DB7">
        <w:t xml:space="preserve"> direct the TRS Fund administrator to continue compensating </w:t>
      </w:r>
      <w:r w:rsidR="00174DCA">
        <w:t xml:space="preserve">eligible </w:t>
      </w:r>
      <w:r w:rsidR="00F0073F">
        <w:t>IP CTS</w:t>
      </w:r>
      <w:r w:rsidR="00EA7DB7">
        <w:t xml:space="preserve"> </w:t>
      </w:r>
      <w:r w:rsidRPr="00781DA1" w:rsidR="00EA7DB7">
        <w:t xml:space="preserve">providers under the current compensation formula </w:t>
      </w:r>
      <w:r w:rsidR="00EA7DB7">
        <w:t xml:space="preserve">through </w:t>
      </w:r>
      <w:r w:rsidR="00463B0D">
        <w:t xml:space="preserve">the earlier of </w:t>
      </w:r>
      <w:r w:rsidR="00F251AC">
        <w:t>December 31</w:t>
      </w:r>
      <w:r w:rsidR="0025241B">
        <w:t>, 2023</w:t>
      </w:r>
      <w:r w:rsidR="00EA7DB7">
        <w:t xml:space="preserve">, or the effective date of Commission action revising the applicable compensation formula. </w:t>
      </w:r>
      <w:r w:rsidRPr="00781DA1" w:rsidR="00EA7DB7">
        <w:t xml:space="preserve"> </w:t>
      </w:r>
      <w:r w:rsidR="007E7F43">
        <w:t xml:space="preserve">In other words, </w:t>
      </w:r>
      <w:r w:rsidR="00D341F0">
        <w:t xml:space="preserve">IP CTS providers shall continue to be paid $1.30 per minute for all compensable minutes.  </w:t>
      </w:r>
      <w:r w:rsidR="00A63856">
        <w:t xml:space="preserve">This action does not preclude a true-up of compensation for </w:t>
      </w:r>
      <w:r w:rsidR="00AC6B66">
        <w:t>IP CTS</w:t>
      </w:r>
      <w:r w:rsidR="00A63856">
        <w:t xml:space="preserve">, should the Commission deem that necessary after determining the applicable compensation formula.  </w:t>
      </w:r>
      <w:r w:rsidR="00EA7DB7">
        <w:t xml:space="preserve">Accordingly, until the expiration of this waiver, the current compensation formula for </w:t>
      </w:r>
      <w:r w:rsidR="004B280C">
        <w:t>IP CTS</w:t>
      </w:r>
      <w:r w:rsidR="00EA7DB7">
        <w:t xml:space="preserve"> remain</w:t>
      </w:r>
      <w:r w:rsidR="00A272D3">
        <w:t>s</w:t>
      </w:r>
      <w:r w:rsidR="00EA7DB7">
        <w:t xml:space="preserve"> effective.  </w:t>
      </w:r>
    </w:p>
    <w:p w:rsidR="00EE7866" w:rsidP="00EE7866" w14:paraId="5B00BDD9" w14:textId="77777777">
      <w:pPr>
        <w:pStyle w:val="ParaNum"/>
        <w:numPr>
          <w:ilvl w:val="0"/>
          <w:numId w:val="2"/>
        </w:numPr>
        <w:tabs>
          <w:tab w:val="clear" w:pos="1080"/>
          <w:tab w:val="left" w:pos="1440"/>
        </w:tabs>
      </w:pPr>
      <w:r w:rsidRPr="00E57947">
        <w:rPr>
          <w:i/>
          <w:iCs/>
        </w:rPr>
        <w:t>People with Disabilities</w:t>
      </w:r>
      <w:r>
        <w:t xml:space="preserve">. To request materials in accessible formats for people with disabilities (Braille, large print, electronic files, audio format), send an e-mail to </w:t>
      </w:r>
      <w:hyperlink r:id="rId5" w:history="1">
        <w:r w:rsidRPr="00566292">
          <w:rPr>
            <w:rStyle w:val="Hyperlink"/>
          </w:rPr>
          <w:t>fcc504@fcc.gov</w:t>
        </w:r>
      </w:hyperlink>
      <w:r>
        <w:t xml:space="preserve"> or call the Consumer and Governmental Affairs Bureau at 202-418-0530.</w:t>
      </w:r>
    </w:p>
    <w:p w:rsidR="00EE7866" w:rsidP="00EE7866" w14:paraId="46801263" w14:textId="39185576">
      <w:pPr>
        <w:pStyle w:val="ParaNum"/>
        <w:numPr>
          <w:ilvl w:val="0"/>
          <w:numId w:val="2"/>
        </w:numPr>
        <w:tabs>
          <w:tab w:val="clear" w:pos="1080"/>
          <w:tab w:val="left" w:pos="1440"/>
        </w:tabs>
      </w:pPr>
      <w:r w:rsidRPr="00E57947">
        <w:rPr>
          <w:i/>
          <w:iCs/>
        </w:rPr>
        <w:t>Additional Information</w:t>
      </w:r>
      <w:r>
        <w:t xml:space="preserve">. For further information regarding this item, please contact </w:t>
      </w:r>
      <w:r w:rsidR="00EA7DB7">
        <w:t>Michael Scott</w:t>
      </w:r>
      <w:r>
        <w:t>, Disability Rights Office, Consumer and Governmental Affairs Bureau, 202-418-</w:t>
      </w:r>
      <w:r w:rsidR="00EA7DB7">
        <w:t>1264</w:t>
      </w:r>
      <w:r>
        <w:t xml:space="preserve">, or </w:t>
      </w:r>
      <w:hyperlink r:id="rId6" w:history="1">
        <w:r w:rsidRPr="003B5C44" w:rsidR="00EA7DB7">
          <w:rPr>
            <w:rStyle w:val="Hyperlink"/>
          </w:rPr>
          <w:t>Michael.Scott@fcc.gov</w:t>
        </w:r>
      </w:hyperlink>
      <w:r>
        <w:t xml:space="preserve">.  </w:t>
      </w:r>
    </w:p>
    <w:p w:rsidR="00EE7866" w:rsidP="00EE7866" w14:paraId="3A4E30AA" w14:textId="77777777">
      <w:pPr>
        <w:pStyle w:val="ParaNum"/>
        <w:numPr>
          <w:ilvl w:val="0"/>
          <w:numId w:val="2"/>
        </w:numPr>
        <w:tabs>
          <w:tab w:val="clear" w:pos="1080"/>
          <w:tab w:val="left" w:pos="1440"/>
        </w:tabs>
      </w:pPr>
      <w:r>
        <w:t>Accordingly, IT IS ORDERED that, pursuant to sections 4(</w:t>
      </w:r>
      <w:r>
        <w:t>i</w:t>
      </w:r>
      <w:r>
        <w:t>), 4(j), and 225 of the Communications Act of 1934, as amended, 47 U.S.C. §§ 154(</w:t>
      </w:r>
      <w:r>
        <w:t>i</w:t>
      </w:r>
      <w:r>
        <w:t>), 154(j), 225, and sections 0.141, 0.361, and 1.3 of the Commission’s rules, 47 CFR §§ 0.141, 0.361, 1.3, this Order IS ADOPTED.</w:t>
      </w:r>
    </w:p>
    <w:p w:rsidR="00EE7866" w:rsidP="00EE7866" w14:paraId="64ADB549" w14:textId="06186744">
      <w:pPr>
        <w:pStyle w:val="ParaNum"/>
        <w:numPr>
          <w:ilvl w:val="0"/>
          <w:numId w:val="2"/>
        </w:numPr>
        <w:tabs>
          <w:tab w:val="clear" w:pos="1080"/>
          <w:tab w:val="left" w:pos="1440"/>
        </w:tabs>
      </w:pPr>
      <w:r>
        <w:t xml:space="preserve">IT IS FURTHER ORDERED that the TRS Fund administrator shall compensate eligible providers of </w:t>
      </w:r>
      <w:r w:rsidR="00657A0B">
        <w:t>IP CTS</w:t>
      </w:r>
      <w:r>
        <w:t xml:space="preserve"> in accordance with the formulas applicable on </w:t>
      </w:r>
      <w:r w:rsidR="00837E3F">
        <w:t>November 30</w:t>
      </w:r>
      <w:r>
        <w:t xml:space="preserve">, 2023, for the period through the earlier of </w:t>
      </w:r>
      <w:r w:rsidR="00440C6C">
        <w:t>December 31, 2023</w:t>
      </w:r>
      <w:r>
        <w:t>, or the effective date of Commission action establishing a revised compensation formula for that service</w:t>
      </w:r>
      <w:r w:rsidR="00554332">
        <w:t>.</w:t>
      </w:r>
    </w:p>
    <w:p w:rsidR="00533C30" w14:paraId="44CCA09F" w14:textId="77777777">
      <w:pPr>
        <w:widowControl/>
        <w:spacing w:after="160" w:line="259" w:lineRule="auto"/>
      </w:pPr>
      <w:r>
        <w:br w:type="page"/>
      </w:r>
    </w:p>
    <w:p w:rsidR="00EE7866" w:rsidP="00EE7866" w14:paraId="77108EF4" w14:textId="3C4F2F0C">
      <w:pPr>
        <w:pStyle w:val="ParaNum"/>
        <w:numPr>
          <w:ilvl w:val="0"/>
          <w:numId w:val="2"/>
        </w:numPr>
        <w:tabs>
          <w:tab w:val="clear" w:pos="1080"/>
          <w:tab w:val="left" w:pos="1440"/>
        </w:tabs>
      </w:pPr>
      <w:r>
        <w:t xml:space="preserve">IT IS FURTHER ORDERED that, pursuant to section 1.102(b)(1) of the Commission’s rules, 47 CFR § 1.102(b)(1), this Order SHALL BE EFFECTIVE upon release. </w:t>
      </w:r>
    </w:p>
    <w:p w:rsidR="00EE7866" w:rsidP="00EE7866" w14:paraId="514913E3" w14:textId="1EEE31B9">
      <w:pPr>
        <w:pStyle w:val="ParaNum"/>
        <w:numPr>
          <w:ilvl w:val="0"/>
          <w:numId w:val="0"/>
        </w:numPr>
        <w:tabs>
          <w:tab w:val="left" w:pos="1440"/>
        </w:tabs>
      </w:pPr>
    </w:p>
    <w:p w:rsidR="00EE7866" w:rsidP="00EE7866" w14:paraId="7B8CBF02" w14:textId="77777777">
      <w:pPr>
        <w:pStyle w:val="ParaNum"/>
        <w:numPr>
          <w:ilvl w:val="0"/>
          <w:numId w:val="0"/>
        </w:numPr>
        <w:tabs>
          <w:tab w:val="left" w:pos="1440"/>
        </w:tabs>
        <w:ind w:left="1440"/>
      </w:pPr>
      <w:r>
        <w:tab/>
      </w:r>
      <w:r>
        <w:tab/>
      </w:r>
      <w:r>
        <w:tab/>
      </w:r>
      <w:r>
        <w:tab/>
        <w:t xml:space="preserve">FEDERAL COMMUNICATIONS COMMISSION </w:t>
      </w:r>
      <w:r>
        <w:tab/>
      </w:r>
      <w:r>
        <w:tab/>
      </w:r>
      <w:r>
        <w:tab/>
      </w:r>
      <w:r>
        <w:tab/>
      </w:r>
      <w:r>
        <w:tab/>
      </w:r>
    </w:p>
    <w:p w:rsidR="00EE7866" w:rsidP="00EE7866" w14:paraId="61889DDF" w14:textId="77777777">
      <w:pPr>
        <w:pStyle w:val="ParaNum"/>
        <w:numPr>
          <w:ilvl w:val="0"/>
          <w:numId w:val="0"/>
        </w:numPr>
        <w:tabs>
          <w:tab w:val="left" w:pos="1440"/>
        </w:tabs>
        <w:ind w:left="1440"/>
      </w:pPr>
    </w:p>
    <w:p w:rsidR="00EE7866" w:rsidP="00EE7866" w14:paraId="511D4E73" w14:textId="77777777">
      <w:pPr>
        <w:pStyle w:val="ParaNum"/>
        <w:numPr>
          <w:ilvl w:val="0"/>
          <w:numId w:val="0"/>
        </w:numPr>
        <w:tabs>
          <w:tab w:val="left" w:pos="1440"/>
        </w:tabs>
        <w:ind w:left="1440"/>
      </w:pPr>
    </w:p>
    <w:p w:rsidR="00EE7866" w:rsidP="00EE7866" w14:paraId="6C5774D5" w14:textId="77777777">
      <w:pPr>
        <w:pStyle w:val="ParaNum"/>
        <w:numPr>
          <w:ilvl w:val="0"/>
          <w:numId w:val="0"/>
        </w:numPr>
        <w:tabs>
          <w:tab w:val="left" w:pos="1440"/>
        </w:tabs>
        <w:spacing w:after="0"/>
        <w:ind w:left="1440"/>
      </w:pPr>
      <w:r>
        <w:tab/>
      </w:r>
      <w:r>
        <w:tab/>
      </w:r>
      <w:r>
        <w:tab/>
      </w:r>
      <w:r>
        <w:tab/>
        <w:t xml:space="preserve">Alejandro Roark, Chief </w:t>
      </w:r>
    </w:p>
    <w:p w:rsidR="00EE7866" w:rsidRPr="0046607E" w:rsidP="00EE7866" w14:paraId="7229EE29" w14:textId="77777777">
      <w:pPr>
        <w:pStyle w:val="ParaNum"/>
        <w:numPr>
          <w:ilvl w:val="0"/>
          <w:numId w:val="0"/>
        </w:numPr>
        <w:tabs>
          <w:tab w:val="left" w:pos="1440"/>
        </w:tabs>
        <w:spacing w:after="0"/>
        <w:ind w:left="1440"/>
      </w:pPr>
      <w:r>
        <w:tab/>
      </w:r>
      <w:r>
        <w:tab/>
      </w:r>
      <w:r>
        <w:tab/>
      </w:r>
      <w:r>
        <w:tab/>
        <w:t>Consumer and Governmental Affairs Bureau</w:t>
      </w:r>
    </w:p>
    <w:p w:rsidR="00D641D3" w14:paraId="4DA2928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6D57A983" w14:textId="77777777">
    <w:pPr>
      <w:pStyle w:val="Footer"/>
      <w:framePr w:wrap="around" w:vAnchor="text" w:hAnchor="margin" w:xAlign="center" w:y="1"/>
    </w:pPr>
    <w:r>
      <w:fldChar w:fldCharType="begin"/>
    </w:r>
    <w:r>
      <w:instrText xml:space="preserve">PAGE  </w:instrText>
    </w:r>
    <w:r w:rsidR="004C5ED8">
      <w:fldChar w:fldCharType="separate"/>
    </w:r>
    <w:r>
      <w:fldChar w:fldCharType="end"/>
    </w:r>
  </w:p>
  <w:p w:rsidR="0015107E" w14:paraId="570EF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2E09AC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5107E" w14:paraId="441C525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765E31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E3C" w:rsidP="00EE7866" w14:paraId="4D6063F4" w14:textId="77777777">
      <w:r>
        <w:separator/>
      </w:r>
    </w:p>
  </w:footnote>
  <w:footnote w:type="continuationSeparator" w:id="1">
    <w:p w:rsidR="00570E3C" w:rsidP="00EE7866" w14:paraId="19B8B02B" w14:textId="77777777">
      <w:r>
        <w:continuationSeparator/>
      </w:r>
    </w:p>
  </w:footnote>
  <w:footnote w:type="continuationNotice" w:id="2">
    <w:p w:rsidR="00570E3C" w14:paraId="24A32FB0" w14:textId="77777777"/>
  </w:footnote>
  <w:footnote w:id="3">
    <w:p w:rsidR="00EE7866" w:rsidP="00EE7866" w14:paraId="2D2E51A7" w14:textId="6F7E7C06">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DA5C90">
        <w:t>;</w:t>
      </w:r>
      <w:r>
        <w:rPr>
          <w:i/>
          <w:iCs/>
        </w:rPr>
        <w:t xml:space="preserve"> Structure and Practices of the Video Relay Service Program,</w:t>
      </w:r>
      <w:r>
        <w:t xml:space="preserve"> CG Docket Nos. 03-123 and 10-51, Order, </w:t>
      </w:r>
      <w:r w:rsidR="0015107E">
        <w:t xml:space="preserve">DA </w:t>
      </w:r>
      <w:r>
        <w:t>23-577</w:t>
      </w:r>
      <w:r w:rsidR="00790D6C">
        <w:t xml:space="preserve"> at 6-7</w:t>
      </w:r>
      <w:r w:rsidR="00015E72">
        <w:t xml:space="preserve">, paras. </w:t>
      </w:r>
      <w:r w:rsidR="00F61BA3">
        <w:t>14-17</w:t>
      </w:r>
      <w:r>
        <w:t xml:space="preserve"> (</w:t>
      </w:r>
      <w:r w:rsidR="0015107E">
        <w:t xml:space="preserve">CGB </w:t>
      </w:r>
      <w:r>
        <w:t>June 30, 2023) (</w:t>
      </w:r>
      <w:r>
        <w:rPr>
          <w:i/>
          <w:iCs/>
        </w:rPr>
        <w:t>2023 Waiver Order</w:t>
      </w:r>
      <w:r>
        <w:t>).</w:t>
      </w:r>
    </w:p>
  </w:footnote>
  <w:footnote w:id="4">
    <w:p w:rsidR="00B07E2A" w14:paraId="31695534" w14:textId="69E33376">
      <w:pPr>
        <w:pStyle w:val="FootnoteText"/>
      </w:pPr>
      <w:r>
        <w:rPr>
          <w:rStyle w:val="FootnoteReference"/>
        </w:rPr>
        <w:footnoteRef/>
      </w:r>
      <w:r>
        <w:t xml:space="preserve"> </w:t>
      </w:r>
      <w:r w:rsidRPr="00B07E2A">
        <w:rPr>
          <w:i/>
          <w:iCs/>
        </w:rPr>
        <w:t>Telecommunications Relay Services and Speech-to-Speech Services for Individuals with Hearing and Speech Disabilities</w:t>
      </w:r>
      <w:r>
        <w:t xml:space="preserve">; </w:t>
      </w:r>
      <w:r w:rsidRPr="00B07E2A">
        <w:rPr>
          <w:i/>
          <w:iCs/>
        </w:rPr>
        <w:t>Structure and Practices of the Video Relay Service Program</w:t>
      </w:r>
      <w:r>
        <w:t>, CG Docket Nos. 03-123 and 10-51, Order,</w:t>
      </w:r>
      <w:r w:rsidR="002E078E">
        <w:t xml:space="preserve"> 3</w:t>
      </w:r>
      <w:r w:rsidR="00D24D4A">
        <w:t>7</w:t>
      </w:r>
      <w:r w:rsidR="002E078E">
        <w:t xml:space="preserve"> FCC </w:t>
      </w:r>
      <w:r w:rsidR="002E078E">
        <w:t>Rcd</w:t>
      </w:r>
      <w:r w:rsidR="002E078E">
        <w:t xml:space="preserve"> 7667</w:t>
      </w:r>
      <w:r>
        <w:t xml:space="preserve">, </w:t>
      </w:r>
      <w:r w:rsidR="00367429">
        <w:t>7670</w:t>
      </w:r>
      <w:r>
        <w:t>-</w:t>
      </w:r>
      <w:r w:rsidR="00161D54">
        <w:t>71</w:t>
      </w:r>
      <w:r>
        <w:t>, paras. 11-14 (CGB 2022).</w:t>
      </w:r>
    </w:p>
  </w:footnote>
  <w:footnote w:id="5">
    <w:p w:rsidR="00EF37FF" w:rsidP="00184DF0" w14:paraId="3052F361" w14:textId="7738B98C">
      <w:pPr>
        <w:pStyle w:val="FootnoteText"/>
      </w:pPr>
      <w:r>
        <w:rPr>
          <w:rStyle w:val="FootnoteReference"/>
        </w:rPr>
        <w:footnoteRef/>
      </w:r>
      <w:r>
        <w:t xml:space="preserve"> </w:t>
      </w:r>
      <w:r w:rsidRPr="00184DF0" w:rsidR="00184DF0">
        <w:rPr>
          <w:i/>
          <w:iCs/>
        </w:rPr>
        <w:t>Internet Protocol Captioned Telephone Service Compensation; Telecommunications Relay Services and Speech-to-Speech Services for Individuals with Hearing and Speech Disabilities; Misuse of Internet Protocol (IP) Captioned Telephone Service</w:t>
      </w:r>
      <w:r w:rsidR="00184DF0">
        <w:t>, CG Docket Nos. 22-408, 03-123, and 13-24, Notice of Proposed Rulemaking and Order on Reconsideration, FCC 22-97 (Dec. 22, 2022) (</w:t>
      </w:r>
      <w:r w:rsidRPr="00184DF0" w:rsidR="00184DF0">
        <w:rPr>
          <w:i/>
          <w:iCs/>
        </w:rPr>
        <w:t>2022 IP CTS Compensation Notice</w:t>
      </w:r>
      <w:r w:rsidR="00184DF0">
        <w:t>).</w:t>
      </w:r>
    </w:p>
  </w:footnote>
  <w:footnote w:id="6">
    <w:p w:rsidR="00A31F57" w:rsidRPr="00A31F57" w14:paraId="2CF5F2BC" w14:textId="633889E7">
      <w:pPr>
        <w:pStyle w:val="FootnoteText"/>
      </w:pPr>
      <w:r>
        <w:rPr>
          <w:rStyle w:val="FootnoteReference"/>
        </w:rPr>
        <w:footnoteRef/>
      </w:r>
      <w:r>
        <w:t xml:space="preserve"> </w:t>
      </w:r>
      <w:r w:rsidR="00F61BA3">
        <w:rPr>
          <w:i/>
          <w:iCs/>
        </w:rPr>
        <w:t>2023 Waiver Order</w:t>
      </w:r>
      <w:r w:rsidR="00685D4F">
        <w:t xml:space="preserve"> at 6-7, paras. 14-17</w:t>
      </w:r>
      <w:r>
        <w:t xml:space="preserve">. </w:t>
      </w:r>
    </w:p>
  </w:footnote>
  <w:footnote w:id="7">
    <w:p w:rsidR="00EE7866" w:rsidP="00EE7866" w14:paraId="58EFAA75" w14:textId="77777777">
      <w:pPr>
        <w:pStyle w:val="FootnoteText"/>
      </w:pPr>
      <w:r>
        <w:rPr>
          <w:rStyle w:val="FootnoteReference"/>
        </w:rPr>
        <w:footnoteRef/>
      </w:r>
      <w:r>
        <w:t xml:space="preserve"> 47 CFR § 1.3.</w:t>
      </w:r>
    </w:p>
  </w:footnote>
  <w:footnote w:id="8">
    <w:p w:rsidR="00EE7866" w:rsidP="00EE7866" w14:paraId="7D6B24F0" w14:textId="77777777">
      <w:pPr>
        <w:pStyle w:val="FootnoteText"/>
      </w:pPr>
      <w:r>
        <w:rPr>
          <w:rStyle w:val="FootnoteReference"/>
        </w:rPr>
        <w:footnoteRef/>
      </w:r>
      <w:r>
        <w:t xml:space="preserve"> </w:t>
      </w:r>
      <w:r>
        <w:rPr>
          <w:i/>
        </w:rPr>
        <w:t>Northeast Cellular Tel. Co. v. FCC</w:t>
      </w:r>
      <w:r>
        <w:t>, 897 F.2d 1164, 1166 (D.C. Cir. 1990).</w:t>
      </w:r>
    </w:p>
  </w:footnote>
  <w:footnote w:id="9">
    <w:p w:rsidR="00EE7866" w:rsidP="00EE7866" w14:paraId="1275149C"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0">
    <w:p w:rsidR="00EE7866" w:rsidP="00EE7866" w14:paraId="30A45D3E"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1">
    <w:p w:rsidR="004E2927" w14:paraId="760E9905" w14:textId="644F9C7D">
      <w:pPr>
        <w:pStyle w:val="FootnoteText"/>
      </w:pPr>
      <w:r>
        <w:rPr>
          <w:rStyle w:val="FootnoteReference"/>
        </w:rPr>
        <w:footnoteRef/>
      </w:r>
      <w:r>
        <w:t xml:space="preserve"> </w:t>
      </w:r>
      <w:r w:rsidR="0015107E">
        <w:rPr>
          <w:i/>
          <w:iCs/>
        </w:rPr>
        <w:t>2023 Waiver Order</w:t>
      </w:r>
      <w:r w:rsidRPr="004E2927" w:rsidR="0015107E">
        <w:rPr>
          <w:i/>
          <w:iCs/>
        </w:rPr>
        <w:t xml:space="preserve"> </w:t>
      </w:r>
      <w:r w:rsidR="0015107E">
        <w:t xml:space="preserve">at para.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14506B18" w14:textId="769D10F3">
    <w:pPr>
      <w:pStyle w:val="Header"/>
      <w:rPr>
        <w:b w:val="0"/>
      </w:rPr>
    </w:pPr>
    <w:r>
      <w:tab/>
      <w:t>Federal Communications Commission</w:t>
    </w:r>
    <w:r>
      <w:tab/>
      <w:t xml:space="preserve">DA </w:t>
    </w:r>
    <w:r w:rsidR="004C5ED8">
      <w:t>23-1091</w:t>
    </w:r>
  </w:p>
  <w:p w:rsidR="0015107E" w14:paraId="6C29278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5107E" w14:paraId="01DE15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7CF26483" w14:textId="051DBFE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AF2A9D">
      <w:tab/>
      <w:t>Federal Communications Commission</w:t>
    </w:r>
    <w:r w:rsidR="00AF2A9D">
      <w:tab/>
    </w:r>
    <w:r>
      <w:t>DA 23-1091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5"/>
    <w:lvlOverride w:ilvl="0">
      <w:startOverride w:val="1"/>
    </w:lvlOverride>
  </w:num>
  <w:num w:numId="3">
    <w:abstractNumId w:val="1"/>
  </w:num>
  <w:num w:numId="4">
    <w:abstractNumId w:val="3"/>
  </w:num>
  <w:num w:numId="5">
    <w:abstractNumId w:val="4"/>
  </w:num>
  <w:num w:numId="6">
    <w:abstractNumId w:val="2"/>
  </w:num>
  <w:num w:numId="7">
    <w:abstractNumId w:val="0"/>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EE7866"/>
    <w:rsid w:val="000154BF"/>
    <w:rsid w:val="00015E72"/>
    <w:rsid w:val="00036F3D"/>
    <w:rsid w:val="00037A6B"/>
    <w:rsid w:val="00042F93"/>
    <w:rsid w:val="000469AF"/>
    <w:rsid w:val="000555F1"/>
    <w:rsid w:val="00060F21"/>
    <w:rsid w:val="00065179"/>
    <w:rsid w:val="0007234A"/>
    <w:rsid w:val="000772CF"/>
    <w:rsid w:val="000A0880"/>
    <w:rsid w:val="000A3C36"/>
    <w:rsid w:val="000B1ED9"/>
    <w:rsid w:val="000C2E9A"/>
    <w:rsid w:val="000C5C7E"/>
    <w:rsid w:val="000D0F48"/>
    <w:rsid w:val="000F273F"/>
    <w:rsid w:val="00105868"/>
    <w:rsid w:val="001225A1"/>
    <w:rsid w:val="001231D9"/>
    <w:rsid w:val="00124C0B"/>
    <w:rsid w:val="00130AD8"/>
    <w:rsid w:val="00131836"/>
    <w:rsid w:val="00140D9F"/>
    <w:rsid w:val="001418D3"/>
    <w:rsid w:val="0015095D"/>
    <w:rsid w:val="0015107E"/>
    <w:rsid w:val="001518C0"/>
    <w:rsid w:val="00161D54"/>
    <w:rsid w:val="0017287F"/>
    <w:rsid w:val="00174DCA"/>
    <w:rsid w:val="001820DF"/>
    <w:rsid w:val="00184DF0"/>
    <w:rsid w:val="001A0206"/>
    <w:rsid w:val="001A784A"/>
    <w:rsid w:val="001B22EA"/>
    <w:rsid w:val="001D52C9"/>
    <w:rsid w:val="001F277F"/>
    <w:rsid w:val="001F444C"/>
    <w:rsid w:val="00205340"/>
    <w:rsid w:val="00206CCF"/>
    <w:rsid w:val="00211A0A"/>
    <w:rsid w:val="00223DBD"/>
    <w:rsid w:val="00251AD9"/>
    <w:rsid w:val="0025241B"/>
    <w:rsid w:val="0026618E"/>
    <w:rsid w:val="0027262B"/>
    <w:rsid w:val="002834CA"/>
    <w:rsid w:val="00286718"/>
    <w:rsid w:val="00287284"/>
    <w:rsid w:val="00292356"/>
    <w:rsid w:val="002A385F"/>
    <w:rsid w:val="002B6E44"/>
    <w:rsid w:val="002C1166"/>
    <w:rsid w:val="002C6471"/>
    <w:rsid w:val="002D1E48"/>
    <w:rsid w:val="002D7BB5"/>
    <w:rsid w:val="002E078E"/>
    <w:rsid w:val="002F4FBD"/>
    <w:rsid w:val="00310851"/>
    <w:rsid w:val="003132B1"/>
    <w:rsid w:val="003177C9"/>
    <w:rsid w:val="0032250D"/>
    <w:rsid w:val="00333363"/>
    <w:rsid w:val="00345221"/>
    <w:rsid w:val="0035370A"/>
    <w:rsid w:val="003570E0"/>
    <w:rsid w:val="00367429"/>
    <w:rsid w:val="003959F0"/>
    <w:rsid w:val="003A0C03"/>
    <w:rsid w:val="003A6BF1"/>
    <w:rsid w:val="003B5C44"/>
    <w:rsid w:val="00404EFA"/>
    <w:rsid w:val="00431770"/>
    <w:rsid w:val="00440C6C"/>
    <w:rsid w:val="00451B0E"/>
    <w:rsid w:val="00460026"/>
    <w:rsid w:val="00462B79"/>
    <w:rsid w:val="00463B0D"/>
    <w:rsid w:val="0046607E"/>
    <w:rsid w:val="004679FA"/>
    <w:rsid w:val="00492A22"/>
    <w:rsid w:val="0049586D"/>
    <w:rsid w:val="004A7F98"/>
    <w:rsid w:val="004B280C"/>
    <w:rsid w:val="004C4476"/>
    <w:rsid w:val="004C5ED8"/>
    <w:rsid w:val="004C72AB"/>
    <w:rsid w:val="004E014F"/>
    <w:rsid w:val="004E2927"/>
    <w:rsid w:val="004E4516"/>
    <w:rsid w:val="005073C8"/>
    <w:rsid w:val="00507E0A"/>
    <w:rsid w:val="00516BB2"/>
    <w:rsid w:val="00521048"/>
    <w:rsid w:val="0052481C"/>
    <w:rsid w:val="00524D03"/>
    <w:rsid w:val="005259D4"/>
    <w:rsid w:val="00533C30"/>
    <w:rsid w:val="005463E2"/>
    <w:rsid w:val="00554332"/>
    <w:rsid w:val="00557983"/>
    <w:rsid w:val="00566292"/>
    <w:rsid w:val="00570E3C"/>
    <w:rsid w:val="00585B0B"/>
    <w:rsid w:val="00587DA1"/>
    <w:rsid w:val="00594586"/>
    <w:rsid w:val="005A0902"/>
    <w:rsid w:val="005A17CC"/>
    <w:rsid w:val="005A56FA"/>
    <w:rsid w:val="005A6BD3"/>
    <w:rsid w:val="005D114D"/>
    <w:rsid w:val="005D5CD6"/>
    <w:rsid w:val="005D72E9"/>
    <w:rsid w:val="005E330B"/>
    <w:rsid w:val="005E644D"/>
    <w:rsid w:val="005F3915"/>
    <w:rsid w:val="006002B5"/>
    <w:rsid w:val="006074B4"/>
    <w:rsid w:val="0061038D"/>
    <w:rsid w:val="00623248"/>
    <w:rsid w:val="006258D2"/>
    <w:rsid w:val="006344EE"/>
    <w:rsid w:val="006371B6"/>
    <w:rsid w:val="00641710"/>
    <w:rsid w:val="006469F9"/>
    <w:rsid w:val="00657A0B"/>
    <w:rsid w:val="00661DE4"/>
    <w:rsid w:val="00685D4F"/>
    <w:rsid w:val="00690CCE"/>
    <w:rsid w:val="0069178F"/>
    <w:rsid w:val="006947C6"/>
    <w:rsid w:val="00694E2B"/>
    <w:rsid w:val="006A65ED"/>
    <w:rsid w:val="006B6F4E"/>
    <w:rsid w:val="006C4C7A"/>
    <w:rsid w:val="006C59AA"/>
    <w:rsid w:val="006D4013"/>
    <w:rsid w:val="006D63C8"/>
    <w:rsid w:val="006F2B2D"/>
    <w:rsid w:val="006F64AD"/>
    <w:rsid w:val="0070224F"/>
    <w:rsid w:val="0070713C"/>
    <w:rsid w:val="0071042F"/>
    <w:rsid w:val="007115F7"/>
    <w:rsid w:val="00714F34"/>
    <w:rsid w:val="007177B4"/>
    <w:rsid w:val="0073072A"/>
    <w:rsid w:val="00737BFE"/>
    <w:rsid w:val="00752A37"/>
    <w:rsid w:val="00752DF4"/>
    <w:rsid w:val="00755854"/>
    <w:rsid w:val="00762162"/>
    <w:rsid w:val="007658FC"/>
    <w:rsid w:val="007768D4"/>
    <w:rsid w:val="007817FF"/>
    <w:rsid w:val="00781DA1"/>
    <w:rsid w:val="00785615"/>
    <w:rsid w:val="00790CA1"/>
    <w:rsid w:val="00790D6C"/>
    <w:rsid w:val="0079540E"/>
    <w:rsid w:val="007A7F4D"/>
    <w:rsid w:val="007B0EB3"/>
    <w:rsid w:val="007D155E"/>
    <w:rsid w:val="007D4AF9"/>
    <w:rsid w:val="007E7F43"/>
    <w:rsid w:val="00810693"/>
    <w:rsid w:val="0081422B"/>
    <w:rsid w:val="008175D1"/>
    <w:rsid w:val="00821A8B"/>
    <w:rsid w:val="00837E3F"/>
    <w:rsid w:val="00843850"/>
    <w:rsid w:val="00853EED"/>
    <w:rsid w:val="008605F3"/>
    <w:rsid w:val="00862454"/>
    <w:rsid w:val="00885083"/>
    <w:rsid w:val="00893AC6"/>
    <w:rsid w:val="00897EAA"/>
    <w:rsid w:val="008A0BCF"/>
    <w:rsid w:val="008A5FB9"/>
    <w:rsid w:val="008A7F3A"/>
    <w:rsid w:val="008E0C9E"/>
    <w:rsid w:val="008E743D"/>
    <w:rsid w:val="00900E28"/>
    <w:rsid w:val="00901631"/>
    <w:rsid w:val="00903785"/>
    <w:rsid w:val="009150EC"/>
    <w:rsid w:val="009332FF"/>
    <w:rsid w:val="009405CA"/>
    <w:rsid w:val="00963A7F"/>
    <w:rsid w:val="00983235"/>
    <w:rsid w:val="009C37DB"/>
    <w:rsid w:val="009D6BDF"/>
    <w:rsid w:val="009E4F82"/>
    <w:rsid w:val="009F1162"/>
    <w:rsid w:val="009F26DD"/>
    <w:rsid w:val="00A05EB9"/>
    <w:rsid w:val="00A272D3"/>
    <w:rsid w:val="00A31974"/>
    <w:rsid w:val="00A31F57"/>
    <w:rsid w:val="00A63856"/>
    <w:rsid w:val="00A63F8D"/>
    <w:rsid w:val="00A675A8"/>
    <w:rsid w:val="00A80C01"/>
    <w:rsid w:val="00A84AED"/>
    <w:rsid w:val="00A87607"/>
    <w:rsid w:val="00A93D5F"/>
    <w:rsid w:val="00AA7839"/>
    <w:rsid w:val="00AB239C"/>
    <w:rsid w:val="00AC2E1A"/>
    <w:rsid w:val="00AC6B66"/>
    <w:rsid w:val="00AE0D08"/>
    <w:rsid w:val="00AF220A"/>
    <w:rsid w:val="00AF2A9D"/>
    <w:rsid w:val="00AF3978"/>
    <w:rsid w:val="00B07E2A"/>
    <w:rsid w:val="00B139F2"/>
    <w:rsid w:val="00B47FFA"/>
    <w:rsid w:val="00B61FD4"/>
    <w:rsid w:val="00B8055E"/>
    <w:rsid w:val="00B9031E"/>
    <w:rsid w:val="00BB407D"/>
    <w:rsid w:val="00BD7281"/>
    <w:rsid w:val="00C00CC6"/>
    <w:rsid w:val="00C070F1"/>
    <w:rsid w:val="00C16F48"/>
    <w:rsid w:val="00C17EFD"/>
    <w:rsid w:val="00C34D6F"/>
    <w:rsid w:val="00C42F9D"/>
    <w:rsid w:val="00C8299B"/>
    <w:rsid w:val="00C9426E"/>
    <w:rsid w:val="00CA500C"/>
    <w:rsid w:val="00CA7C2E"/>
    <w:rsid w:val="00CB4E52"/>
    <w:rsid w:val="00CC37B4"/>
    <w:rsid w:val="00CC3D02"/>
    <w:rsid w:val="00CD1F69"/>
    <w:rsid w:val="00CE2C98"/>
    <w:rsid w:val="00D13A15"/>
    <w:rsid w:val="00D16D13"/>
    <w:rsid w:val="00D24D4A"/>
    <w:rsid w:val="00D3322D"/>
    <w:rsid w:val="00D332E8"/>
    <w:rsid w:val="00D341F0"/>
    <w:rsid w:val="00D43BDD"/>
    <w:rsid w:val="00D53694"/>
    <w:rsid w:val="00D57C62"/>
    <w:rsid w:val="00D62B5B"/>
    <w:rsid w:val="00D63870"/>
    <w:rsid w:val="00D641D3"/>
    <w:rsid w:val="00D723B9"/>
    <w:rsid w:val="00D7685B"/>
    <w:rsid w:val="00D8641A"/>
    <w:rsid w:val="00D87E07"/>
    <w:rsid w:val="00DA2095"/>
    <w:rsid w:val="00DA55D3"/>
    <w:rsid w:val="00DA5C90"/>
    <w:rsid w:val="00DB4427"/>
    <w:rsid w:val="00DC0F0D"/>
    <w:rsid w:val="00DD243A"/>
    <w:rsid w:val="00DD764A"/>
    <w:rsid w:val="00DE402E"/>
    <w:rsid w:val="00DF0A25"/>
    <w:rsid w:val="00DF0C8B"/>
    <w:rsid w:val="00E00835"/>
    <w:rsid w:val="00E17955"/>
    <w:rsid w:val="00E335CD"/>
    <w:rsid w:val="00E34AC1"/>
    <w:rsid w:val="00E54FEB"/>
    <w:rsid w:val="00E56BAB"/>
    <w:rsid w:val="00E57947"/>
    <w:rsid w:val="00E81C5C"/>
    <w:rsid w:val="00E8273B"/>
    <w:rsid w:val="00E86247"/>
    <w:rsid w:val="00E8649B"/>
    <w:rsid w:val="00EA72AF"/>
    <w:rsid w:val="00EA7DB7"/>
    <w:rsid w:val="00EB0B3D"/>
    <w:rsid w:val="00ED34C3"/>
    <w:rsid w:val="00EE7866"/>
    <w:rsid w:val="00EF0549"/>
    <w:rsid w:val="00EF37FF"/>
    <w:rsid w:val="00EF5253"/>
    <w:rsid w:val="00F0073F"/>
    <w:rsid w:val="00F251AC"/>
    <w:rsid w:val="00F41589"/>
    <w:rsid w:val="00F44A94"/>
    <w:rsid w:val="00F450F2"/>
    <w:rsid w:val="00F54AC7"/>
    <w:rsid w:val="00F61BA3"/>
    <w:rsid w:val="00F6671D"/>
    <w:rsid w:val="00F72BC5"/>
    <w:rsid w:val="00F85BD3"/>
    <w:rsid w:val="00FA6307"/>
    <w:rsid w:val="00FB310A"/>
    <w:rsid w:val="00FC26D6"/>
    <w:rsid w:val="00FC6C86"/>
    <w:rsid w:val="00FD5C09"/>
    <w:rsid w:val="00FD715A"/>
    <w:rsid w:val="00FF1C48"/>
    <w:rsid w:val="026C2F58"/>
    <w:rsid w:val="40AEC8FC"/>
    <w:rsid w:val="7260C3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272483"/>
  <w15:chartTrackingRefBased/>
  <w15:docId w15:val="{4409BF6E-C659-4314-8A8B-F8103BD7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ED8"/>
    <w:pPr>
      <w:widowControl w:val="0"/>
      <w:spacing w:after="0" w:line="240" w:lineRule="auto"/>
    </w:pPr>
    <w:rPr>
      <w:rFonts w:ascii="Times New Roman" w:eastAsia="Times New Roman" w:hAnsi="Times New Roman" w:cs="Times New Roman"/>
      <w:snapToGrid w:val="0"/>
      <w:kern w:val="28"/>
      <w:szCs w:val="20"/>
      <w14:ligatures w14:val="none"/>
    </w:rPr>
  </w:style>
  <w:style w:type="paragraph" w:styleId="Heading1">
    <w:name w:val="heading 1"/>
    <w:basedOn w:val="Normal"/>
    <w:next w:val="ParaNum"/>
    <w:link w:val="Heading1Char"/>
    <w:qFormat/>
    <w:rsid w:val="004C5ED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5ED8"/>
    <w:pPr>
      <w:keepNext/>
      <w:numPr>
        <w:ilvl w:val="1"/>
        <w:numId w:val="4"/>
      </w:numPr>
      <w:spacing w:after="120"/>
      <w:outlineLvl w:val="1"/>
    </w:pPr>
    <w:rPr>
      <w:b/>
    </w:rPr>
  </w:style>
  <w:style w:type="paragraph" w:styleId="Heading3">
    <w:name w:val="heading 3"/>
    <w:basedOn w:val="Normal"/>
    <w:next w:val="ParaNum"/>
    <w:link w:val="Heading3Char"/>
    <w:qFormat/>
    <w:rsid w:val="004C5ED8"/>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4C5ED8"/>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4C5ED8"/>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4C5ED8"/>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4C5ED8"/>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4C5ED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C5ED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5E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ED8"/>
  </w:style>
  <w:style w:type="paragraph" w:customStyle="1" w:styleId="ParaNum">
    <w:name w:val="ParaNum"/>
    <w:basedOn w:val="Normal"/>
    <w:link w:val="ParaNumChar"/>
    <w:rsid w:val="004C5ED8"/>
    <w:pPr>
      <w:numPr>
        <w:numId w:val="1"/>
      </w:numPr>
      <w:tabs>
        <w:tab w:val="clear" w:pos="1080"/>
        <w:tab w:val="num" w:pos="1440"/>
      </w:tabs>
      <w:spacing w:after="120"/>
    </w:p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4C5ED8"/>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EE7866"/>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C5ED8"/>
    <w:rPr>
      <w:rFonts w:ascii="Times New Roman" w:hAnsi="Times New Roman"/>
      <w:dstrike w:val="0"/>
      <w:color w:val="auto"/>
      <w:sz w:val="20"/>
      <w:vertAlign w:val="superscript"/>
    </w:rPr>
  </w:style>
  <w:style w:type="paragraph" w:styleId="Header">
    <w:name w:val="header"/>
    <w:basedOn w:val="Normal"/>
    <w:link w:val="HeaderChar"/>
    <w:autoRedefine/>
    <w:rsid w:val="004C5ED8"/>
    <w:pPr>
      <w:tabs>
        <w:tab w:val="center" w:pos="4680"/>
        <w:tab w:val="right" w:pos="9360"/>
      </w:tabs>
    </w:pPr>
    <w:rPr>
      <w:b/>
    </w:rPr>
  </w:style>
  <w:style w:type="character" w:customStyle="1" w:styleId="HeaderChar">
    <w:name w:val="Header Char"/>
    <w:basedOn w:val="DefaultParagraphFont"/>
    <w:link w:val="Header"/>
    <w:rsid w:val="00EE7866"/>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4C5ED8"/>
    <w:pPr>
      <w:tabs>
        <w:tab w:val="center" w:pos="4320"/>
        <w:tab w:val="right" w:pos="8640"/>
      </w:tabs>
    </w:pPr>
  </w:style>
  <w:style w:type="character" w:customStyle="1" w:styleId="FooterChar">
    <w:name w:val="Footer Char"/>
    <w:link w:val="Footer"/>
    <w:uiPriority w:val="99"/>
    <w:rsid w:val="004C5ED8"/>
    <w:rPr>
      <w:rFonts w:ascii="Times New Roman" w:eastAsia="Times New Roman" w:hAnsi="Times New Roman" w:cs="Times New Roman"/>
      <w:snapToGrid w:val="0"/>
      <w:kern w:val="28"/>
      <w:szCs w:val="20"/>
      <w14:ligatures w14:val="none"/>
    </w:rPr>
  </w:style>
  <w:style w:type="paragraph" w:customStyle="1" w:styleId="StyleBoldCentered">
    <w:name w:val="Style Bold Centered"/>
    <w:basedOn w:val="Normal"/>
    <w:rsid w:val="004C5ED8"/>
    <w:pPr>
      <w:jc w:val="center"/>
    </w:pPr>
    <w:rPr>
      <w:rFonts w:ascii="Times New Roman Bold" w:hAnsi="Times New Roman Bold"/>
      <w:b/>
      <w:bCs/>
      <w:caps/>
      <w:szCs w:val="22"/>
    </w:rPr>
  </w:style>
  <w:style w:type="character" w:styleId="Hyperlink">
    <w:name w:val="Hyperlink"/>
    <w:rsid w:val="004C5ED8"/>
    <w:rPr>
      <w:color w:val="0000FF"/>
      <w:u w:val="single"/>
    </w:rPr>
  </w:style>
  <w:style w:type="character" w:customStyle="1" w:styleId="ParaNumChar">
    <w:name w:val="ParaNum Char"/>
    <w:link w:val="ParaNum"/>
    <w:locked/>
    <w:rsid w:val="00EE7866"/>
    <w:rPr>
      <w:rFonts w:ascii="Times New Roman" w:eastAsia="Times New Roman" w:hAnsi="Times New Roman" w:cs="Times New Roman"/>
      <w:snapToGrid w:val="0"/>
      <w:kern w:val="28"/>
      <w:szCs w:val="20"/>
      <w14:ligatures w14:val="none"/>
    </w:rPr>
  </w:style>
  <w:style w:type="character" w:styleId="UnresolvedMention">
    <w:name w:val="Unresolved Mention"/>
    <w:basedOn w:val="DefaultParagraphFont"/>
    <w:uiPriority w:val="99"/>
    <w:semiHidden/>
    <w:unhideWhenUsed/>
    <w:rsid w:val="00EA7DB7"/>
    <w:rPr>
      <w:color w:val="605E5C"/>
      <w:shd w:val="clear" w:color="auto" w:fill="E1DFDD"/>
    </w:rPr>
  </w:style>
  <w:style w:type="paragraph" w:styleId="Revision">
    <w:name w:val="Revision"/>
    <w:hidden/>
    <w:uiPriority w:val="99"/>
    <w:semiHidden/>
    <w:rsid w:val="00D7685B"/>
    <w:pPr>
      <w:spacing w:after="0" w:line="240" w:lineRule="auto"/>
    </w:pPr>
    <w:rPr>
      <w:rFonts w:ascii="Times New Roman" w:eastAsia="Times New Roman" w:hAnsi="Times New Roman" w:cs="Times New Roman"/>
      <w:snapToGrid w:val="0"/>
      <w:kern w:val="28"/>
      <w:szCs w:val="20"/>
      <w14:ligatures w14:val="none"/>
    </w:rPr>
  </w:style>
  <w:style w:type="character" w:styleId="CommentReference">
    <w:name w:val="annotation reference"/>
    <w:basedOn w:val="DefaultParagraphFont"/>
    <w:uiPriority w:val="99"/>
    <w:semiHidden/>
    <w:unhideWhenUsed/>
    <w:rsid w:val="006947C6"/>
    <w:rPr>
      <w:sz w:val="16"/>
      <w:szCs w:val="16"/>
    </w:rPr>
  </w:style>
  <w:style w:type="paragraph" w:styleId="CommentText">
    <w:name w:val="annotation text"/>
    <w:basedOn w:val="Normal"/>
    <w:link w:val="CommentTextChar"/>
    <w:uiPriority w:val="99"/>
    <w:unhideWhenUsed/>
    <w:rsid w:val="006947C6"/>
    <w:rPr>
      <w:sz w:val="20"/>
    </w:rPr>
  </w:style>
  <w:style w:type="character" w:customStyle="1" w:styleId="CommentTextChar">
    <w:name w:val="Comment Text Char"/>
    <w:basedOn w:val="DefaultParagraphFont"/>
    <w:link w:val="CommentText"/>
    <w:uiPriority w:val="99"/>
    <w:rsid w:val="006947C6"/>
    <w:rPr>
      <w:rFonts w:ascii="Times New Roman" w:eastAsia="Times New Roman" w:hAnsi="Times New Roman" w:cs="Times New Roman"/>
      <w:snapToGrid w:val="0"/>
      <w:kern w:val="28"/>
      <w:sz w:val="20"/>
      <w:szCs w:val="20"/>
      <w14:ligatures w14:val="none"/>
    </w:rPr>
  </w:style>
  <w:style w:type="paragraph" w:styleId="CommentSubject">
    <w:name w:val="annotation subject"/>
    <w:basedOn w:val="CommentText"/>
    <w:next w:val="CommentText"/>
    <w:link w:val="CommentSubjectChar"/>
    <w:uiPriority w:val="99"/>
    <w:semiHidden/>
    <w:unhideWhenUsed/>
    <w:rsid w:val="006947C6"/>
    <w:rPr>
      <w:b/>
      <w:bCs/>
    </w:rPr>
  </w:style>
  <w:style w:type="character" w:customStyle="1" w:styleId="CommentSubjectChar">
    <w:name w:val="Comment Subject Char"/>
    <w:basedOn w:val="CommentTextChar"/>
    <w:link w:val="CommentSubject"/>
    <w:uiPriority w:val="99"/>
    <w:semiHidden/>
    <w:rsid w:val="006947C6"/>
    <w:rPr>
      <w:rFonts w:ascii="Times New Roman" w:eastAsia="Times New Roman" w:hAnsi="Times New Roman" w:cs="Times New Roman"/>
      <w:b/>
      <w:bCs/>
      <w:snapToGrid w:val="0"/>
      <w:kern w:val="28"/>
      <w:sz w:val="20"/>
      <w:szCs w:val="20"/>
      <w14:ligatures w14:val="none"/>
    </w:rPr>
  </w:style>
  <w:style w:type="character" w:customStyle="1" w:styleId="Heading1Char">
    <w:name w:val="Heading 1 Char"/>
    <w:basedOn w:val="DefaultParagraphFont"/>
    <w:link w:val="Heading1"/>
    <w:rsid w:val="00B8055E"/>
    <w:rPr>
      <w:rFonts w:ascii="Times New Roman Bold" w:eastAsia="Times New Roman" w:hAnsi="Times New Roman Bold" w:cs="Times New Roman"/>
      <w:b/>
      <w:caps/>
      <w:snapToGrid w:val="0"/>
      <w:kern w:val="28"/>
      <w:szCs w:val="20"/>
      <w14:ligatures w14:val="none"/>
    </w:rPr>
  </w:style>
  <w:style w:type="character" w:customStyle="1" w:styleId="Heading2Char">
    <w:name w:val="Heading 2 Char"/>
    <w:basedOn w:val="DefaultParagraphFont"/>
    <w:link w:val="Heading2"/>
    <w:rsid w:val="00B8055E"/>
    <w:rPr>
      <w:rFonts w:ascii="Times New Roman" w:eastAsia="Times New Roman" w:hAnsi="Times New Roman" w:cs="Times New Roman"/>
      <w:b/>
      <w:snapToGrid w:val="0"/>
      <w:kern w:val="28"/>
      <w:szCs w:val="20"/>
      <w14:ligatures w14:val="none"/>
    </w:rPr>
  </w:style>
  <w:style w:type="character" w:customStyle="1" w:styleId="Heading3Char">
    <w:name w:val="Heading 3 Char"/>
    <w:basedOn w:val="DefaultParagraphFont"/>
    <w:link w:val="Heading3"/>
    <w:rsid w:val="00B8055E"/>
    <w:rPr>
      <w:rFonts w:ascii="Times New Roman" w:eastAsia="Times New Roman" w:hAnsi="Times New Roman" w:cs="Times New Roman"/>
      <w:b/>
      <w:snapToGrid w:val="0"/>
      <w:kern w:val="28"/>
      <w:szCs w:val="20"/>
      <w14:ligatures w14:val="none"/>
    </w:rPr>
  </w:style>
  <w:style w:type="character" w:customStyle="1" w:styleId="Heading4Char">
    <w:name w:val="Heading 4 Char"/>
    <w:basedOn w:val="DefaultParagraphFont"/>
    <w:link w:val="Heading4"/>
    <w:rsid w:val="00B8055E"/>
    <w:rPr>
      <w:rFonts w:ascii="Times New Roman" w:eastAsia="Times New Roman" w:hAnsi="Times New Roman" w:cs="Times New Roman"/>
      <w:b/>
      <w:snapToGrid w:val="0"/>
      <w:kern w:val="28"/>
      <w:szCs w:val="20"/>
      <w14:ligatures w14:val="none"/>
    </w:rPr>
  </w:style>
  <w:style w:type="character" w:customStyle="1" w:styleId="Heading5Char">
    <w:name w:val="Heading 5 Char"/>
    <w:basedOn w:val="DefaultParagraphFont"/>
    <w:link w:val="Heading5"/>
    <w:rsid w:val="00B8055E"/>
    <w:rPr>
      <w:rFonts w:ascii="Times New Roman" w:eastAsia="Times New Roman" w:hAnsi="Times New Roman" w:cs="Times New Roman"/>
      <w:b/>
      <w:snapToGrid w:val="0"/>
      <w:kern w:val="28"/>
      <w:szCs w:val="20"/>
      <w14:ligatures w14:val="none"/>
    </w:rPr>
  </w:style>
  <w:style w:type="character" w:customStyle="1" w:styleId="Heading6Char">
    <w:name w:val="Heading 6 Char"/>
    <w:basedOn w:val="DefaultParagraphFont"/>
    <w:link w:val="Heading6"/>
    <w:rsid w:val="00B8055E"/>
    <w:rPr>
      <w:rFonts w:ascii="Times New Roman" w:eastAsia="Times New Roman" w:hAnsi="Times New Roman" w:cs="Times New Roman"/>
      <w:b/>
      <w:snapToGrid w:val="0"/>
      <w:kern w:val="28"/>
      <w:szCs w:val="20"/>
      <w14:ligatures w14:val="none"/>
    </w:rPr>
  </w:style>
  <w:style w:type="character" w:customStyle="1" w:styleId="Heading7Char">
    <w:name w:val="Heading 7 Char"/>
    <w:basedOn w:val="DefaultParagraphFont"/>
    <w:link w:val="Heading7"/>
    <w:rsid w:val="00B8055E"/>
    <w:rPr>
      <w:rFonts w:ascii="Times New Roman" w:eastAsia="Times New Roman" w:hAnsi="Times New Roman" w:cs="Times New Roman"/>
      <w:b/>
      <w:snapToGrid w:val="0"/>
      <w:kern w:val="28"/>
      <w:szCs w:val="20"/>
      <w14:ligatures w14:val="none"/>
    </w:rPr>
  </w:style>
  <w:style w:type="character" w:customStyle="1" w:styleId="Heading8Char">
    <w:name w:val="Heading 8 Char"/>
    <w:basedOn w:val="DefaultParagraphFont"/>
    <w:link w:val="Heading8"/>
    <w:rsid w:val="00B8055E"/>
    <w:rPr>
      <w:rFonts w:ascii="Times New Roman" w:eastAsia="Times New Roman" w:hAnsi="Times New Roman" w:cs="Times New Roman"/>
      <w:b/>
      <w:snapToGrid w:val="0"/>
      <w:kern w:val="28"/>
      <w:szCs w:val="20"/>
      <w14:ligatures w14:val="none"/>
    </w:rPr>
  </w:style>
  <w:style w:type="character" w:customStyle="1" w:styleId="Heading9Char">
    <w:name w:val="Heading 9 Char"/>
    <w:basedOn w:val="DefaultParagraphFont"/>
    <w:link w:val="Heading9"/>
    <w:rsid w:val="00B8055E"/>
    <w:rPr>
      <w:rFonts w:ascii="Times New Roman" w:eastAsia="Times New Roman" w:hAnsi="Times New Roman" w:cs="Times New Roman"/>
      <w:b/>
      <w:snapToGrid w:val="0"/>
      <w:kern w:val="28"/>
      <w:szCs w:val="20"/>
      <w14:ligatures w14:val="none"/>
    </w:rPr>
  </w:style>
  <w:style w:type="paragraph" w:styleId="EndnoteText">
    <w:name w:val="endnote text"/>
    <w:basedOn w:val="Normal"/>
    <w:link w:val="EndnoteTextChar"/>
    <w:semiHidden/>
    <w:rsid w:val="004C5ED8"/>
    <w:rPr>
      <w:sz w:val="20"/>
    </w:rPr>
  </w:style>
  <w:style w:type="character" w:customStyle="1" w:styleId="EndnoteTextChar">
    <w:name w:val="Endnote Text Char"/>
    <w:basedOn w:val="DefaultParagraphFont"/>
    <w:link w:val="EndnoteText"/>
    <w:semiHidden/>
    <w:rsid w:val="00B8055E"/>
    <w:rPr>
      <w:rFonts w:ascii="Times New Roman" w:eastAsia="Times New Roman" w:hAnsi="Times New Roman" w:cs="Times New Roman"/>
      <w:snapToGrid w:val="0"/>
      <w:kern w:val="28"/>
      <w:sz w:val="20"/>
      <w:szCs w:val="20"/>
      <w14:ligatures w14:val="none"/>
    </w:rPr>
  </w:style>
  <w:style w:type="character" w:styleId="EndnoteReference">
    <w:name w:val="endnote reference"/>
    <w:semiHidden/>
    <w:rsid w:val="004C5ED8"/>
    <w:rPr>
      <w:vertAlign w:val="superscript"/>
    </w:rPr>
  </w:style>
  <w:style w:type="paragraph" w:styleId="TOC1">
    <w:name w:val="toc 1"/>
    <w:basedOn w:val="Normal"/>
    <w:next w:val="Normal"/>
    <w:semiHidden/>
    <w:rsid w:val="004C5E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5ED8"/>
    <w:pPr>
      <w:tabs>
        <w:tab w:val="left" w:pos="720"/>
        <w:tab w:val="right" w:leader="dot" w:pos="9360"/>
      </w:tabs>
      <w:suppressAutoHyphens/>
      <w:ind w:left="720" w:right="720" w:hanging="360"/>
    </w:pPr>
    <w:rPr>
      <w:noProof/>
    </w:rPr>
  </w:style>
  <w:style w:type="paragraph" w:styleId="TOC3">
    <w:name w:val="toc 3"/>
    <w:basedOn w:val="Normal"/>
    <w:next w:val="Normal"/>
    <w:semiHidden/>
    <w:rsid w:val="004C5E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5E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5E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5E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5E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5E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5E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5ED8"/>
    <w:pPr>
      <w:tabs>
        <w:tab w:val="right" w:pos="9360"/>
      </w:tabs>
      <w:suppressAutoHyphens/>
    </w:pPr>
  </w:style>
  <w:style w:type="character" w:customStyle="1" w:styleId="EquationCaption">
    <w:name w:val="_Equation Caption"/>
    <w:rsid w:val="004C5ED8"/>
  </w:style>
  <w:style w:type="character" w:styleId="PageNumber">
    <w:name w:val="page number"/>
    <w:basedOn w:val="DefaultParagraphFont"/>
    <w:rsid w:val="004C5ED8"/>
  </w:style>
  <w:style w:type="paragraph" w:styleId="BlockText">
    <w:name w:val="Block Text"/>
    <w:basedOn w:val="Normal"/>
    <w:rsid w:val="004C5ED8"/>
    <w:pPr>
      <w:spacing w:after="240"/>
      <w:ind w:left="1440" w:right="1440"/>
    </w:pPr>
  </w:style>
  <w:style w:type="paragraph" w:customStyle="1" w:styleId="Paratitle">
    <w:name w:val="Para title"/>
    <w:basedOn w:val="Normal"/>
    <w:rsid w:val="004C5ED8"/>
    <w:pPr>
      <w:tabs>
        <w:tab w:val="center" w:pos="9270"/>
      </w:tabs>
      <w:spacing w:after="240"/>
    </w:pPr>
    <w:rPr>
      <w:spacing w:val="-2"/>
    </w:rPr>
  </w:style>
  <w:style w:type="paragraph" w:customStyle="1" w:styleId="Bullet">
    <w:name w:val="Bullet"/>
    <w:basedOn w:val="Normal"/>
    <w:rsid w:val="004C5ED8"/>
    <w:pPr>
      <w:tabs>
        <w:tab w:val="left" w:pos="2160"/>
      </w:tabs>
      <w:spacing w:after="220"/>
      <w:ind w:left="2160" w:hanging="720"/>
    </w:pPr>
  </w:style>
  <w:style w:type="paragraph" w:customStyle="1" w:styleId="TableFormat">
    <w:name w:val="TableFormat"/>
    <w:basedOn w:val="Bullet"/>
    <w:rsid w:val="004C5ED8"/>
    <w:pPr>
      <w:tabs>
        <w:tab w:val="clear" w:pos="2160"/>
        <w:tab w:val="left" w:pos="5040"/>
      </w:tabs>
      <w:ind w:left="5040" w:hanging="3600"/>
    </w:pPr>
  </w:style>
  <w:style w:type="paragraph" w:customStyle="1" w:styleId="TOCTitle">
    <w:name w:val="TOC Title"/>
    <w:basedOn w:val="Normal"/>
    <w:rsid w:val="004C5ED8"/>
    <w:pPr>
      <w:spacing w:before="240" w:after="240"/>
      <w:jc w:val="center"/>
    </w:pPr>
    <w:rPr>
      <w:rFonts w:ascii="Times New Roman Bold" w:hAnsi="Times New Roman Bold"/>
      <w:b/>
      <w:caps/>
      <w:spacing w:val="-2"/>
    </w:rPr>
  </w:style>
  <w:style w:type="character" w:styleId="Mention">
    <w:name w:val="Mention"/>
    <w:basedOn w:val="DefaultParagraphFont"/>
    <w:uiPriority w:val="99"/>
    <w:unhideWhenUsed/>
    <w:rsid w:val="00C829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