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8FB1FB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4FB937B" w14:textId="77777777">
      <w:pPr>
        <w:pStyle w:val="StyleBoldCentered"/>
      </w:pPr>
      <w:r>
        <w:t>F</w:t>
      </w:r>
      <w:r>
        <w:rPr>
          <w:caps w:val="0"/>
        </w:rPr>
        <w:t>ederal Communications Commission</w:t>
      </w:r>
    </w:p>
    <w:p w:rsidR="004C2EE3" w:rsidP="00096D8C" w14:paraId="6255A8C7" w14:textId="77777777">
      <w:pPr>
        <w:pStyle w:val="StyleBoldCentered"/>
      </w:pPr>
      <w:r>
        <w:rPr>
          <w:caps w:val="0"/>
        </w:rPr>
        <w:t>Washington, D.C. 20554</w:t>
      </w:r>
    </w:p>
    <w:p w:rsidR="004C2EE3" w:rsidP="0070224F" w14:paraId="0B38C4FF" w14:textId="77777777"/>
    <w:tbl>
      <w:tblPr>
        <w:tblW w:w="9576" w:type="dxa"/>
        <w:tblLayout w:type="fixed"/>
        <w:tblLook w:val="0000"/>
      </w:tblPr>
      <w:tblGrid>
        <w:gridCol w:w="4698"/>
        <w:gridCol w:w="630"/>
        <w:gridCol w:w="4248"/>
      </w:tblGrid>
      <w:tr w14:paraId="38F7F127" w14:textId="77777777" w:rsidTr="00F07887">
        <w:tblPrEx>
          <w:tblW w:w="9576" w:type="dxa"/>
          <w:tblLayout w:type="fixed"/>
          <w:tblLook w:val="0000"/>
        </w:tblPrEx>
        <w:tc>
          <w:tcPr>
            <w:tcW w:w="4698" w:type="dxa"/>
          </w:tcPr>
          <w:p w:rsidR="004C2EE3" w14:paraId="7D9826F7" w14:textId="50637611">
            <w:pPr>
              <w:tabs>
                <w:tab w:val="center" w:pos="4680"/>
              </w:tabs>
              <w:suppressAutoHyphens/>
              <w:rPr>
                <w:spacing w:val="-2"/>
              </w:rPr>
            </w:pPr>
            <w:r>
              <w:rPr>
                <w:spacing w:val="-2"/>
              </w:rPr>
              <w:t>In the Matter of</w:t>
            </w:r>
          </w:p>
          <w:p w:rsidR="004C2EE3" w14:paraId="511BCDE3" w14:textId="77777777">
            <w:pPr>
              <w:tabs>
                <w:tab w:val="center" w:pos="4680"/>
              </w:tabs>
              <w:suppressAutoHyphens/>
              <w:rPr>
                <w:spacing w:val="-2"/>
              </w:rPr>
            </w:pPr>
          </w:p>
          <w:p w:rsidR="004C2EE3" w:rsidRPr="007115F7" w:rsidP="007115F7" w14:paraId="32B6568E" w14:textId="5BB35112">
            <w:pPr>
              <w:tabs>
                <w:tab w:val="center" w:pos="4680"/>
              </w:tabs>
              <w:suppressAutoHyphens/>
              <w:rPr>
                <w:spacing w:val="-2"/>
              </w:rPr>
            </w:pPr>
            <w:r>
              <w:rPr>
                <w:spacing w:val="-2"/>
              </w:rPr>
              <w:t>ContiTech</w:t>
            </w:r>
            <w:r>
              <w:rPr>
                <w:spacing w:val="-2"/>
              </w:rPr>
              <w:t xml:space="preserve"> USA</w:t>
            </w:r>
            <w:r w:rsidR="00C27060">
              <w:rPr>
                <w:spacing w:val="-2"/>
              </w:rPr>
              <w:t>, Inc.</w:t>
            </w:r>
            <w:r>
              <w:rPr>
                <w:spacing w:val="-2"/>
              </w:rPr>
              <w:t xml:space="preserve"> </w:t>
            </w:r>
            <w:r w:rsidR="000277D0">
              <w:rPr>
                <w:spacing w:val="-2"/>
              </w:rPr>
              <w:t>Request for Wa</w:t>
            </w:r>
            <w:r w:rsidR="00B92856">
              <w:rPr>
                <w:spacing w:val="-2"/>
              </w:rPr>
              <w:t>iv</w:t>
            </w:r>
            <w:r w:rsidR="000277D0">
              <w:rPr>
                <w:spacing w:val="-2"/>
              </w:rPr>
              <w:t xml:space="preserve">er of Section 90.103(b) </w:t>
            </w:r>
            <w:r w:rsidR="00FB0C14">
              <w:rPr>
                <w:spacing w:val="-2"/>
              </w:rPr>
              <w:t>of the Commission’s Rules</w:t>
            </w:r>
          </w:p>
        </w:tc>
        <w:tc>
          <w:tcPr>
            <w:tcW w:w="630" w:type="dxa"/>
          </w:tcPr>
          <w:p w:rsidR="004C2EE3" w14:paraId="18235E4E" w14:textId="77777777">
            <w:pPr>
              <w:tabs>
                <w:tab w:val="center" w:pos="4680"/>
              </w:tabs>
              <w:suppressAutoHyphens/>
              <w:rPr>
                <w:b/>
                <w:spacing w:val="-2"/>
              </w:rPr>
            </w:pPr>
            <w:r>
              <w:rPr>
                <w:b/>
                <w:spacing w:val="-2"/>
              </w:rPr>
              <w:t>)</w:t>
            </w:r>
          </w:p>
          <w:p w:rsidR="004C2EE3" w14:paraId="1FE58C36" w14:textId="77777777">
            <w:pPr>
              <w:tabs>
                <w:tab w:val="center" w:pos="4680"/>
              </w:tabs>
              <w:suppressAutoHyphens/>
              <w:rPr>
                <w:b/>
                <w:spacing w:val="-2"/>
              </w:rPr>
            </w:pPr>
            <w:r>
              <w:rPr>
                <w:b/>
                <w:spacing w:val="-2"/>
              </w:rPr>
              <w:t>)</w:t>
            </w:r>
          </w:p>
          <w:p w:rsidR="004C2EE3" w14:paraId="4440BE19" w14:textId="77777777">
            <w:pPr>
              <w:tabs>
                <w:tab w:val="center" w:pos="4680"/>
              </w:tabs>
              <w:suppressAutoHyphens/>
              <w:rPr>
                <w:b/>
                <w:spacing w:val="-2"/>
              </w:rPr>
            </w:pPr>
            <w:r>
              <w:rPr>
                <w:b/>
                <w:spacing w:val="-2"/>
              </w:rPr>
              <w:t>)</w:t>
            </w:r>
          </w:p>
          <w:p w:rsidR="004C2EE3" w14:paraId="02C98DB1" w14:textId="77777777">
            <w:pPr>
              <w:tabs>
                <w:tab w:val="center" w:pos="4680"/>
              </w:tabs>
              <w:suppressAutoHyphens/>
              <w:rPr>
                <w:b/>
                <w:spacing w:val="-2"/>
              </w:rPr>
            </w:pPr>
            <w:r>
              <w:rPr>
                <w:b/>
                <w:spacing w:val="-2"/>
              </w:rPr>
              <w:t>)</w:t>
            </w:r>
          </w:p>
          <w:p w:rsidR="004C2EE3" w:rsidP="00F93324" w14:paraId="17EB4434" w14:textId="6AB59012">
            <w:pPr>
              <w:tabs>
                <w:tab w:val="center" w:pos="4680"/>
              </w:tabs>
              <w:suppressAutoHyphens/>
              <w:rPr>
                <w:spacing w:val="-2"/>
              </w:rPr>
            </w:pPr>
          </w:p>
        </w:tc>
        <w:tc>
          <w:tcPr>
            <w:tcW w:w="4248" w:type="dxa"/>
          </w:tcPr>
          <w:p w:rsidR="004C2EE3" w14:paraId="37A4300B" w14:textId="77777777">
            <w:pPr>
              <w:tabs>
                <w:tab w:val="center" w:pos="4680"/>
              </w:tabs>
              <w:suppressAutoHyphens/>
              <w:rPr>
                <w:spacing w:val="-2"/>
              </w:rPr>
            </w:pPr>
          </w:p>
          <w:p w:rsidR="004C2EE3" w14:paraId="30D3F5D5" w14:textId="77777777">
            <w:pPr>
              <w:pStyle w:val="TOAHeading"/>
              <w:tabs>
                <w:tab w:val="center" w:pos="4680"/>
                <w:tab w:val="clear" w:pos="9360"/>
              </w:tabs>
              <w:rPr>
                <w:spacing w:val="-2"/>
              </w:rPr>
            </w:pPr>
          </w:p>
          <w:p w:rsidR="004C2EE3" w14:paraId="4E8AAC11" w14:textId="66A82BBB">
            <w:pPr>
              <w:tabs>
                <w:tab w:val="center" w:pos="4680"/>
              </w:tabs>
              <w:suppressAutoHyphens/>
              <w:rPr>
                <w:spacing w:val="-2"/>
              </w:rPr>
            </w:pPr>
            <w:r>
              <w:rPr>
                <w:spacing w:val="-2"/>
              </w:rPr>
              <w:t>WT Docket 22-</w:t>
            </w:r>
            <w:r w:rsidR="00535E02">
              <w:rPr>
                <w:spacing w:val="-2"/>
              </w:rPr>
              <w:t>260</w:t>
            </w:r>
          </w:p>
        </w:tc>
      </w:tr>
    </w:tbl>
    <w:p w:rsidR="004C2EE3" w:rsidP="0070224F" w14:paraId="1AEB2B01" w14:textId="77777777"/>
    <w:p w:rsidR="00841AB1" w:rsidP="00F021FA" w14:paraId="4ADD83EE" w14:textId="1023EA6B">
      <w:pPr>
        <w:pStyle w:val="StyleBoldCentered"/>
      </w:pPr>
      <w:r>
        <w:t>order</w:t>
      </w:r>
    </w:p>
    <w:p w:rsidR="004C2EE3" w14:paraId="2F1B0EA3" w14:textId="77777777">
      <w:pPr>
        <w:tabs>
          <w:tab w:val="left" w:pos="-720"/>
        </w:tabs>
        <w:suppressAutoHyphens/>
        <w:spacing w:line="227" w:lineRule="auto"/>
        <w:rPr>
          <w:spacing w:val="-2"/>
        </w:rPr>
      </w:pPr>
    </w:p>
    <w:p w:rsidR="004C2EE3" w:rsidP="00133F79" w14:paraId="3C0D6080" w14:textId="75EAA196">
      <w:pPr>
        <w:tabs>
          <w:tab w:val="left" w:pos="720"/>
          <w:tab w:val="right" w:pos="9360"/>
        </w:tabs>
        <w:suppressAutoHyphens/>
        <w:spacing w:line="227" w:lineRule="auto"/>
        <w:rPr>
          <w:spacing w:val="-2"/>
        </w:rPr>
      </w:pPr>
      <w:r>
        <w:rPr>
          <w:b/>
          <w:spacing w:val="-2"/>
        </w:rPr>
        <w:t xml:space="preserve">Adopted:  </w:t>
      </w:r>
      <w:r w:rsidR="004F0884">
        <w:rPr>
          <w:b/>
          <w:spacing w:val="-2"/>
        </w:rPr>
        <w:t>November 21,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0884">
        <w:rPr>
          <w:b/>
          <w:spacing w:val="-2"/>
        </w:rPr>
        <w:t>November 21, 2023</w:t>
      </w:r>
    </w:p>
    <w:p w:rsidR="00822CE0" w14:paraId="683BEDCF" w14:textId="77777777"/>
    <w:p w:rsidR="004C2EE3" w14:paraId="5E1EF9D6" w14:textId="1018FFC0">
      <w:pPr>
        <w:rPr>
          <w:spacing w:val="-2"/>
        </w:rPr>
      </w:pPr>
      <w:r>
        <w:t xml:space="preserve">By </w:t>
      </w:r>
      <w:r w:rsidR="004E4A22">
        <w:t>the</w:t>
      </w:r>
      <w:r w:rsidR="002A2D2E">
        <w:t xml:space="preserve"> </w:t>
      </w:r>
      <w:r w:rsidR="00AD07E7">
        <w:rPr>
          <w:spacing w:val="-2"/>
        </w:rPr>
        <w:t>Chief, Mobility Division, Wireless Telecommunications Bureau</w:t>
      </w:r>
      <w:r>
        <w:rPr>
          <w:spacing w:val="-2"/>
        </w:rPr>
        <w:t>:</w:t>
      </w:r>
    </w:p>
    <w:p w:rsidR="00822CE0" w14:paraId="65636633" w14:textId="77777777">
      <w:pPr>
        <w:rPr>
          <w:spacing w:val="-2"/>
        </w:rPr>
      </w:pPr>
    </w:p>
    <w:p w:rsidR="0097496D" w:rsidP="0097496D" w14:paraId="385EB990" w14:textId="77777777">
      <w:pPr>
        <w:pStyle w:val="Heading1"/>
      </w:pPr>
      <w:r>
        <w:t xml:space="preserve">Introduction </w:t>
      </w:r>
    </w:p>
    <w:p w:rsidR="00D15877" w:rsidRPr="00B43226" w:rsidP="006E61BA" w14:paraId="2DE97A13" w14:textId="116B32E8">
      <w:pPr>
        <w:pStyle w:val="ParaNum"/>
      </w:pPr>
      <w:r w:rsidRPr="0059178B">
        <w:t>On February 24, 2022</w:t>
      </w:r>
      <w:r w:rsidRPr="0059178B" w:rsidR="33335D3B">
        <w:t>,</w:t>
      </w:r>
      <w:r w:rsidRPr="0059178B">
        <w:t xml:space="preserve"> </w:t>
      </w:r>
      <w:r w:rsidRPr="0059178B">
        <w:t>ContiTech</w:t>
      </w:r>
      <w:r w:rsidRPr="0059178B">
        <w:t xml:space="preserve"> USA</w:t>
      </w:r>
      <w:r w:rsidR="5DDEC628">
        <w:t xml:space="preserve"> Inc. (</w:t>
      </w:r>
      <w:r w:rsidR="5DDEC628">
        <w:t>ContiTech</w:t>
      </w:r>
      <w:r w:rsidR="5DDEC628">
        <w:t>)</w:t>
      </w:r>
      <w:r w:rsidRPr="0059178B">
        <w:t xml:space="preserve"> request</w:t>
      </w:r>
      <w:r w:rsidR="009927F4">
        <w:t>ed</w:t>
      </w:r>
      <w:r w:rsidRPr="0059178B">
        <w:t xml:space="preserve"> a waiver of section 90.103(b) to allow for the certification and marketing of a Conveyor Radar Device</w:t>
      </w:r>
      <w:r w:rsidR="002A0912">
        <w:t xml:space="preserve"> (</w:t>
      </w:r>
      <w:r w:rsidR="003642CA">
        <w:t>Device)</w:t>
      </w:r>
      <w:r w:rsidRPr="0059178B">
        <w:t xml:space="preserve"> in </w:t>
      </w:r>
      <w:r w:rsidR="00BF01E4">
        <w:t xml:space="preserve">a portion of </w:t>
      </w:r>
      <w:r w:rsidRPr="0059178B">
        <w:t>the 76-</w:t>
      </w:r>
      <w:r w:rsidR="00BF01E4">
        <w:t>81</w:t>
      </w:r>
      <w:r w:rsidRPr="0059178B" w:rsidR="00BF01E4">
        <w:t xml:space="preserve"> </w:t>
      </w:r>
      <w:r w:rsidRPr="0059178B">
        <w:t xml:space="preserve">GHz band.  </w:t>
      </w:r>
      <w:r w:rsidR="009927F4">
        <w:t>The</w:t>
      </w:r>
      <w:r w:rsidR="1A32799E">
        <w:t xml:space="preserve"> </w:t>
      </w:r>
      <w:r w:rsidR="003203CE">
        <w:t>D</w:t>
      </w:r>
      <w:r w:rsidR="00D479DD">
        <w:t xml:space="preserve">evice </w:t>
      </w:r>
      <w:r w:rsidR="00050D97">
        <w:t>will</w:t>
      </w:r>
      <w:r w:rsidR="1A32799E">
        <w:t xml:space="preserve"> monitor the content carried on conveyor belts</w:t>
      </w:r>
      <w:r w:rsidR="416FC75A">
        <w:t xml:space="preserve"> for a variety of applications including mining.</w:t>
      </w:r>
      <w:r>
        <w:rPr>
          <w:rStyle w:val="FootnoteReference"/>
        </w:rPr>
        <w:footnoteReference w:id="3"/>
      </w:r>
      <w:r w:rsidR="416FC75A">
        <w:t xml:space="preserve"> </w:t>
      </w:r>
      <w:r w:rsidRPr="0059178B">
        <w:t xml:space="preserve"> The 76</w:t>
      </w:r>
      <w:r w:rsidR="00BF01E4">
        <w:t>-81</w:t>
      </w:r>
      <w:r w:rsidRPr="0059178B">
        <w:t xml:space="preserve"> GHz band is normally limited to vehicular radars and airport runway debris detection radars.</w:t>
      </w:r>
      <w:r>
        <w:rPr>
          <w:rStyle w:val="FootnoteReference"/>
        </w:rPr>
        <w:footnoteReference w:id="4"/>
      </w:r>
      <w:r w:rsidRPr="0059178B">
        <w:t xml:space="preserve">  Under </w:t>
      </w:r>
      <w:r w:rsidR="00DE4A63">
        <w:t>P</w:t>
      </w:r>
      <w:r w:rsidRPr="0059178B">
        <w:t>art 90 of our rules, radars are subject to site</w:t>
      </w:r>
      <w:r w:rsidRPr="0059178B" w:rsidR="2CE43371">
        <w:t>-</w:t>
      </w:r>
      <w:r w:rsidRPr="0059178B">
        <w:t>based licensing for fixed radiolocation operations.</w:t>
      </w:r>
      <w:r>
        <w:rPr>
          <w:rStyle w:val="FootnoteReference"/>
        </w:rPr>
        <w:footnoteReference w:id="5"/>
      </w:r>
      <w:r w:rsidRPr="0059178B">
        <w:t xml:space="preserve">  </w:t>
      </w:r>
      <w:r w:rsidRPr="0059178B" w:rsidR="22189C96">
        <w:t xml:space="preserve">As outlined below, we grant the waiver request subject to the conditions contained </w:t>
      </w:r>
      <w:r w:rsidR="00BB18C9">
        <w:t>herein</w:t>
      </w:r>
      <w:r w:rsidRPr="0059178B" w:rsidR="22189C96">
        <w:t xml:space="preserve">.  </w:t>
      </w:r>
    </w:p>
    <w:p w:rsidR="0097496D" w:rsidRPr="004934DF" w:rsidP="004934DF" w14:paraId="42EB5DAA" w14:textId="03A1979F">
      <w:pPr>
        <w:pStyle w:val="Heading1"/>
      </w:pPr>
      <w:r>
        <w:t xml:space="preserve">Background </w:t>
      </w:r>
    </w:p>
    <w:p w:rsidR="00E61384" w:rsidRPr="00B44982" w:rsidP="00B44982" w14:paraId="157FB8EB" w14:textId="459C759B">
      <w:pPr>
        <w:pStyle w:val="ParaNum"/>
        <w:rPr>
          <w:i/>
          <w:iCs/>
        </w:rPr>
      </w:pPr>
      <w:r w:rsidRPr="0000689D">
        <w:rPr>
          <w:i/>
          <w:iCs/>
        </w:rPr>
        <w:t>ContiTech</w:t>
      </w:r>
      <w:r w:rsidRPr="0000689D">
        <w:rPr>
          <w:i/>
          <w:iCs/>
        </w:rPr>
        <w:t xml:space="preserve"> Waiver Request.</w:t>
      </w:r>
      <w:r w:rsidR="00BB18C9">
        <w:rPr>
          <w:i/>
          <w:iCs/>
        </w:rPr>
        <w:t xml:space="preserve"> </w:t>
      </w:r>
      <w:r w:rsidRPr="0000689D">
        <w:rPr>
          <w:i/>
          <w:iCs/>
        </w:rPr>
        <w:t xml:space="preserve"> </w:t>
      </w:r>
      <w:r w:rsidR="00B8735D">
        <w:t>ContiTech</w:t>
      </w:r>
      <w:r w:rsidR="00B8735D">
        <w:t xml:space="preserve"> </w:t>
      </w:r>
      <w:r w:rsidR="40D9F9B4">
        <w:t>would like to use radar technology</w:t>
      </w:r>
      <w:r w:rsidR="00414C45">
        <w:t xml:space="preserve">, </w:t>
      </w:r>
      <w:r w:rsidR="00120FD9">
        <w:t xml:space="preserve">which was </w:t>
      </w:r>
      <w:r w:rsidRPr="00C43D29">
        <w:t>originally developed for use in automobiles for collision avoidance and adaptive cruise control operating in the 76-81 GHz band</w:t>
      </w:r>
      <w:r w:rsidR="00414C45">
        <w:t xml:space="preserve">, </w:t>
      </w:r>
      <w:r w:rsidRPr="00C43D29" w:rsidR="006F4C59">
        <w:t xml:space="preserve">to support mining, milling, and tunneling operations in the 76-77 GHz </w:t>
      </w:r>
      <w:r w:rsidR="002A02DF">
        <w:t>frequency range</w:t>
      </w:r>
      <w:r w:rsidRPr="00C43D29" w:rsidR="006F4C59">
        <w:t>.</w:t>
      </w:r>
      <w:r>
        <w:rPr>
          <w:vertAlign w:val="superscript"/>
        </w:rPr>
        <w:footnoteReference w:id="6"/>
      </w:r>
      <w:r w:rsidRPr="00C43D29" w:rsidR="006F4C59">
        <w:t xml:space="preserve"> </w:t>
      </w:r>
      <w:r w:rsidR="002A02DF">
        <w:t xml:space="preserve"> </w:t>
      </w:r>
      <w:r w:rsidR="00A33BC3">
        <w:t>The 76-</w:t>
      </w:r>
      <w:r w:rsidR="00131D9B">
        <w:t>81</w:t>
      </w:r>
      <w:r w:rsidR="00B00076">
        <w:t xml:space="preserve"> </w:t>
      </w:r>
      <w:r w:rsidR="009C42AB">
        <w:t xml:space="preserve">GHz band </w:t>
      </w:r>
      <w:r w:rsidR="002A02DF">
        <w:t xml:space="preserve">currently </w:t>
      </w:r>
      <w:r w:rsidR="009C42AB">
        <w:t xml:space="preserve">is used for </w:t>
      </w:r>
      <w:r w:rsidR="000D6FA5">
        <w:t xml:space="preserve">radars </w:t>
      </w:r>
      <w:r w:rsidR="00BB18C9">
        <w:t>that detect</w:t>
      </w:r>
      <w:r w:rsidR="00E53814">
        <w:t xml:space="preserve"> foreign object</w:t>
      </w:r>
      <w:r w:rsidR="00BB18C9">
        <w:t>s</w:t>
      </w:r>
      <w:r w:rsidR="00E53814">
        <w:t xml:space="preserve"> </w:t>
      </w:r>
      <w:r w:rsidR="00094AAD">
        <w:t xml:space="preserve">on </w:t>
      </w:r>
      <w:r w:rsidR="00B00076">
        <w:t xml:space="preserve">airports </w:t>
      </w:r>
      <w:r w:rsidR="00094AAD">
        <w:t>runways and monitor air traffic</w:t>
      </w:r>
      <w:r w:rsidR="00EF287C">
        <w:t>.</w:t>
      </w:r>
      <w:r>
        <w:rPr>
          <w:rStyle w:val="FootnoteReference"/>
        </w:rPr>
        <w:footnoteReference w:id="7"/>
      </w:r>
      <w:r w:rsidR="00EF287C">
        <w:t xml:space="preserve"> </w:t>
      </w:r>
      <w:r w:rsidR="00B24C5B">
        <w:t xml:space="preserve"> The 76-</w:t>
      </w:r>
      <w:r w:rsidR="00F4479B">
        <w:t>81</w:t>
      </w:r>
      <w:r w:rsidR="00B24C5B">
        <w:t xml:space="preserve"> GHz band is allocated for radiolocation use, but is not available to the Part 90 Radiolocation Service.</w:t>
      </w:r>
      <w:r>
        <w:rPr>
          <w:rStyle w:val="FootnoteReference"/>
        </w:rPr>
        <w:footnoteReference w:id="8"/>
      </w:r>
      <w:r w:rsidR="00B24C5B">
        <w:t xml:space="preserve">  </w:t>
      </w:r>
      <w:r w:rsidR="00B24C5B">
        <w:t>ContiTech’s</w:t>
      </w:r>
      <w:r w:rsidRPr="00C43D29" w:rsidR="00B24C5B">
        <w:t xml:space="preserve"> </w:t>
      </w:r>
      <w:r w:rsidR="0089704B">
        <w:t>D</w:t>
      </w:r>
      <w:r w:rsidR="00796CC4">
        <w:t>evice</w:t>
      </w:r>
      <w:r w:rsidRPr="00C43D29" w:rsidR="006F4C59">
        <w:t xml:space="preserve"> would be placed above a conveyor belt to monitor weight changes</w:t>
      </w:r>
      <w:r w:rsidR="00B92856">
        <w:t xml:space="preserve"> and</w:t>
      </w:r>
      <w:r w:rsidRPr="00C43D29" w:rsidR="006F4C59">
        <w:t xml:space="preserve"> energy consumption and provide safety information. </w:t>
      </w:r>
      <w:r w:rsidR="00B24C5B">
        <w:t xml:space="preserve"> </w:t>
      </w:r>
      <w:r w:rsidR="00B44982">
        <w:t>ContiTech</w:t>
      </w:r>
      <w:r w:rsidR="00B44982">
        <w:t xml:space="preserve"> </w:t>
      </w:r>
      <w:r>
        <w:t xml:space="preserve">therefore requests a waiver of the Radiolocation Service frequency table in section 90.103(b) to permit equipment authorization and site-based licensing of the </w:t>
      </w:r>
      <w:r w:rsidR="001955D2">
        <w:t xml:space="preserve">Device </w:t>
      </w:r>
      <w:r>
        <w:t xml:space="preserve">for use in </w:t>
      </w:r>
      <w:r w:rsidR="2CF99915">
        <w:t>various environments</w:t>
      </w:r>
      <w:r>
        <w:t>.</w:t>
      </w:r>
    </w:p>
    <w:p w:rsidR="0097496D" w:rsidRPr="0000689D" w:rsidP="0097496D" w14:paraId="5C778CFD" w14:textId="50314CED">
      <w:pPr>
        <w:pStyle w:val="ParaNum"/>
        <w:rPr>
          <w:i/>
          <w:iCs/>
        </w:rPr>
      </w:pPr>
      <w:r w:rsidRPr="00C43D29">
        <w:t xml:space="preserve">In order to avoid interference to incumbent vehicular radars and airport runway debris detection radars, </w:t>
      </w:r>
      <w:r w:rsidRPr="00C43D29">
        <w:t>ContiTech</w:t>
      </w:r>
      <w:r w:rsidRPr="00C43D29">
        <w:t xml:space="preserve"> </w:t>
      </w:r>
      <w:r w:rsidR="00B92856">
        <w:t>state</w:t>
      </w:r>
      <w:r w:rsidRPr="00C43D29">
        <w:t>s</w:t>
      </w:r>
      <w:r w:rsidR="00BB18C9">
        <w:t xml:space="preserve"> that</w:t>
      </w:r>
      <w:r w:rsidRPr="00C43D29">
        <w:t xml:space="preserve"> all </w:t>
      </w:r>
      <w:r w:rsidR="00EB6C5C">
        <w:t>Device</w:t>
      </w:r>
      <w:r w:rsidRPr="00C43D29">
        <w:t xml:space="preserve"> deployments will be within controlled property boundaries of the </w:t>
      </w:r>
      <w:r w:rsidRPr="00614B8E" w:rsidR="00B21174">
        <w:t>Device</w:t>
      </w:r>
      <w:r w:rsidRPr="00A425CA" w:rsidR="00614B8E">
        <w:t xml:space="preserve"> </w:t>
      </w:r>
      <w:r w:rsidRPr="00614B8E">
        <w:t>operators,</w:t>
      </w:r>
      <w:r w:rsidRPr="00C43D29">
        <w:t xml:space="preserve"> which are restricted from </w:t>
      </w:r>
      <w:r w:rsidRPr="00C43D29" w:rsidR="46C93348">
        <w:t xml:space="preserve">use by </w:t>
      </w:r>
      <w:r w:rsidRPr="00C43D29">
        <w:t>the general public.</w:t>
      </w:r>
      <w:r>
        <w:rPr>
          <w:vertAlign w:val="superscript"/>
        </w:rPr>
        <w:footnoteReference w:id="9"/>
      </w:r>
      <w:r w:rsidRPr="00C43D29">
        <w:t xml:space="preserve">  </w:t>
      </w:r>
      <w:r w:rsidRPr="00C43D29">
        <w:t>ContiTech</w:t>
      </w:r>
      <w:r w:rsidRPr="00C43D29">
        <w:t xml:space="preserve"> also </w:t>
      </w:r>
      <w:r w:rsidR="00B92856">
        <w:t>states</w:t>
      </w:r>
      <w:r w:rsidRPr="00C43D29">
        <w:t xml:space="preserve"> </w:t>
      </w:r>
      <w:r w:rsidRPr="00C43D29" w:rsidR="217048DB">
        <w:t xml:space="preserve">that </w:t>
      </w:r>
      <w:r w:rsidRPr="00C43D29">
        <w:t xml:space="preserve">it will mitigate harmful interference in the band </w:t>
      </w:r>
      <w:r w:rsidRPr="00C43D29" w:rsidR="508DD077">
        <w:t>by</w:t>
      </w:r>
      <w:r w:rsidRPr="00C43D29">
        <w:t xml:space="preserve"> the use of pseudo</w:t>
      </w:r>
      <w:r w:rsidRPr="00C43D29" w:rsidR="3118EA28">
        <w:t>-</w:t>
      </w:r>
      <w:r w:rsidRPr="00C43D29">
        <w:t>noise coding</w:t>
      </w:r>
      <w:r>
        <w:rPr>
          <w:rStyle w:val="FootnoteReference"/>
        </w:rPr>
        <w:footnoteReference w:id="10"/>
      </w:r>
      <w:r w:rsidRPr="00C43D29" w:rsidR="5267A75B">
        <w:t xml:space="preserve"> of the emissions</w:t>
      </w:r>
      <w:r w:rsidRPr="00C43D29">
        <w:t xml:space="preserve">, </w:t>
      </w:r>
      <w:r w:rsidR="00F93324">
        <w:t xml:space="preserve">restrictions on the </w:t>
      </w:r>
      <w:r w:rsidRPr="00C43D29">
        <w:t xml:space="preserve">positioning and installation </w:t>
      </w:r>
      <w:r w:rsidR="00F93324">
        <w:t>of</w:t>
      </w:r>
      <w:r w:rsidRPr="00C43D29" w:rsidR="263C321A">
        <w:t xml:space="preserve"> the </w:t>
      </w:r>
      <w:r w:rsidR="001F4774">
        <w:t>Device</w:t>
      </w:r>
      <w:r w:rsidRPr="00C43D29">
        <w:t>, and controls on power levels</w:t>
      </w:r>
      <w:r w:rsidRPr="00C43D29" w:rsidR="4C3B638D">
        <w:t xml:space="preserve"> emitted by the </w:t>
      </w:r>
      <w:r w:rsidR="001F4774">
        <w:t>Device</w:t>
      </w:r>
      <w:r w:rsidRPr="00C43D29">
        <w:t>.</w:t>
      </w:r>
      <w:r>
        <w:rPr>
          <w:vertAlign w:val="superscript"/>
        </w:rPr>
        <w:footnoteReference w:id="11"/>
      </w:r>
      <w:r w:rsidR="001F4774">
        <w:t xml:space="preserve"> </w:t>
      </w:r>
      <w:r w:rsidR="000061D6">
        <w:t xml:space="preserve"> </w:t>
      </w:r>
      <w:r w:rsidR="0062522C">
        <w:t>ContiTech</w:t>
      </w:r>
      <w:r w:rsidR="0062522C">
        <w:t xml:space="preserve"> claims that the pseudo-noise coding avoids interference to co-channel devices by identifying each transmission with a unique code.</w:t>
      </w:r>
      <w:r>
        <w:rPr>
          <w:rStyle w:val="FootnoteReference"/>
        </w:rPr>
        <w:footnoteReference w:id="12"/>
      </w:r>
      <w:r w:rsidR="0062522C">
        <w:t xml:space="preserve"> </w:t>
      </w:r>
    </w:p>
    <w:p w:rsidR="00D15877" w:rsidRPr="006E61BA" w:rsidP="006E61BA" w14:paraId="0B7C5181" w14:textId="00C86843">
      <w:pPr>
        <w:pStyle w:val="ParaNum"/>
        <w:rPr>
          <w:i/>
          <w:iCs/>
        </w:rPr>
      </w:pPr>
      <w:r>
        <w:t>The Wireless Telecommunications Bureau</w:t>
      </w:r>
      <w:r w:rsidR="00036A12">
        <w:t xml:space="preserve"> (Bureau)</w:t>
      </w:r>
      <w:r>
        <w:t xml:space="preserve"> sought comment on this request.</w:t>
      </w:r>
      <w:r>
        <w:rPr>
          <w:rStyle w:val="FootnoteReference"/>
        </w:rPr>
        <w:footnoteReference w:id="13"/>
      </w:r>
      <w:r w:rsidR="00824B47">
        <w:t xml:space="preserve"> </w:t>
      </w:r>
      <w:r w:rsidR="001F260B">
        <w:t xml:space="preserve"> </w:t>
      </w:r>
      <w:r w:rsidR="00A35BEE">
        <w:t xml:space="preserve">One comment was submitted by </w:t>
      </w:r>
      <w:r w:rsidR="005965B9">
        <w:t xml:space="preserve">the National Telecommunications and Information </w:t>
      </w:r>
      <w:r w:rsidR="00BB507A">
        <w:t>Administration</w:t>
      </w:r>
      <w:r w:rsidR="00774AA6">
        <w:t xml:space="preserve"> (NTIA)</w:t>
      </w:r>
      <w:r w:rsidR="005965B9">
        <w:t xml:space="preserve"> </w:t>
      </w:r>
      <w:r w:rsidR="00774AA6">
        <w:t>on b</w:t>
      </w:r>
      <w:r w:rsidR="00091722">
        <w:t xml:space="preserve">ehalf of </w:t>
      </w:r>
      <w:r w:rsidR="00774AA6">
        <w:t>the</w:t>
      </w:r>
      <w:r w:rsidR="00091722">
        <w:t xml:space="preserve"> National </w:t>
      </w:r>
      <w:r w:rsidR="000D31F2">
        <w:t>Science</w:t>
      </w:r>
      <w:r w:rsidR="00091722">
        <w:t xml:space="preserve"> </w:t>
      </w:r>
      <w:r w:rsidR="000D31F2">
        <w:t>F</w:t>
      </w:r>
      <w:r w:rsidR="00091722">
        <w:t xml:space="preserve">oundation </w:t>
      </w:r>
      <w:r w:rsidR="000D31F2">
        <w:t>(NSF)</w:t>
      </w:r>
      <w:r w:rsidR="00934BFD">
        <w:t xml:space="preserve">, </w:t>
      </w:r>
      <w:r w:rsidR="00F106FD">
        <w:t>requesting that</w:t>
      </w:r>
      <w:r w:rsidR="00712535">
        <w:t xml:space="preserve"> as a condition of approval</w:t>
      </w:r>
      <w:r w:rsidR="001F260B">
        <w:t>,</w:t>
      </w:r>
      <w:r w:rsidR="00712535">
        <w:t xml:space="preserve"> no operations be permitted within certain exclusion zones detailed in the comment.</w:t>
      </w:r>
      <w:r>
        <w:rPr>
          <w:rStyle w:val="FootnoteReference"/>
        </w:rPr>
        <w:footnoteReference w:id="14"/>
      </w:r>
      <w:r w:rsidR="00B26ED7">
        <w:t xml:space="preserve"> </w:t>
      </w:r>
      <w:r w:rsidR="001F260B">
        <w:t xml:space="preserve"> </w:t>
      </w:r>
      <w:r w:rsidR="00E41396">
        <w:t>ContiTech</w:t>
      </w:r>
      <w:r w:rsidR="00E41396">
        <w:t xml:space="preserve"> </w:t>
      </w:r>
      <w:r w:rsidR="009A214D">
        <w:t>agreed</w:t>
      </w:r>
      <w:r w:rsidR="00E41396">
        <w:t xml:space="preserve"> with the proposed condition</w:t>
      </w:r>
      <w:r w:rsidR="032F3FAD">
        <w:t xml:space="preserve"> and we list the locations attached as an Appendix</w:t>
      </w:r>
      <w:r w:rsidR="009A214D">
        <w:t>.</w:t>
      </w:r>
      <w:r>
        <w:rPr>
          <w:rStyle w:val="FootnoteReference"/>
        </w:rPr>
        <w:footnoteReference w:id="15"/>
      </w:r>
    </w:p>
    <w:p w:rsidR="0097496D" w:rsidP="0097496D" w14:paraId="5F17131A" w14:textId="4EFBB8E5">
      <w:pPr>
        <w:pStyle w:val="Heading1"/>
      </w:pPr>
      <w:r>
        <w:t>Discussion</w:t>
      </w:r>
    </w:p>
    <w:p w:rsidR="00F10311" w:rsidP="0097496D" w14:paraId="72D7B47C" w14:textId="190A60EE">
      <w:pPr>
        <w:pStyle w:val="ParaNum"/>
      </w:pPr>
      <w:r>
        <w:t>To obtain a waiver of the Commission</w:t>
      </w:r>
      <w:r w:rsidR="00BB18C9">
        <w:t>’</w:t>
      </w:r>
      <w:r>
        <w:t xml:space="preserve">s </w:t>
      </w:r>
      <w:r w:rsidR="00BB18C9">
        <w:t>r</w:t>
      </w:r>
      <w:r>
        <w:t>ules, a petitioner must demonstrate either that the underlying purpose of the rule(s) would not be served or would be frustrated by application to the present case and that grant of the waiver would be in the public interest; or that,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6"/>
      </w:r>
    </w:p>
    <w:p w:rsidR="00502166" w:rsidP="00502166" w14:paraId="33C411C8" w14:textId="0D3341E2">
      <w:pPr>
        <w:pStyle w:val="ParaNum"/>
      </w:pPr>
      <w:r>
        <w:t>When the Commission designated the 76-81 GHz band for vehicular radar and radar in airport air operations areas, it declined to permit additional types of fixed radar in the band so as to “mitigate any risk that fixed radar operations could cause harmful interference to and impair the reliability of vehicular radar operations in the band.”</w:t>
      </w:r>
      <w:r>
        <w:rPr>
          <w:rStyle w:val="FootnoteReference"/>
        </w:rPr>
        <w:footnoteReference w:id="17"/>
      </w:r>
      <w:r w:rsidR="00287423">
        <w:t xml:space="preserve">  </w:t>
      </w:r>
      <w:r w:rsidR="00FD3346">
        <w:t xml:space="preserve">It </w:t>
      </w:r>
      <w:r w:rsidR="008F38E0">
        <w:t>noted that there is adequate geographic separation between public roads and airport air operations areas to avoid harmful interference to vehicular radars.</w:t>
      </w:r>
      <w:r>
        <w:rPr>
          <w:rStyle w:val="FootnoteReference"/>
        </w:rPr>
        <w:footnoteReference w:id="18"/>
      </w:r>
      <w:r w:rsidR="008F38E0">
        <w:t xml:space="preserve"> </w:t>
      </w:r>
      <w:r w:rsidR="00154AE4">
        <w:t xml:space="preserve"> </w:t>
      </w:r>
      <w:r w:rsidR="008F38E0">
        <w:t xml:space="preserve">The Commission also stated, </w:t>
      </w:r>
    </w:p>
    <w:p w:rsidR="001961F6" w:rsidP="00A425CA" w14:paraId="21CF97D1" w14:textId="6C9681FA">
      <w:pPr>
        <w:pStyle w:val="ParaNum"/>
        <w:numPr>
          <w:ilvl w:val="0"/>
          <w:numId w:val="0"/>
        </w:numPr>
        <w:ind w:left="720" w:right="720"/>
        <w:jc w:val="both"/>
      </w:pPr>
      <w:r>
        <w:t xml:space="preserve">We acknowledge that, under careful coordination, it might nevertheless be possible for fixed radars to operate in the band at carefully selected locations without causing harmful interference to vehicular radars. </w:t>
      </w:r>
      <w:r w:rsidR="00154AE4">
        <w:t xml:space="preserve"> </w:t>
      </w:r>
      <w:r>
        <w:t xml:space="preserve">Presently, there is insufficient information in the record to develop the specific criteria for a successful coordination process. </w:t>
      </w:r>
      <w:r w:rsidR="00154AE4">
        <w:t xml:space="preserve"> </w:t>
      </w:r>
      <w:r>
        <w:t xml:space="preserve">Interested parties may provide future filings that might provide such detail. </w:t>
      </w:r>
      <w:r w:rsidR="00154AE4">
        <w:t xml:space="preserve"> </w:t>
      </w:r>
      <w:r>
        <w:t xml:space="preserve">We are open to the possibility that specific, limited fixed uses of 76-81 GHz radars outside of airport locations may be possible, provided we can be convinced that such use would not cause harmful interference </w:t>
      </w:r>
      <w:r>
        <w:t>to vehicular radar operations in the band.</w:t>
      </w:r>
      <w:r>
        <w:rPr>
          <w:rStyle w:val="FootnoteReference"/>
        </w:rPr>
        <w:footnoteReference w:id="19"/>
      </w:r>
    </w:p>
    <w:p w:rsidR="001961F6" w:rsidP="00E960DF" w14:paraId="35F3B7E7" w14:textId="4C6C27B2">
      <w:pPr>
        <w:pStyle w:val="ParaNum"/>
      </w:pPr>
      <w:r>
        <w:t>ContiTech</w:t>
      </w:r>
      <w:r w:rsidR="00875FFA">
        <w:t xml:space="preserve"> asserts that the</w:t>
      </w:r>
      <w:r w:rsidR="00BE12E6">
        <w:t xml:space="preserve"> </w:t>
      </w:r>
      <w:r w:rsidRPr="009D7283" w:rsidR="009D7283">
        <w:t>radiation of material on conveyor belts in mining and</w:t>
      </w:r>
      <w:r w:rsidR="009D7283">
        <w:t xml:space="preserve"> </w:t>
      </w:r>
      <w:r w:rsidRPr="009D7283" w:rsidR="009D7283">
        <w:t>tunneling operations, and at processing plants and loading terminals,</w:t>
      </w:r>
      <w:r w:rsidR="00BE12E6">
        <w:t xml:space="preserve"> </w:t>
      </w:r>
      <w:r w:rsidRPr="009D7283" w:rsidR="009D7283">
        <w:t>is precisely the type of “specific, limited fixed use[]”</w:t>
      </w:r>
      <w:r w:rsidR="009D7283">
        <w:t xml:space="preserve"> </w:t>
      </w:r>
      <w:r w:rsidRPr="009D7283" w:rsidR="009D7283">
        <w:t>that would not undermine the Commission’s rules and would greatly serve the public</w:t>
      </w:r>
      <w:r w:rsidR="009D7283">
        <w:t xml:space="preserve"> </w:t>
      </w:r>
      <w:r w:rsidRPr="009D7283" w:rsidR="009D7283">
        <w:t>interest in multiple ways.</w:t>
      </w:r>
      <w:r>
        <w:rPr>
          <w:rStyle w:val="FootnoteReference"/>
        </w:rPr>
        <w:footnoteReference w:id="20"/>
      </w:r>
      <w:r w:rsidR="000804B1">
        <w:t xml:space="preserve"> </w:t>
      </w:r>
      <w:r w:rsidR="00B92856">
        <w:t xml:space="preserve"> </w:t>
      </w:r>
      <w:r w:rsidR="008E2B9A">
        <w:t xml:space="preserve">It </w:t>
      </w:r>
      <w:r w:rsidR="00DC42D4">
        <w:t>intends</w:t>
      </w:r>
      <w:r w:rsidR="008E2B9A">
        <w:t xml:space="preserve"> to mitigate the risk of </w:t>
      </w:r>
      <w:r w:rsidRPr="006C723A" w:rsidR="00F93324">
        <w:t xml:space="preserve">harmful </w:t>
      </w:r>
      <w:r w:rsidRPr="006C723A" w:rsidR="00DC42D4">
        <w:t>interference</w:t>
      </w:r>
      <w:r w:rsidR="008E2B9A">
        <w:t xml:space="preserve"> with the following efforts</w:t>
      </w:r>
      <w:r w:rsidR="00B37537">
        <w:t>:</w:t>
      </w:r>
      <w:r w:rsidR="008E2B9A">
        <w:t xml:space="preserve"> </w:t>
      </w:r>
      <w:r w:rsidR="00497ED9">
        <w:t xml:space="preserve">pseudo-noise coding </w:t>
      </w:r>
      <w:r w:rsidR="00827E2C">
        <w:t xml:space="preserve">to </w:t>
      </w:r>
      <w:r w:rsidR="00497ED9">
        <w:t xml:space="preserve">avoid harmful interference to co-channel vehicular radar operations, </w:t>
      </w:r>
      <w:r w:rsidR="00827E2C">
        <w:t xml:space="preserve">and placing the Device on </w:t>
      </w:r>
      <w:r w:rsidR="00762034">
        <w:t>controlled property in a downward position towards the conveyor belt</w:t>
      </w:r>
      <w:r w:rsidR="003968CE">
        <w:t xml:space="preserve"> away from other receivers</w:t>
      </w:r>
      <w:r w:rsidR="00762034">
        <w:t xml:space="preserve"> </w:t>
      </w:r>
      <w:r w:rsidR="003968CE">
        <w:t xml:space="preserve">to avoid </w:t>
      </w:r>
      <w:r w:rsidR="002B0D64">
        <w:t>additional interference</w:t>
      </w:r>
      <w:r w:rsidR="00497ED9">
        <w:t>.</w:t>
      </w:r>
      <w:r>
        <w:rPr>
          <w:rStyle w:val="FootnoteReference"/>
        </w:rPr>
        <w:footnoteReference w:id="21"/>
      </w:r>
      <w:r w:rsidR="00497ED9">
        <w:t xml:space="preserve">  The Device will also be limited to an EIRP not exceeding 30 dBm for the long-range device and not exceeding 24 dBm for the short-range device.</w:t>
      </w:r>
      <w:r>
        <w:rPr>
          <w:rStyle w:val="FootnoteReference"/>
        </w:rPr>
        <w:footnoteReference w:id="22"/>
      </w:r>
      <w:r w:rsidR="00497ED9">
        <w:t xml:space="preserve"> </w:t>
      </w:r>
      <w:r w:rsidR="00F93324">
        <w:t xml:space="preserve"> </w:t>
      </w:r>
      <w:r w:rsidR="00497ED9">
        <w:t>This is consistent with other operation</w:t>
      </w:r>
      <w:r w:rsidR="00F93324">
        <w:t>s</w:t>
      </w:r>
      <w:r w:rsidR="00497ED9">
        <w:t xml:space="preserve"> in this band. </w:t>
      </w:r>
      <w:r w:rsidR="000804B1">
        <w:t xml:space="preserve"> </w:t>
      </w:r>
    </w:p>
    <w:p w:rsidR="0048050D" w:rsidP="009D7283" w14:paraId="61D84F18" w14:textId="179F203D">
      <w:pPr>
        <w:pStyle w:val="ParaNum"/>
      </w:pPr>
      <w:r>
        <w:t>ContiTech</w:t>
      </w:r>
      <w:r>
        <w:t xml:space="preserve"> asserts that this grant would be in the public interest as it would min</w:t>
      </w:r>
      <w:r w:rsidR="00C979A1">
        <w:t>imize dangerous</w:t>
      </w:r>
      <w:r>
        <w:t xml:space="preserve"> conditions</w:t>
      </w:r>
      <w:r w:rsidR="001605B9">
        <w:t xml:space="preserve"> and </w:t>
      </w:r>
      <w:r w:rsidR="00C979A1">
        <w:t xml:space="preserve">related environmental damage </w:t>
      </w:r>
      <w:r w:rsidR="008B03B2">
        <w:t>by preventing spillage of materials and the</w:t>
      </w:r>
      <w:r w:rsidR="00D61AA9">
        <w:t xml:space="preserve"> </w:t>
      </w:r>
      <w:r w:rsidR="00767E00">
        <w:t xml:space="preserve">associated </w:t>
      </w:r>
      <w:r w:rsidR="008B03B2">
        <w:t>risk</w:t>
      </w:r>
      <w:r w:rsidR="00D61AA9">
        <w:t xml:space="preserve"> </w:t>
      </w:r>
      <w:r w:rsidR="00A8078E">
        <w:t>of clean-up</w:t>
      </w:r>
      <w:r w:rsidR="008B03B2">
        <w:t>.</w:t>
      </w:r>
      <w:r>
        <w:rPr>
          <w:rStyle w:val="FootnoteReference"/>
        </w:rPr>
        <w:footnoteReference w:id="23"/>
      </w:r>
      <w:r w:rsidR="00B92856">
        <w:t xml:space="preserve">  </w:t>
      </w:r>
      <w:r w:rsidR="000C76A0">
        <w:t>It</w:t>
      </w:r>
      <w:r w:rsidR="007C54C0">
        <w:t xml:space="preserve"> also asse</w:t>
      </w:r>
      <w:r w:rsidR="004A51A6">
        <w:t>r</w:t>
      </w:r>
      <w:r w:rsidR="007C54C0">
        <w:t>t</w:t>
      </w:r>
      <w:r w:rsidR="000C76A0">
        <w:t xml:space="preserve">s </w:t>
      </w:r>
      <w:r w:rsidR="007C54C0">
        <w:t xml:space="preserve">that this grant would maximize energy </w:t>
      </w:r>
      <w:r w:rsidR="00D14243">
        <w:t xml:space="preserve">efficiency </w:t>
      </w:r>
      <w:r w:rsidR="00F77064">
        <w:t xml:space="preserve">in addition to the improved tracking </w:t>
      </w:r>
      <w:r w:rsidR="007B0753">
        <w:t>of the material on the con</w:t>
      </w:r>
      <w:r w:rsidR="00E64D0D">
        <w:t>veyor belt</w:t>
      </w:r>
      <w:r>
        <w:rPr>
          <w:rStyle w:val="FootnoteReference"/>
        </w:rPr>
        <w:footnoteReference w:id="24"/>
      </w:r>
      <w:r w:rsidR="002F08C0">
        <w:t xml:space="preserve"> </w:t>
      </w:r>
    </w:p>
    <w:p w:rsidR="00A12CAD" w:rsidP="00A12CAD" w14:paraId="4A4BDA7A" w14:textId="3DE27A8E">
      <w:pPr>
        <w:pStyle w:val="ParaNum"/>
      </w:pPr>
      <w:r>
        <w:t xml:space="preserve">We </w:t>
      </w:r>
      <w:r w:rsidR="02820269">
        <w:t xml:space="preserve">find that </w:t>
      </w:r>
      <w:r w:rsidR="02820269">
        <w:t>ContiTech</w:t>
      </w:r>
      <w:r w:rsidR="02820269">
        <w:t xml:space="preserve"> has met </w:t>
      </w:r>
      <w:r w:rsidR="00AC30E5">
        <w:t xml:space="preserve">the </w:t>
      </w:r>
      <w:r w:rsidR="02820269">
        <w:t xml:space="preserve">waiver standard </w:t>
      </w:r>
      <w:r w:rsidR="005060A3">
        <w:t>under Section 1.925</w:t>
      </w:r>
      <w:r w:rsidR="00987395">
        <w:t>(b)(3)(i)</w:t>
      </w:r>
      <w:r w:rsidR="005060A3">
        <w:t xml:space="preserve"> of our rules </w:t>
      </w:r>
      <w:r w:rsidR="02820269">
        <w:t xml:space="preserve">and </w:t>
      </w:r>
      <w:r>
        <w:t>grant this request</w:t>
      </w:r>
      <w:r w:rsidR="001007FB">
        <w:t xml:space="preserve"> to waive</w:t>
      </w:r>
      <w:r w:rsidR="00401DDC">
        <w:t xml:space="preserve"> </w:t>
      </w:r>
      <w:r w:rsidR="00F71622">
        <w:t>section 90.103(b)</w:t>
      </w:r>
      <w:r w:rsidR="00FD6ED3">
        <w:t xml:space="preserve">, </w:t>
      </w:r>
      <w:r>
        <w:t>subject to the conditions listed below.</w:t>
      </w:r>
      <w:r w:rsidR="006F20C1">
        <w:t xml:space="preserve">  </w:t>
      </w:r>
      <w:r w:rsidR="499CA65A">
        <w:t xml:space="preserve">We find that </w:t>
      </w:r>
      <w:r w:rsidR="499CA65A">
        <w:t>ContiTech</w:t>
      </w:r>
      <w:r w:rsidR="499CA65A">
        <w:t xml:space="preserve"> has demonstrated </w:t>
      </w:r>
      <w:r w:rsidR="006D5FAF">
        <w:t xml:space="preserve">that </w:t>
      </w:r>
      <w:r w:rsidR="4F0208D8">
        <w:t xml:space="preserve">the </w:t>
      </w:r>
      <w:r w:rsidR="0065555E">
        <w:t>Device</w:t>
      </w:r>
      <w:r w:rsidR="4F0208D8">
        <w:t xml:space="preserve"> can serve an important </w:t>
      </w:r>
      <w:r w:rsidR="00DA42E5">
        <w:t xml:space="preserve">public interest </w:t>
      </w:r>
      <w:r w:rsidR="4F0208D8">
        <w:t>function</w:t>
      </w:r>
      <w:r w:rsidR="003A263C">
        <w:t xml:space="preserve"> by </w:t>
      </w:r>
      <w:r w:rsidR="4F0208D8">
        <w:t>monitor</w:t>
      </w:r>
      <w:r w:rsidR="002D096D">
        <w:t>ing</w:t>
      </w:r>
      <w:r w:rsidR="4F0208D8">
        <w:t xml:space="preserve"> material in various milling, </w:t>
      </w:r>
      <w:r w:rsidR="006221E2">
        <w:t xml:space="preserve">mining, </w:t>
      </w:r>
      <w:r w:rsidR="4F0208D8">
        <w:t>and other processes</w:t>
      </w:r>
      <w:r w:rsidR="1747EC2D">
        <w:t xml:space="preserve"> to improve the safety and efficiency of such </w:t>
      </w:r>
      <w:r w:rsidR="00454F86">
        <w:t xml:space="preserve">mining </w:t>
      </w:r>
      <w:r w:rsidR="1747EC2D">
        <w:t>operations</w:t>
      </w:r>
      <w:r w:rsidR="00E313C8">
        <w:t xml:space="preserve"> </w:t>
      </w:r>
      <w:r w:rsidR="00DE4DDE">
        <w:t xml:space="preserve"> and the other uses detailed i</w:t>
      </w:r>
      <w:r w:rsidR="001659A6">
        <w:t>n this request</w:t>
      </w:r>
      <w:r w:rsidR="1747EC2D">
        <w:t>.</w:t>
      </w:r>
      <w:r w:rsidR="006F20C1">
        <w:t xml:space="preserve">  </w:t>
      </w:r>
      <w:r w:rsidR="1747EC2D">
        <w:t xml:space="preserve">Further, </w:t>
      </w:r>
      <w:r w:rsidR="000C76A0">
        <w:t>it</w:t>
      </w:r>
      <w:r w:rsidR="00392825">
        <w:t xml:space="preserve">s operations will be conducted </w:t>
      </w:r>
      <w:r w:rsidR="007A7722">
        <w:t xml:space="preserve">under Part 90 </w:t>
      </w:r>
      <w:r w:rsidR="1747EC2D">
        <w:t>site-based radiolocation rules</w:t>
      </w:r>
      <w:r w:rsidR="002F0D78">
        <w:t>,</w:t>
      </w:r>
      <w:r w:rsidR="1747EC2D">
        <w:t xml:space="preserve"> </w:t>
      </w:r>
      <w:r w:rsidR="001D0AC9">
        <w:t>meaning that eac</w:t>
      </w:r>
      <w:r w:rsidR="002D2A8B">
        <w:t>h installation</w:t>
      </w:r>
      <w:r w:rsidR="009931D0">
        <w:t xml:space="preserve"> will require a separate application and </w:t>
      </w:r>
      <w:r w:rsidR="00227EC6">
        <w:t xml:space="preserve">authorization </w:t>
      </w:r>
      <w:r w:rsidR="009931D0">
        <w:t>by the Bureau</w:t>
      </w:r>
      <w:r w:rsidR="00742AD8">
        <w:t>, which allows additional conditions for operation to be added if needed.</w:t>
      </w:r>
      <w:r w:rsidR="009931D0">
        <w:t xml:space="preserve">  </w:t>
      </w:r>
      <w:r w:rsidR="139A65F2">
        <w:t xml:space="preserve">  </w:t>
      </w:r>
    </w:p>
    <w:p w:rsidR="00E362A6" w:rsidP="0097496D" w14:paraId="09F157D4" w14:textId="637FE371">
      <w:pPr>
        <w:pStyle w:val="ParaNum"/>
      </w:pPr>
      <w:r>
        <w:t xml:space="preserve">In addition to the Part 90 licensing process, </w:t>
      </w:r>
      <w:r>
        <w:t>ContiTech</w:t>
      </w:r>
      <w:r>
        <w:t xml:space="preserve"> has offered sufficient conditions on th</w:t>
      </w:r>
      <w:r w:rsidR="6D7D92C4">
        <w:t xml:space="preserve">e grant and agreed to avoid areas of concern expressed by </w:t>
      </w:r>
      <w:r w:rsidR="0060721F">
        <w:t xml:space="preserve">the </w:t>
      </w:r>
      <w:r w:rsidR="6D7D92C4">
        <w:t>NTIA</w:t>
      </w:r>
      <w:r w:rsidR="002F0D78">
        <w:t xml:space="preserve"> and NS</w:t>
      </w:r>
      <w:r w:rsidR="0031360E">
        <w:t>F</w:t>
      </w:r>
      <w:r w:rsidR="6D7D92C4">
        <w:t xml:space="preserve">.  </w:t>
      </w:r>
    </w:p>
    <w:p w:rsidR="00D15877" w:rsidP="006E61BA" w14:paraId="5328FD79" w14:textId="39ED5ADF">
      <w:pPr>
        <w:pStyle w:val="ParaNum"/>
      </w:pPr>
      <w:r>
        <w:t>Based on the  public interest benefits presented,</w:t>
      </w:r>
      <w:r w:rsidR="6D7D92C4">
        <w:t xml:space="preserve"> we find this waiver would serve the public interest </w:t>
      </w:r>
      <w:r w:rsidR="19319C94">
        <w:t xml:space="preserve">by increasing the safety and efficiency of the applications presented by </w:t>
      </w:r>
      <w:r w:rsidR="19319C94">
        <w:t>ContiTech</w:t>
      </w:r>
      <w:r w:rsidR="19319C94">
        <w:t xml:space="preserve"> and would not undermine the purpose of the rules</w:t>
      </w:r>
      <w:r w:rsidR="0B74EA8F">
        <w:t xml:space="preserve"> by allowing these operations without interfering with other users of the band.</w:t>
      </w:r>
    </w:p>
    <w:p w:rsidR="0097496D" w:rsidP="00A12CAD" w14:paraId="4D809B1C" w14:textId="5ED75157">
      <w:pPr>
        <w:pStyle w:val="Heading2"/>
      </w:pPr>
      <w:r>
        <w:t xml:space="preserve">Conditions </w:t>
      </w:r>
    </w:p>
    <w:p w:rsidR="3EBCC72A" w:rsidP="000E036B" w14:paraId="308431BC" w14:textId="13755993">
      <w:pPr>
        <w:pStyle w:val="ParaNum"/>
      </w:pPr>
      <w:r>
        <w:t>We grant the waiver subject to the following conditions:</w:t>
      </w:r>
    </w:p>
    <w:p w:rsidR="004B2D23" w:rsidP="43384FBD" w14:paraId="1EBAE249" w14:textId="37558D41">
      <w:pPr>
        <w:pStyle w:val="ParaNum"/>
        <w:numPr>
          <w:ilvl w:val="1"/>
          <w:numId w:val="9"/>
        </w:numPr>
      </w:pPr>
      <w:r>
        <w:t>Use is limited to: Underground and above-ground (i.e., open pit) mining</w:t>
      </w:r>
      <w:r w:rsidR="006C75FC">
        <w:t xml:space="preserve"> </w:t>
      </w:r>
      <w:r>
        <w:t xml:space="preserve">operations, and milling and tunneling operations; </w:t>
      </w:r>
      <w:r w:rsidR="006F03E2">
        <w:t>b</w:t>
      </w:r>
      <w:r>
        <w:t>ulk material processing</w:t>
      </w:r>
      <w:r w:rsidR="006C75FC">
        <w:t xml:space="preserve"> </w:t>
      </w:r>
      <w:r>
        <w:t xml:space="preserve">operations; and </w:t>
      </w:r>
      <w:r w:rsidR="157DA8A0">
        <w:t>l</w:t>
      </w:r>
      <w:r>
        <w:t>oading terminal operations</w:t>
      </w:r>
      <w:r w:rsidR="006C75FC">
        <w:t>.</w:t>
      </w:r>
      <w:r w:rsidRPr="00467040" w:rsidR="00467040">
        <w:t xml:space="preserve"> </w:t>
      </w:r>
    </w:p>
    <w:p w:rsidR="00B86686" w:rsidP="43384FBD" w14:paraId="7BE9162F" w14:textId="08E96675">
      <w:pPr>
        <w:pStyle w:val="ParaNum"/>
        <w:numPr>
          <w:ilvl w:val="1"/>
          <w:numId w:val="9"/>
        </w:numPr>
      </w:pPr>
      <w:r>
        <w:t>A good</w:t>
      </w:r>
      <w:r w:rsidR="008C0643">
        <w:t xml:space="preserve"> faith effort </w:t>
      </w:r>
      <w:r>
        <w:t xml:space="preserve">shall be made </w:t>
      </w:r>
      <w:r w:rsidR="008C0643">
        <w:t xml:space="preserve">to place the device on </w:t>
      </w:r>
      <w:r w:rsidRPr="00C66103" w:rsidR="00C66103">
        <w:t xml:space="preserve">portions of the conveyer that are away from places that vehicles could be expected to operate and/or place appropriate conditions and restrictions on vehicle use near the belts.  </w:t>
      </w:r>
    </w:p>
    <w:p w:rsidR="004B2D23" w:rsidP="43384FBD" w14:paraId="43AD9284" w14:textId="2A3519D2">
      <w:pPr>
        <w:pStyle w:val="ParaNum"/>
        <w:numPr>
          <w:ilvl w:val="1"/>
          <w:numId w:val="9"/>
        </w:numPr>
        <w:rPr>
          <w:szCs w:val="22"/>
        </w:rPr>
      </w:pPr>
      <w:r>
        <w:t>EIRP may not exceed 30 dBm</w:t>
      </w:r>
      <w:r w:rsidR="006C75FC">
        <w:t>.</w:t>
      </w:r>
      <w:r>
        <w:rPr>
          <w:rStyle w:val="FootnoteReference"/>
        </w:rPr>
        <w:footnoteReference w:id="25"/>
      </w:r>
      <w:r w:rsidR="006C75FC">
        <w:t xml:space="preserve"> </w:t>
      </w:r>
    </w:p>
    <w:p w:rsidR="004B2D23" w:rsidP="43384FBD" w14:paraId="4D427A7B" w14:textId="3B256027">
      <w:pPr>
        <w:pStyle w:val="ParaNum"/>
        <w:numPr>
          <w:ilvl w:val="1"/>
          <w:numId w:val="9"/>
        </w:numPr>
      </w:pPr>
      <w:r>
        <w:t xml:space="preserve">Devices may not cause </w:t>
      </w:r>
      <w:r w:rsidR="00B803B8">
        <w:t xml:space="preserve">harmful </w:t>
      </w:r>
      <w:r>
        <w:t>interference to and must tolerate</w:t>
      </w:r>
      <w:r w:rsidR="006C75FC">
        <w:t xml:space="preserve"> </w:t>
      </w:r>
      <w:r>
        <w:t>interference from Government Radiolocation, 76-81 GHz Band Radar, Radio</w:t>
      </w:r>
      <w:r w:rsidR="006C75FC">
        <w:t xml:space="preserve"> </w:t>
      </w:r>
      <w:r>
        <w:t>Astronomy, Amateur, and Space Research operations</w:t>
      </w:r>
      <w:r w:rsidR="006C75FC">
        <w:t xml:space="preserve">. </w:t>
      </w:r>
    </w:p>
    <w:p w:rsidR="004B2D23" w:rsidP="43384FBD" w14:paraId="60238E20" w14:textId="70EDFDAD">
      <w:pPr>
        <w:pStyle w:val="ParaNum"/>
        <w:numPr>
          <w:ilvl w:val="1"/>
          <w:numId w:val="9"/>
        </w:numPr>
      </w:pPr>
      <w:r>
        <w:t>Devices must employ pseudo</w:t>
      </w:r>
      <w:r w:rsidR="0F9B445E">
        <w:t>-</w:t>
      </w:r>
      <w:r>
        <w:t xml:space="preserve">noise coding to </w:t>
      </w:r>
      <w:r w:rsidR="20C56F60">
        <w:t>minimize</w:t>
      </w:r>
      <w:r w:rsidR="006C75FC">
        <w:t xml:space="preserve"> </w:t>
      </w:r>
      <w:r>
        <w:t>harmful interference to co-channel vehicular radar operation, regardless of</w:t>
      </w:r>
      <w:r w:rsidR="006C75FC">
        <w:t xml:space="preserve"> </w:t>
      </w:r>
      <w:r>
        <w:t>positioning or directionality of the radars.</w:t>
      </w:r>
    </w:p>
    <w:p w:rsidR="004B2D23" w:rsidP="43384FBD" w14:paraId="3D449036" w14:textId="687B915D">
      <w:pPr>
        <w:pStyle w:val="ParaNum"/>
        <w:numPr>
          <w:ilvl w:val="1"/>
          <w:numId w:val="9"/>
        </w:numPr>
      </w:pPr>
      <w:r>
        <w:t>Installation of</w:t>
      </w:r>
      <w:r w:rsidR="001F0AAB">
        <w:t xml:space="preserve"> the</w:t>
      </w:r>
      <w:r w:rsidR="00E01840">
        <w:t xml:space="preserve"> </w:t>
      </w:r>
      <w:r>
        <w:t xml:space="preserve">Devices must be </w:t>
      </w:r>
      <w:r w:rsidR="002A7032">
        <w:t xml:space="preserve">so that </w:t>
      </w:r>
      <w:r w:rsidR="001B0CDF">
        <w:t>the direction of the transmission is</w:t>
      </w:r>
      <w:r>
        <w:t xml:space="preserve"> </w:t>
      </w:r>
      <w:r w:rsidR="004C5FED">
        <w:t>downward</w:t>
      </w:r>
      <w:r w:rsidR="007D6B4C">
        <w:t xml:space="preserve"> </w:t>
      </w:r>
      <w:r w:rsidR="000E036B">
        <w:t>on</w:t>
      </w:r>
      <w:r w:rsidR="00972332">
        <w:t xml:space="preserve"> pr</w:t>
      </w:r>
      <w:r w:rsidR="00467040">
        <w:t>ivate property</w:t>
      </w:r>
      <w:r w:rsidR="005B4956">
        <w:t xml:space="preserve">, </w:t>
      </w:r>
      <w:r>
        <w:t>at least 100 meters from any</w:t>
      </w:r>
      <w:r w:rsidR="006C75FC">
        <w:t xml:space="preserve"> </w:t>
      </w:r>
      <w:r>
        <w:t xml:space="preserve">public roadway, and no more than </w:t>
      </w:r>
      <w:r w:rsidR="002E02D1">
        <w:t>90</w:t>
      </w:r>
      <w:r>
        <w:t xml:space="preserve"> </w:t>
      </w:r>
      <w:r w:rsidRPr="002E02D1">
        <w:t>meters above ground level</w:t>
      </w:r>
      <w:r>
        <w:t>.</w:t>
      </w:r>
    </w:p>
    <w:p w:rsidR="00C40F26" w:rsidP="0011792C" w14:paraId="61F9BB87" w14:textId="0A5EB214">
      <w:pPr>
        <w:pStyle w:val="ParaNum"/>
        <w:numPr>
          <w:ilvl w:val="1"/>
          <w:numId w:val="9"/>
        </w:numPr>
      </w:pPr>
      <w:r>
        <w:t xml:space="preserve">In order to </w:t>
      </w:r>
      <w:r w:rsidR="00F4435A">
        <w:t xml:space="preserve">install and operate any Devices </w:t>
      </w:r>
      <w:r w:rsidR="00B95CBD">
        <w:t>within any exclusion zone noted in Table 1 (</w:t>
      </w:r>
      <w:r w:rsidRPr="00A425CA" w:rsidR="001569EF">
        <w:t>see</w:t>
      </w:r>
      <w:r w:rsidRPr="007D6725" w:rsidR="001569EF">
        <w:t xml:space="preserve"> </w:t>
      </w:r>
      <w:r w:rsidR="00B95CBD">
        <w:t xml:space="preserve">Appendix) </w:t>
      </w:r>
      <w:r w:rsidR="00F4435A">
        <w:t>ContiTech</w:t>
      </w:r>
      <w:r w:rsidR="00F4435A">
        <w:t xml:space="preserve"> must </w:t>
      </w:r>
      <w:r w:rsidR="007B3CE9">
        <w:t xml:space="preserve">complete prior coordination with </w:t>
      </w:r>
      <w:r w:rsidR="00DB3B57">
        <w:t xml:space="preserve">the impacted radio astronomy site(s). </w:t>
      </w:r>
      <w:r w:rsidR="001569EF">
        <w:t xml:space="preserve"> </w:t>
      </w:r>
      <w:r w:rsidR="00473558">
        <w:t xml:space="preserve">Any application for Devices in these zones must have the consent of NSF </w:t>
      </w:r>
      <w:r w:rsidR="0011792C">
        <w:t xml:space="preserve">attached, </w:t>
      </w:r>
      <w:r w:rsidR="00F96D12">
        <w:t xml:space="preserve">such coordination may be initiated by contacting </w:t>
      </w:r>
      <w:hyperlink r:id="rId5" w:history="1">
        <w:r w:rsidRPr="3602E1E8" w:rsidR="00F96D12">
          <w:rPr>
            <w:rStyle w:val="Hyperlink"/>
          </w:rPr>
          <w:t>esm@nsf.gov</w:t>
        </w:r>
      </w:hyperlink>
      <w:r w:rsidR="00F96D12">
        <w:t xml:space="preserve">. </w:t>
      </w:r>
    </w:p>
    <w:p w:rsidR="001B1AAA" w:rsidP="43384FBD" w14:paraId="69743FBF" w14:textId="2E80232E">
      <w:pPr>
        <w:pStyle w:val="ParaNum"/>
        <w:numPr>
          <w:ilvl w:val="1"/>
          <w:numId w:val="9"/>
        </w:numPr>
      </w:pPr>
      <w:r>
        <w:t>ContiTech</w:t>
      </w:r>
      <w:r>
        <w:t xml:space="preserve"> must obtain equipment authorization for the Device. </w:t>
      </w:r>
      <w:r w:rsidR="001569EF">
        <w:t xml:space="preserve"> </w:t>
      </w:r>
      <w:r>
        <w:t xml:space="preserve">A copy of the </w:t>
      </w:r>
      <w:r w:rsidR="007345C7">
        <w:t>Bureau’s</w:t>
      </w:r>
      <w:r>
        <w:t xml:space="preserve"> Order granting </w:t>
      </w:r>
      <w:r w:rsidR="001569EF">
        <w:t xml:space="preserve">this </w:t>
      </w:r>
      <w:r>
        <w:t>waiver shall be</w:t>
      </w:r>
      <w:r w:rsidR="30F46E14">
        <w:t xml:space="preserve"> </w:t>
      </w:r>
      <w:r>
        <w:t xml:space="preserve">submitted with the equipment authorization application. </w:t>
      </w:r>
      <w:r w:rsidR="7C4D0EF0">
        <w:t xml:space="preserve"> </w:t>
      </w:r>
      <w:r>
        <w:t xml:space="preserve">The </w:t>
      </w:r>
      <w:r w:rsidR="00316E75">
        <w:t>Bureau</w:t>
      </w:r>
      <w:r>
        <w:t>’s</w:t>
      </w:r>
      <w:r w:rsidR="30F46E14">
        <w:t xml:space="preserve"> </w:t>
      </w:r>
      <w:r>
        <w:t>waiver will apply to the Devices as currently designed, as</w:t>
      </w:r>
      <w:r w:rsidR="30F46E14">
        <w:t xml:space="preserve"> </w:t>
      </w:r>
      <w:r>
        <w:t xml:space="preserve">well as to any future generation versions of the radar </w:t>
      </w:r>
      <w:r w:rsidR="00B105E1">
        <w:t>system</w:t>
      </w:r>
      <w:r>
        <w:t xml:space="preserve"> </w:t>
      </w:r>
      <w:r w:rsidR="00D87AA9">
        <w:t>per our rules.</w:t>
      </w:r>
      <w:r>
        <w:rPr>
          <w:rStyle w:val="FootnoteReference"/>
        </w:rPr>
        <w:footnoteReference w:id="26"/>
      </w:r>
    </w:p>
    <w:p w:rsidR="001B1AAA" w:rsidP="43384FBD" w14:paraId="187BE4F7" w14:textId="67640167">
      <w:pPr>
        <w:pStyle w:val="ParaNum"/>
        <w:numPr>
          <w:ilvl w:val="1"/>
          <w:numId w:val="9"/>
        </w:numPr>
      </w:pPr>
      <w:r>
        <w:t>All o</w:t>
      </w:r>
      <w:r>
        <w:t xml:space="preserve">peration of </w:t>
      </w:r>
      <w:r w:rsidR="00125D44">
        <w:t>the</w:t>
      </w:r>
      <w:r>
        <w:t xml:space="preserve">se </w:t>
      </w:r>
      <w:r>
        <w:t xml:space="preserve">Devices will require a separate </w:t>
      </w:r>
      <w:r w:rsidR="007345C7">
        <w:t>Bu</w:t>
      </w:r>
      <w:r w:rsidR="007C7437">
        <w:t>reau</w:t>
      </w:r>
      <w:r w:rsidR="0069044E">
        <w:t xml:space="preserve"> </w:t>
      </w:r>
      <w:r>
        <w:t xml:space="preserve">authorization </w:t>
      </w:r>
      <w:r w:rsidR="002B0AF7">
        <w:t xml:space="preserve">and license </w:t>
      </w:r>
      <w:r>
        <w:t>from the Bureau, using</w:t>
      </w:r>
      <w:r w:rsidR="00A32368">
        <w:t xml:space="preserve"> Part 90</w:t>
      </w:r>
      <w:r>
        <w:t xml:space="preserve"> radio</w:t>
      </w:r>
      <w:r w:rsidR="0069044E">
        <w:t xml:space="preserve"> </w:t>
      </w:r>
      <w:r>
        <w:t>service code RS (radiolocation service)</w:t>
      </w:r>
      <w:r w:rsidR="00160994">
        <w:t xml:space="preserve"> for each location</w:t>
      </w:r>
      <w:r>
        <w:t xml:space="preserve">. </w:t>
      </w:r>
      <w:r w:rsidR="00B92856">
        <w:t xml:space="preserve"> </w:t>
      </w:r>
      <w:r>
        <w:t>Any application seeking such license</w:t>
      </w:r>
      <w:r w:rsidR="0069044E">
        <w:t xml:space="preserve"> </w:t>
      </w:r>
      <w:r>
        <w:t xml:space="preserve">must contain an exhibit referencing the </w:t>
      </w:r>
      <w:r w:rsidR="007C7437">
        <w:t>Bureau’s</w:t>
      </w:r>
      <w:r>
        <w:t xml:space="preserve"> Order by the</w:t>
      </w:r>
      <w:r w:rsidR="0069044E">
        <w:t xml:space="preserve"> </w:t>
      </w:r>
      <w:r>
        <w:t xml:space="preserve">appropriate DA number, and demonstrate that the </w:t>
      </w:r>
      <w:r w:rsidR="001569EF">
        <w:t>D</w:t>
      </w:r>
      <w:r>
        <w:t>evice(s)</w:t>
      </w:r>
      <w:r w:rsidR="002C23B0">
        <w:t xml:space="preserve"> will comply </w:t>
      </w:r>
      <w:r w:rsidR="00303FB0">
        <w:t>with conditions A-H of this grant.</w:t>
      </w:r>
      <w:r>
        <w:t xml:space="preserve"> </w:t>
      </w:r>
    </w:p>
    <w:p w:rsidR="00E4355D" w:rsidRPr="00C70110" w:rsidP="00BC7483" w14:paraId="6D10CA8B" w14:textId="6745C7A0">
      <w:pPr>
        <w:pStyle w:val="ParaNum"/>
      </w:pPr>
      <w:r>
        <w:t>No operation is authorized prior to license grant, and no applications</w:t>
      </w:r>
      <w:r w:rsidR="00A16551">
        <w:t xml:space="preserve"> will be granted until </w:t>
      </w:r>
      <w:r w:rsidR="00A16551">
        <w:t>ContiTech</w:t>
      </w:r>
      <w:r w:rsidR="00A16551">
        <w:t xml:space="preserve"> obtains equipment authorization.  </w:t>
      </w:r>
    </w:p>
    <w:p w:rsidR="0097496D" w:rsidP="0097496D" w14:paraId="59CB6D5E" w14:textId="77777777">
      <w:pPr>
        <w:pStyle w:val="Heading1"/>
      </w:pPr>
      <w:r>
        <w:t>ordering Clauses</w:t>
      </w:r>
    </w:p>
    <w:p w:rsidR="006E61BA" w:rsidP="006E61BA" w14:paraId="45DA85A3" w14:textId="3196CDF0">
      <w:pPr>
        <w:pStyle w:val="ParaNum"/>
      </w:pPr>
      <w:r>
        <w:t>Accordingly, IT IS ORDERED that pursuant to Section 4(i) of the Communications Act, as amended, 47 U.S.C. § 154(i), and section 1.925 of the Commission’s Rules, 47 CFR § 1.925, the Request for Waiver of section</w:t>
      </w:r>
      <w:r w:rsidR="004C6F92">
        <w:t xml:space="preserve"> </w:t>
      </w:r>
      <w:r w:rsidR="639EE77A">
        <w:t>90.103(b)</w:t>
      </w:r>
      <w:r>
        <w:t xml:space="preserve"> is GRANTED </w:t>
      </w:r>
      <w:r w:rsidR="00EF4726">
        <w:t xml:space="preserve">SUBJECT TO THE CONDITIONS </w:t>
      </w:r>
      <w:r>
        <w:t>described herein.</w:t>
      </w:r>
    </w:p>
    <w:p w:rsidR="0097496D" w:rsidRPr="00181EA1" w:rsidP="00537958" w14:paraId="45C21C7D" w14:textId="55E64EB6">
      <w:pPr>
        <w:pStyle w:val="ParaNum"/>
      </w:pPr>
      <w:r>
        <w:t>These actions are taken under delegated authority pursuant to sections 0.131 and 0.331 of the Commission’s Rules, 47 CFR §§ 0.131, 0.331.</w:t>
      </w:r>
    </w:p>
    <w:p w:rsidR="0097496D" w:rsidRPr="00FB451C" w:rsidP="0097496D" w14:paraId="42CBAE5E" w14:textId="77777777">
      <w:pPr>
        <w:widowControl/>
        <w:tabs>
          <w:tab w:val="left" w:pos="4320"/>
        </w:tabs>
        <w:autoSpaceDE w:val="0"/>
        <w:autoSpaceDN w:val="0"/>
        <w:adjustRightInd w:val="0"/>
        <w:rPr>
          <w:snapToGrid/>
          <w:kern w:val="0"/>
          <w:szCs w:val="22"/>
        </w:rPr>
      </w:pPr>
      <w:r w:rsidRPr="00FB451C">
        <w:rPr>
          <w:snapToGrid/>
          <w:kern w:val="0"/>
          <w:szCs w:val="22"/>
        </w:rPr>
        <w:tab/>
        <w:t>FEDERAL COMMUNICATIONS COMMISSION</w:t>
      </w:r>
    </w:p>
    <w:p w:rsidR="0097496D" w:rsidRPr="00FB451C" w:rsidP="0097496D" w14:paraId="1AED2684" w14:textId="77777777">
      <w:pPr>
        <w:widowControl/>
        <w:tabs>
          <w:tab w:val="left" w:pos="4320"/>
        </w:tabs>
        <w:autoSpaceDE w:val="0"/>
        <w:autoSpaceDN w:val="0"/>
        <w:adjustRightInd w:val="0"/>
        <w:ind w:left="4320"/>
        <w:rPr>
          <w:snapToGrid/>
          <w:kern w:val="0"/>
          <w:szCs w:val="22"/>
        </w:rPr>
      </w:pPr>
    </w:p>
    <w:p w:rsidR="0097496D" w:rsidP="0097496D" w14:paraId="16EB4BAE" w14:textId="1ECB599D">
      <w:pPr>
        <w:widowControl/>
        <w:tabs>
          <w:tab w:val="left" w:pos="4320"/>
        </w:tabs>
        <w:autoSpaceDE w:val="0"/>
        <w:autoSpaceDN w:val="0"/>
        <w:adjustRightInd w:val="0"/>
        <w:rPr>
          <w:rFonts w:ascii="Calibri" w:eastAsia="Calibri" w:hAnsi="Calibri"/>
          <w:noProof/>
        </w:rPr>
      </w:pPr>
      <w:r>
        <w:rPr>
          <w:snapToGrid/>
          <w:kern w:val="0"/>
          <w:szCs w:val="22"/>
        </w:rPr>
        <w:tab/>
      </w:r>
    </w:p>
    <w:p w:rsidR="00237236" w:rsidP="0097496D" w14:paraId="0D00F9D9" w14:textId="77777777">
      <w:pPr>
        <w:widowControl/>
        <w:tabs>
          <w:tab w:val="left" w:pos="4320"/>
        </w:tabs>
        <w:autoSpaceDE w:val="0"/>
        <w:autoSpaceDN w:val="0"/>
        <w:adjustRightInd w:val="0"/>
        <w:rPr>
          <w:rFonts w:ascii="Calibri" w:eastAsia="Calibri" w:hAnsi="Calibri"/>
          <w:noProof/>
        </w:rPr>
      </w:pPr>
    </w:p>
    <w:p w:rsidR="00237236" w:rsidP="0097496D" w14:paraId="0680DCC4" w14:textId="77777777">
      <w:pPr>
        <w:widowControl/>
        <w:tabs>
          <w:tab w:val="left" w:pos="4320"/>
        </w:tabs>
        <w:autoSpaceDE w:val="0"/>
        <w:autoSpaceDN w:val="0"/>
        <w:adjustRightInd w:val="0"/>
        <w:rPr>
          <w:rFonts w:ascii="Calibri" w:eastAsia="Calibri" w:hAnsi="Calibri"/>
          <w:noProof/>
        </w:rPr>
      </w:pPr>
    </w:p>
    <w:p w:rsidR="00237236" w:rsidRPr="00FB451C" w:rsidP="0097496D" w14:paraId="17F97ECD" w14:textId="77777777">
      <w:pPr>
        <w:widowControl/>
        <w:tabs>
          <w:tab w:val="left" w:pos="4320"/>
        </w:tabs>
        <w:autoSpaceDE w:val="0"/>
        <w:autoSpaceDN w:val="0"/>
        <w:adjustRightInd w:val="0"/>
        <w:rPr>
          <w:snapToGrid/>
          <w:kern w:val="0"/>
          <w:szCs w:val="22"/>
        </w:rPr>
      </w:pPr>
    </w:p>
    <w:p w:rsidR="0097496D" w:rsidRPr="00FB451C" w:rsidP="0097496D" w14:paraId="2ABF00D5" w14:textId="77777777">
      <w:pPr>
        <w:widowControl/>
        <w:tabs>
          <w:tab w:val="left" w:pos="4320"/>
        </w:tabs>
        <w:autoSpaceDE w:val="0"/>
        <w:autoSpaceDN w:val="0"/>
        <w:adjustRightInd w:val="0"/>
        <w:ind w:left="4320"/>
        <w:rPr>
          <w:snapToGrid/>
          <w:kern w:val="0"/>
          <w:szCs w:val="22"/>
        </w:rPr>
      </w:pPr>
      <w:r w:rsidRPr="00FB451C">
        <w:rPr>
          <w:snapToGrid/>
          <w:kern w:val="0"/>
          <w:szCs w:val="22"/>
        </w:rPr>
        <w:t>Roger S. Noel</w:t>
      </w:r>
    </w:p>
    <w:p w:rsidR="0097496D" w:rsidRPr="00FB451C" w:rsidP="0097496D" w14:paraId="7C8FC092" w14:textId="77777777">
      <w:pPr>
        <w:widowControl/>
        <w:tabs>
          <w:tab w:val="left" w:pos="4320"/>
        </w:tabs>
        <w:autoSpaceDE w:val="0"/>
        <w:autoSpaceDN w:val="0"/>
        <w:adjustRightInd w:val="0"/>
        <w:ind w:left="4320"/>
        <w:rPr>
          <w:snapToGrid/>
          <w:kern w:val="0"/>
          <w:szCs w:val="22"/>
        </w:rPr>
      </w:pPr>
      <w:r w:rsidRPr="00FB451C">
        <w:rPr>
          <w:snapToGrid/>
          <w:kern w:val="0"/>
          <w:szCs w:val="22"/>
        </w:rPr>
        <w:t>Chief, Mobility Division</w:t>
      </w:r>
    </w:p>
    <w:p w:rsidR="0097496D" w:rsidRPr="00181EA1" w:rsidP="0097496D" w14:paraId="31DB8F09" w14:textId="77777777">
      <w:pPr>
        <w:pStyle w:val="ParaNum"/>
        <w:numPr>
          <w:ilvl w:val="0"/>
          <w:numId w:val="0"/>
        </w:numPr>
        <w:tabs>
          <w:tab w:val="left" w:pos="4320"/>
        </w:tabs>
        <w:ind w:left="4320"/>
      </w:pPr>
      <w:r w:rsidRPr="00FB451C">
        <w:rPr>
          <w:snapToGrid/>
          <w:kern w:val="0"/>
          <w:szCs w:val="22"/>
        </w:rPr>
        <w:t>Wireless Telecommunications Bureau</w:t>
      </w:r>
    </w:p>
    <w:p w:rsidR="00DB0FEF" w:rsidRPr="00053756" w:rsidP="00053756" w14:paraId="08F8BC9C" w14:textId="2B28F6FE">
      <w:pPr>
        <w:widowControl/>
        <w:rPr>
          <w:rFonts w:ascii="Times New Roman Bold" w:hAnsi="Times New Roman Bold"/>
          <w:b/>
          <w:caps/>
        </w:rPr>
      </w:pPr>
    </w:p>
    <w:p w:rsidR="00A943CF" w:rsidRPr="00D06A46" w:rsidP="00930A5D" w14:paraId="15836C1E" w14:textId="1A631840">
      <w:pPr>
        <w:pStyle w:val="Default"/>
        <w:jc w:val="center"/>
        <w:rPr>
          <w:rFonts w:ascii="Times New Roman" w:hAnsi="Times New Roman" w:cs="Times New Roman"/>
          <w:b/>
          <w:bCs/>
          <w:sz w:val="22"/>
          <w:szCs w:val="22"/>
        </w:rPr>
      </w:pPr>
      <w:r w:rsidRPr="00D06A46">
        <w:rPr>
          <w:rFonts w:ascii="Times New Roman" w:hAnsi="Times New Roman" w:cs="Times New Roman"/>
          <w:b/>
          <w:bCs/>
          <w:sz w:val="22"/>
          <w:szCs w:val="22"/>
        </w:rPr>
        <w:t xml:space="preserve">APPENDIX </w:t>
      </w:r>
    </w:p>
    <w:p w:rsidR="00930A5D" w:rsidRPr="00A943CF" w:rsidP="00930A5D" w14:paraId="66A61ADA" w14:textId="77777777">
      <w:pPr>
        <w:pStyle w:val="Default"/>
        <w:jc w:val="center"/>
        <w:rPr>
          <w:rFonts w:ascii="Times New Roman" w:hAnsi="Times New Roman" w:cs="Times New Roman"/>
          <w:sz w:val="22"/>
          <w:szCs w:val="22"/>
        </w:rPr>
      </w:pPr>
    </w:p>
    <w:p w:rsidR="001860A3" w:rsidRPr="00A425CA" w:rsidP="00A425CA" w14:paraId="198FCE5A" w14:textId="5ED2459D">
      <w:pPr>
        <w:pStyle w:val="Default"/>
        <w:jc w:val="center"/>
        <w:rPr>
          <w:rFonts w:ascii="Times New Roman" w:hAnsi="Times New Roman" w:cs="Times New Roman"/>
          <w:b/>
          <w:bCs/>
          <w:sz w:val="22"/>
          <w:szCs w:val="22"/>
        </w:rPr>
      </w:pPr>
      <w:r w:rsidRPr="00A425CA">
        <w:rPr>
          <w:rFonts w:ascii="Times New Roman" w:hAnsi="Times New Roman" w:cs="Times New Roman"/>
          <w:b/>
          <w:bCs/>
          <w:sz w:val="22"/>
          <w:szCs w:val="22"/>
        </w:rPr>
        <w:t>Table 1: Requested prohibition of usage of these frequency bands, unless coordinated.</w:t>
      </w:r>
    </w:p>
    <w:p w:rsidR="00B36183" w:rsidRPr="00A943CF" w:rsidP="001860A3" w14:paraId="59694712" w14:textId="36D874E7">
      <w:pPr>
        <w:pStyle w:val="Default"/>
        <w:rPr>
          <w:rFonts w:ascii="Times New Roman" w:hAnsi="Times New Roman" w:cs="Times New Roman"/>
          <w:sz w:val="22"/>
          <w:szCs w:val="22"/>
        </w:rPr>
      </w:pPr>
    </w:p>
    <w:p w:rsidR="00B36183" w:rsidRPr="00A943CF" w:rsidP="00B37537" w14:paraId="11112863" w14:textId="15E22F37">
      <w:pPr>
        <w:pStyle w:val="Default"/>
        <w:rPr>
          <w:rFonts w:ascii="Times New Roman" w:hAnsi="Times New Roman" w:cs="Times New Roman"/>
          <w:sz w:val="22"/>
          <w:szCs w:val="22"/>
        </w:rPr>
      </w:pPr>
      <w:r w:rsidRPr="00A943CF">
        <w:rPr>
          <w:rFonts w:ascii="Times New Roman" w:hAnsi="Times New Roman" w:cs="Times New Roman"/>
          <w:sz w:val="22"/>
          <w:szCs w:val="22"/>
        </w:rPr>
        <w:t xml:space="preserve">(a) Within 25 km of the National Radio Astronomy Observatory’s (NRAO’s) Very Long Baseline Array (VLBA) Stations: </w:t>
      </w:r>
    </w:p>
    <w:p w:rsidR="005765E8" w:rsidRPr="00A425CA" w:rsidP="005765E8" w14:paraId="710080B0" w14:textId="77777777">
      <w:pPr>
        <w:pStyle w:val="Default"/>
        <w:jc w:val="center"/>
        <w:rPr>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3375"/>
        <w:gridCol w:w="2205"/>
        <w:gridCol w:w="2655"/>
      </w:tblGrid>
      <w:tr w14:paraId="389DB71F" w14:textId="77777777" w:rsidTr="00A425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
          <w:jc w:val="center"/>
        </w:trPr>
        <w:tc>
          <w:tcPr>
            <w:tcW w:w="1215" w:type="dxa"/>
            <w:shd w:val="clear" w:color="auto" w:fill="F2F2F2" w:themeFill="background1" w:themeFillShade="F2"/>
          </w:tcPr>
          <w:p w:rsidR="001860A3" w:rsidRPr="00A425CA" w:rsidP="00B37537" w14:paraId="3CEC0306" w14:textId="77777777">
            <w:pPr>
              <w:pStyle w:val="Default"/>
              <w:rPr>
                <w:rFonts w:ascii="Times New Roman" w:hAnsi="Times New Roman" w:cs="Times New Roman"/>
                <w:b/>
                <w:bCs/>
                <w:sz w:val="22"/>
                <w:szCs w:val="22"/>
              </w:rPr>
            </w:pPr>
            <w:r w:rsidRPr="00A425CA">
              <w:rPr>
                <w:rFonts w:ascii="Times New Roman" w:hAnsi="Times New Roman" w:cs="Times New Roman"/>
                <w:b/>
                <w:bCs/>
                <w:sz w:val="22"/>
                <w:szCs w:val="22"/>
              </w:rPr>
              <w:t>State</w:t>
            </w:r>
          </w:p>
        </w:tc>
        <w:tc>
          <w:tcPr>
            <w:tcW w:w="3375" w:type="dxa"/>
            <w:shd w:val="clear" w:color="auto" w:fill="F2F2F2" w:themeFill="background1" w:themeFillShade="F2"/>
          </w:tcPr>
          <w:p w:rsidR="001860A3" w:rsidRPr="00A425CA" w:rsidP="00B37537" w14:paraId="453CDD17" w14:textId="583C62EB">
            <w:pPr>
              <w:pStyle w:val="Default"/>
              <w:rPr>
                <w:rFonts w:ascii="Times New Roman" w:hAnsi="Times New Roman" w:cs="Times New Roman"/>
                <w:b/>
                <w:bCs/>
                <w:sz w:val="22"/>
                <w:szCs w:val="22"/>
              </w:rPr>
            </w:pPr>
            <w:r w:rsidRPr="00A425CA">
              <w:rPr>
                <w:rFonts w:ascii="Times New Roman" w:hAnsi="Times New Roman" w:cs="Times New Roman"/>
                <w:b/>
                <w:bCs/>
                <w:sz w:val="22"/>
                <w:szCs w:val="22"/>
              </w:rPr>
              <w:t>VLBA Station</w:t>
            </w:r>
          </w:p>
        </w:tc>
        <w:tc>
          <w:tcPr>
            <w:tcW w:w="2205" w:type="dxa"/>
            <w:shd w:val="clear" w:color="auto" w:fill="F2F2F2" w:themeFill="background1" w:themeFillShade="F2"/>
          </w:tcPr>
          <w:p w:rsidR="001860A3" w:rsidRPr="00A425CA" w:rsidP="00B37537" w14:paraId="4AFA8203" w14:textId="1FABB5ED">
            <w:pPr>
              <w:pStyle w:val="Default"/>
              <w:rPr>
                <w:rFonts w:ascii="Times New Roman" w:hAnsi="Times New Roman" w:cs="Times New Roman"/>
                <w:b/>
                <w:bCs/>
                <w:sz w:val="22"/>
                <w:szCs w:val="22"/>
              </w:rPr>
            </w:pPr>
            <w:r w:rsidRPr="00A425CA">
              <w:rPr>
                <w:rFonts w:ascii="Times New Roman" w:hAnsi="Times New Roman" w:cs="Times New Roman"/>
                <w:b/>
                <w:bCs/>
                <w:sz w:val="22"/>
                <w:szCs w:val="22"/>
              </w:rPr>
              <w:t>Lat. (N)</w:t>
            </w:r>
          </w:p>
        </w:tc>
        <w:tc>
          <w:tcPr>
            <w:tcW w:w="2655" w:type="dxa"/>
            <w:shd w:val="clear" w:color="auto" w:fill="F2F2F2" w:themeFill="background1" w:themeFillShade="F2"/>
          </w:tcPr>
          <w:p w:rsidR="001860A3" w:rsidRPr="00A425CA" w:rsidP="00B37537" w14:paraId="075A91F2" w14:textId="196F15CC">
            <w:pPr>
              <w:pStyle w:val="Default"/>
              <w:rPr>
                <w:rFonts w:ascii="Times New Roman" w:hAnsi="Times New Roman" w:cs="Times New Roman"/>
                <w:b/>
                <w:bCs/>
                <w:sz w:val="22"/>
                <w:szCs w:val="22"/>
              </w:rPr>
            </w:pPr>
            <w:r w:rsidRPr="00A425CA">
              <w:rPr>
                <w:rFonts w:ascii="Times New Roman" w:hAnsi="Times New Roman" w:cs="Times New Roman"/>
                <w:b/>
                <w:bCs/>
                <w:sz w:val="22"/>
                <w:szCs w:val="22"/>
              </w:rPr>
              <w:t>Long. (W)</w:t>
            </w:r>
          </w:p>
        </w:tc>
      </w:tr>
      <w:tr w14:paraId="5FE1ABEF" w14:textId="77777777" w:rsidTr="00A425CA">
        <w:tblPrEx>
          <w:tblW w:w="0" w:type="auto"/>
          <w:jc w:val="center"/>
          <w:tblLayout w:type="fixed"/>
          <w:tblLook w:val="0000"/>
        </w:tblPrEx>
        <w:trPr>
          <w:trHeight w:val="99"/>
          <w:jc w:val="center"/>
        </w:trPr>
        <w:tc>
          <w:tcPr>
            <w:tcW w:w="1215" w:type="dxa"/>
          </w:tcPr>
          <w:p w:rsidR="001860A3" w:rsidP="00B37537" w14:paraId="158701AC" w14:textId="55A3FEA3">
            <w:pPr>
              <w:pStyle w:val="Default"/>
              <w:rPr>
                <w:rFonts w:ascii="Times New Roman" w:hAnsi="Times New Roman" w:cs="Times New Roman"/>
                <w:sz w:val="22"/>
                <w:szCs w:val="22"/>
              </w:rPr>
            </w:pPr>
            <w:r>
              <w:rPr>
                <w:rFonts w:ascii="Times New Roman" w:hAnsi="Times New Roman" w:cs="Times New Roman"/>
                <w:sz w:val="22"/>
                <w:szCs w:val="22"/>
              </w:rPr>
              <w:t>AZ</w:t>
            </w:r>
          </w:p>
        </w:tc>
        <w:tc>
          <w:tcPr>
            <w:tcW w:w="3375" w:type="dxa"/>
          </w:tcPr>
          <w:p w:rsidR="001860A3" w:rsidP="00B37537" w14:paraId="7757DC0D" w14:textId="0F6C90A7">
            <w:pPr>
              <w:pStyle w:val="Default"/>
              <w:rPr>
                <w:rFonts w:ascii="Times New Roman" w:hAnsi="Times New Roman" w:cs="Times New Roman"/>
                <w:sz w:val="22"/>
                <w:szCs w:val="22"/>
              </w:rPr>
            </w:pPr>
            <w:r>
              <w:rPr>
                <w:rFonts w:ascii="Times New Roman" w:hAnsi="Times New Roman" w:cs="Times New Roman"/>
                <w:sz w:val="22"/>
                <w:szCs w:val="22"/>
              </w:rPr>
              <w:t>Kitt Peak</w:t>
            </w:r>
          </w:p>
        </w:tc>
        <w:tc>
          <w:tcPr>
            <w:tcW w:w="2205" w:type="dxa"/>
          </w:tcPr>
          <w:p w:rsidR="001860A3" w:rsidP="00B37537" w14:paraId="00A1E440" w14:textId="52F61D8D">
            <w:pPr>
              <w:pStyle w:val="Default"/>
              <w:rPr>
                <w:rFonts w:ascii="Times New Roman" w:hAnsi="Times New Roman" w:cs="Times New Roman"/>
                <w:sz w:val="22"/>
                <w:szCs w:val="22"/>
              </w:rPr>
            </w:pPr>
            <w:r>
              <w:rPr>
                <w:rFonts w:ascii="Times New Roman" w:hAnsi="Times New Roman" w:cs="Times New Roman"/>
                <w:sz w:val="22"/>
                <w:szCs w:val="22"/>
              </w:rPr>
              <w:t>31° 57' 23"</w:t>
            </w:r>
          </w:p>
        </w:tc>
        <w:tc>
          <w:tcPr>
            <w:tcW w:w="2655" w:type="dxa"/>
          </w:tcPr>
          <w:p w:rsidR="001860A3" w:rsidP="00B37537" w14:paraId="5DBE12BC" w14:textId="46D87D9E">
            <w:pPr>
              <w:pStyle w:val="Default"/>
              <w:rPr>
                <w:rFonts w:ascii="Times New Roman" w:hAnsi="Times New Roman" w:cs="Times New Roman"/>
                <w:sz w:val="22"/>
                <w:szCs w:val="22"/>
              </w:rPr>
            </w:pPr>
            <w:r>
              <w:rPr>
                <w:rFonts w:ascii="Times New Roman" w:hAnsi="Times New Roman" w:cs="Times New Roman"/>
                <w:sz w:val="22"/>
                <w:szCs w:val="22"/>
              </w:rPr>
              <w:t>111° 36' 45"</w:t>
            </w:r>
          </w:p>
        </w:tc>
      </w:tr>
      <w:tr w14:paraId="726C310A" w14:textId="77777777" w:rsidTr="00A425CA">
        <w:tblPrEx>
          <w:tblW w:w="0" w:type="auto"/>
          <w:jc w:val="center"/>
          <w:tblLayout w:type="fixed"/>
          <w:tblLook w:val="0000"/>
        </w:tblPrEx>
        <w:trPr>
          <w:trHeight w:val="99"/>
          <w:jc w:val="center"/>
        </w:trPr>
        <w:tc>
          <w:tcPr>
            <w:tcW w:w="1215" w:type="dxa"/>
          </w:tcPr>
          <w:p w:rsidR="001860A3" w:rsidP="00B37537" w14:paraId="6F8DDBDE" w14:textId="7A57F69A">
            <w:pPr>
              <w:pStyle w:val="Default"/>
              <w:rPr>
                <w:rFonts w:ascii="Times New Roman" w:hAnsi="Times New Roman" w:cs="Times New Roman"/>
                <w:sz w:val="22"/>
                <w:szCs w:val="22"/>
              </w:rPr>
            </w:pPr>
            <w:r>
              <w:rPr>
                <w:rFonts w:ascii="Times New Roman" w:hAnsi="Times New Roman" w:cs="Times New Roman"/>
                <w:sz w:val="22"/>
                <w:szCs w:val="22"/>
              </w:rPr>
              <w:t>CA</w:t>
            </w:r>
          </w:p>
        </w:tc>
        <w:tc>
          <w:tcPr>
            <w:tcW w:w="3375" w:type="dxa"/>
          </w:tcPr>
          <w:p w:rsidR="001860A3" w:rsidP="00B37537" w14:paraId="3038D101" w14:textId="1B9C7AD8">
            <w:pPr>
              <w:pStyle w:val="Default"/>
              <w:rPr>
                <w:rFonts w:ascii="Times New Roman" w:hAnsi="Times New Roman" w:cs="Times New Roman"/>
                <w:sz w:val="22"/>
                <w:szCs w:val="22"/>
              </w:rPr>
            </w:pPr>
            <w:r>
              <w:rPr>
                <w:rFonts w:ascii="Times New Roman" w:hAnsi="Times New Roman" w:cs="Times New Roman"/>
                <w:sz w:val="22"/>
                <w:szCs w:val="22"/>
              </w:rPr>
              <w:t>Owens Valley</w:t>
            </w:r>
          </w:p>
        </w:tc>
        <w:tc>
          <w:tcPr>
            <w:tcW w:w="2205" w:type="dxa"/>
          </w:tcPr>
          <w:p w:rsidR="001860A3" w:rsidP="00B37537" w14:paraId="0EB6E8DC" w14:textId="5D215E8C">
            <w:pPr>
              <w:pStyle w:val="Default"/>
              <w:rPr>
                <w:rFonts w:ascii="Times New Roman" w:hAnsi="Times New Roman" w:cs="Times New Roman"/>
                <w:sz w:val="22"/>
                <w:szCs w:val="22"/>
              </w:rPr>
            </w:pPr>
            <w:r>
              <w:rPr>
                <w:rFonts w:ascii="Times New Roman" w:hAnsi="Times New Roman" w:cs="Times New Roman"/>
                <w:sz w:val="22"/>
                <w:szCs w:val="22"/>
              </w:rPr>
              <w:t>37° 13' 54"</w:t>
            </w:r>
          </w:p>
        </w:tc>
        <w:tc>
          <w:tcPr>
            <w:tcW w:w="2655" w:type="dxa"/>
          </w:tcPr>
          <w:p w:rsidR="001860A3" w:rsidP="00B37537" w14:paraId="1A0FFD11" w14:textId="643515E5">
            <w:pPr>
              <w:pStyle w:val="Default"/>
              <w:rPr>
                <w:rFonts w:ascii="Times New Roman" w:hAnsi="Times New Roman" w:cs="Times New Roman"/>
                <w:sz w:val="22"/>
                <w:szCs w:val="22"/>
              </w:rPr>
            </w:pPr>
            <w:r>
              <w:rPr>
                <w:rFonts w:ascii="Times New Roman" w:hAnsi="Times New Roman" w:cs="Times New Roman"/>
                <w:sz w:val="22"/>
                <w:szCs w:val="22"/>
              </w:rPr>
              <w:t>118° 16' 37"</w:t>
            </w:r>
          </w:p>
        </w:tc>
      </w:tr>
      <w:tr w14:paraId="75302189" w14:textId="77777777" w:rsidTr="00A425CA">
        <w:tblPrEx>
          <w:tblW w:w="0" w:type="auto"/>
          <w:jc w:val="center"/>
          <w:tblLayout w:type="fixed"/>
          <w:tblLook w:val="0000"/>
        </w:tblPrEx>
        <w:trPr>
          <w:trHeight w:val="99"/>
          <w:jc w:val="center"/>
        </w:trPr>
        <w:tc>
          <w:tcPr>
            <w:tcW w:w="1215" w:type="dxa"/>
          </w:tcPr>
          <w:p w:rsidR="001860A3" w:rsidP="00B37537" w14:paraId="3BA251DB" w14:textId="6395E7C1">
            <w:pPr>
              <w:pStyle w:val="Default"/>
              <w:rPr>
                <w:rFonts w:ascii="Times New Roman" w:hAnsi="Times New Roman" w:cs="Times New Roman"/>
                <w:sz w:val="22"/>
                <w:szCs w:val="22"/>
              </w:rPr>
            </w:pPr>
            <w:r>
              <w:rPr>
                <w:rFonts w:ascii="Times New Roman" w:hAnsi="Times New Roman" w:cs="Times New Roman"/>
                <w:sz w:val="22"/>
                <w:szCs w:val="22"/>
              </w:rPr>
              <w:t>HI</w:t>
            </w:r>
          </w:p>
        </w:tc>
        <w:tc>
          <w:tcPr>
            <w:tcW w:w="3375" w:type="dxa"/>
          </w:tcPr>
          <w:p w:rsidR="001860A3" w:rsidP="00B37537" w14:paraId="5D2B16E6" w14:textId="08E8B0BB">
            <w:pPr>
              <w:pStyle w:val="Default"/>
              <w:rPr>
                <w:rFonts w:ascii="Times New Roman" w:hAnsi="Times New Roman" w:cs="Times New Roman"/>
                <w:sz w:val="22"/>
                <w:szCs w:val="22"/>
              </w:rPr>
            </w:pPr>
            <w:r>
              <w:rPr>
                <w:rFonts w:ascii="Times New Roman" w:hAnsi="Times New Roman" w:cs="Times New Roman"/>
                <w:sz w:val="22"/>
                <w:szCs w:val="22"/>
              </w:rPr>
              <w:t>Mauna Kea</w:t>
            </w:r>
          </w:p>
        </w:tc>
        <w:tc>
          <w:tcPr>
            <w:tcW w:w="2205" w:type="dxa"/>
          </w:tcPr>
          <w:p w:rsidR="001860A3" w:rsidP="00B37537" w14:paraId="591A5550" w14:textId="61D0B2B3">
            <w:pPr>
              <w:pStyle w:val="Default"/>
              <w:rPr>
                <w:rFonts w:ascii="Times New Roman" w:hAnsi="Times New Roman" w:cs="Times New Roman"/>
                <w:sz w:val="22"/>
                <w:szCs w:val="22"/>
              </w:rPr>
            </w:pPr>
            <w:r>
              <w:rPr>
                <w:rFonts w:ascii="Times New Roman" w:hAnsi="Times New Roman" w:cs="Times New Roman"/>
                <w:sz w:val="22"/>
                <w:szCs w:val="22"/>
              </w:rPr>
              <w:t>19° 48' 05"</w:t>
            </w:r>
          </w:p>
        </w:tc>
        <w:tc>
          <w:tcPr>
            <w:tcW w:w="2655" w:type="dxa"/>
          </w:tcPr>
          <w:p w:rsidR="001860A3" w:rsidP="00B37537" w14:paraId="6247BD25" w14:textId="1E6462C8">
            <w:pPr>
              <w:pStyle w:val="Default"/>
              <w:rPr>
                <w:rFonts w:ascii="Times New Roman" w:hAnsi="Times New Roman" w:cs="Times New Roman"/>
                <w:sz w:val="22"/>
                <w:szCs w:val="22"/>
              </w:rPr>
            </w:pPr>
            <w:r>
              <w:rPr>
                <w:rFonts w:ascii="Times New Roman" w:hAnsi="Times New Roman" w:cs="Times New Roman"/>
                <w:sz w:val="22"/>
                <w:szCs w:val="22"/>
              </w:rPr>
              <w:t>155° 27' 20"</w:t>
            </w:r>
          </w:p>
        </w:tc>
      </w:tr>
      <w:tr w14:paraId="543B88D1" w14:textId="77777777" w:rsidTr="00A425CA">
        <w:tblPrEx>
          <w:tblW w:w="0" w:type="auto"/>
          <w:jc w:val="center"/>
          <w:tblLayout w:type="fixed"/>
          <w:tblLook w:val="0000"/>
        </w:tblPrEx>
        <w:trPr>
          <w:trHeight w:val="99"/>
          <w:jc w:val="center"/>
        </w:trPr>
        <w:tc>
          <w:tcPr>
            <w:tcW w:w="1215" w:type="dxa"/>
          </w:tcPr>
          <w:p w:rsidR="001860A3" w:rsidP="00B37537" w14:paraId="52837097" w14:textId="0C2E5FC3">
            <w:pPr>
              <w:pStyle w:val="Default"/>
              <w:rPr>
                <w:rFonts w:ascii="Times New Roman" w:hAnsi="Times New Roman" w:cs="Times New Roman"/>
                <w:sz w:val="22"/>
                <w:szCs w:val="22"/>
              </w:rPr>
            </w:pPr>
            <w:r>
              <w:rPr>
                <w:rFonts w:ascii="Times New Roman" w:hAnsi="Times New Roman" w:cs="Times New Roman"/>
                <w:sz w:val="22"/>
                <w:szCs w:val="22"/>
              </w:rPr>
              <w:t>IA</w:t>
            </w:r>
          </w:p>
        </w:tc>
        <w:tc>
          <w:tcPr>
            <w:tcW w:w="3375" w:type="dxa"/>
          </w:tcPr>
          <w:p w:rsidR="001860A3" w:rsidP="00B37537" w14:paraId="17833962" w14:textId="6A1C6BCB">
            <w:pPr>
              <w:pStyle w:val="Default"/>
              <w:rPr>
                <w:rFonts w:ascii="Times New Roman" w:hAnsi="Times New Roman" w:cs="Times New Roman"/>
                <w:sz w:val="22"/>
                <w:szCs w:val="22"/>
              </w:rPr>
            </w:pPr>
            <w:r>
              <w:rPr>
                <w:rFonts w:ascii="Times New Roman" w:hAnsi="Times New Roman" w:cs="Times New Roman"/>
                <w:sz w:val="22"/>
                <w:szCs w:val="22"/>
              </w:rPr>
              <w:t>North Liberty</w:t>
            </w:r>
          </w:p>
        </w:tc>
        <w:tc>
          <w:tcPr>
            <w:tcW w:w="2205" w:type="dxa"/>
          </w:tcPr>
          <w:p w:rsidR="001860A3" w:rsidP="00B37537" w14:paraId="203D26FE" w14:textId="5F602E2D">
            <w:pPr>
              <w:pStyle w:val="Default"/>
              <w:rPr>
                <w:rFonts w:ascii="Times New Roman" w:hAnsi="Times New Roman" w:cs="Times New Roman"/>
                <w:sz w:val="22"/>
                <w:szCs w:val="22"/>
              </w:rPr>
            </w:pPr>
            <w:r>
              <w:rPr>
                <w:rFonts w:ascii="Times New Roman" w:hAnsi="Times New Roman" w:cs="Times New Roman"/>
                <w:sz w:val="22"/>
                <w:szCs w:val="22"/>
              </w:rPr>
              <w:t>41° 46' 17"</w:t>
            </w:r>
          </w:p>
        </w:tc>
        <w:tc>
          <w:tcPr>
            <w:tcW w:w="2655" w:type="dxa"/>
          </w:tcPr>
          <w:p w:rsidR="001860A3" w:rsidP="00B37537" w14:paraId="650D8F33" w14:textId="07D84F9D">
            <w:pPr>
              <w:pStyle w:val="Default"/>
              <w:rPr>
                <w:rFonts w:ascii="Times New Roman" w:hAnsi="Times New Roman" w:cs="Times New Roman"/>
                <w:sz w:val="22"/>
                <w:szCs w:val="22"/>
              </w:rPr>
            </w:pPr>
            <w:r>
              <w:rPr>
                <w:rFonts w:ascii="Times New Roman" w:hAnsi="Times New Roman" w:cs="Times New Roman"/>
                <w:sz w:val="22"/>
                <w:szCs w:val="22"/>
              </w:rPr>
              <w:t>91° 34' 27"</w:t>
            </w:r>
          </w:p>
        </w:tc>
      </w:tr>
      <w:tr w14:paraId="7090BEBE" w14:textId="77777777" w:rsidTr="00A425CA">
        <w:tblPrEx>
          <w:tblW w:w="0" w:type="auto"/>
          <w:jc w:val="center"/>
          <w:tblLayout w:type="fixed"/>
          <w:tblLook w:val="0000"/>
        </w:tblPrEx>
        <w:trPr>
          <w:trHeight w:val="99"/>
          <w:jc w:val="center"/>
        </w:trPr>
        <w:tc>
          <w:tcPr>
            <w:tcW w:w="1215" w:type="dxa"/>
          </w:tcPr>
          <w:p w:rsidR="001860A3" w:rsidP="00B37537" w14:paraId="0AFCAC58" w14:textId="1072F6A8">
            <w:pPr>
              <w:pStyle w:val="Default"/>
              <w:rPr>
                <w:rFonts w:ascii="Times New Roman" w:hAnsi="Times New Roman" w:cs="Times New Roman"/>
                <w:sz w:val="22"/>
                <w:szCs w:val="22"/>
              </w:rPr>
            </w:pPr>
            <w:r>
              <w:rPr>
                <w:rFonts w:ascii="Times New Roman" w:hAnsi="Times New Roman" w:cs="Times New Roman"/>
                <w:sz w:val="22"/>
                <w:szCs w:val="22"/>
              </w:rPr>
              <w:t>NH</w:t>
            </w:r>
          </w:p>
        </w:tc>
        <w:tc>
          <w:tcPr>
            <w:tcW w:w="3375" w:type="dxa"/>
          </w:tcPr>
          <w:p w:rsidR="001860A3" w:rsidP="00B37537" w14:paraId="1A6C6D75" w14:textId="256D3C7C">
            <w:pPr>
              <w:pStyle w:val="Default"/>
              <w:rPr>
                <w:rFonts w:ascii="Times New Roman" w:hAnsi="Times New Roman" w:cs="Times New Roman"/>
                <w:sz w:val="22"/>
                <w:szCs w:val="22"/>
              </w:rPr>
            </w:pPr>
            <w:r>
              <w:rPr>
                <w:rFonts w:ascii="Times New Roman" w:hAnsi="Times New Roman" w:cs="Times New Roman"/>
                <w:sz w:val="22"/>
                <w:szCs w:val="22"/>
              </w:rPr>
              <w:t>Hancock</w:t>
            </w:r>
          </w:p>
        </w:tc>
        <w:tc>
          <w:tcPr>
            <w:tcW w:w="2205" w:type="dxa"/>
          </w:tcPr>
          <w:p w:rsidR="001860A3" w:rsidP="00B37537" w14:paraId="4CAFF1E7" w14:textId="6AB63663">
            <w:pPr>
              <w:pStyle w:val="Default"/>
              <w:rPr>
                <w:rFonts w:ascii="Times New Roman" w:hAnsi="Times New Roman" w:cs="Times New Roman"/>
                <w:sz w:val="22"/>
                <w:szCs w:val="22"/>
              </w:rPr>
            </w:pPr>
            <w:r>
              <w:rPr>
                <w:rFonts w:ascii="Times New Roman" w:hAnsi="Times New Roman" w:cs="Times New Roman"/>
                <w:sz w:val="22"/>
                <w:szCs w:val="22"/>
              </w:rPr>
              <w:t>42° 56' 01"</w:t>
            </w:r>
          </w:p>
        </w:tc>
        <w:tc>
          <w:tcPr>
            <w:tcW w:w="2655" w:type="dxa"/>
          </w:tcPr>
          <w:p w:rsidR="001860A3" w:rsidP="00B37537" w14:paraId="14E000F0" w14:textId="6B516FE5">
            <w:pPr>
              <w:pStyle w:val="Default"/>
              <w:rPr>
                <w:rFonts w:ascii="Times New Roman" w:hAnsi="Times New Roman" w:cs="Times New Roman"/>
                <w:sz w:val="22"/>
                <w:szCs w:val="22"/>
              </w:rPr>
            </w:pPr>
            <w:r>
              <w:rPr>
                <w:rFonts w:ascii="Times New Roman" w:hAnsi="Times New Roman" w:cs="Times New Roman"/>
                <w:sz w:val="22"/>
                <w:szCs w:val="22"/>
              </w:rPr>
              <w:t>71° 59' 12"</w:t>
            </w:r>
          </w:p>
        </w:tc>
      </w:tr>
      <w:tr w14:paraId="3A17E19C" w14:textId="77777777" w:rsidTr="00A425CA">
        <w:tblPrEx>
          <w:tblW w:w="0" w:type="auto"/>
          <w:jc w:val="center"/>
          <w:tblLayout w:type="fixed"/>
          <w:tblLook w:val="0000"/>
        </w:tblPrEx>
        <w:trPr>
          <w:trHeight w:val="99"/>
          <w:jc w:val="center"/>
        </w:trPr>
        <w:tc>
          <w:tcPr>
            <w:tcW w:w="1215" w:type="dxa"/>
          </w:tcPr>
          <w:p w:rsidR="001860A3" w:rsidP="00B37537" w14:paraId="7BF26AC4" w14:textId="2E3E8EAA">
            <w:pPr>
              <w:pStyle w:val="Default"/>
              <w:rPr>
                <w:rFonts w:ascii="Times New Roman" w:hAnsi="Times New Roman" w:cs="Times New Roman"/>
                <w:sz w:val="22"/>
                <w:szCs w:val="22"/>
              </w:rPr>
            </w:pPr>
            <w:r>
              <w:rPr>
                <w:rFonts w:ascii="Times New Roman" w:hAnsi="Times New Roman" w:cs="Times New Roman"/>
                <w:sz w:val="22"/>
                <w:szCs w:val="22"/>
              </w:rPr>
              <w:t>NM</w:t>
            </w:r>
          </w:p>
        </w:tc>
        <w:tc>
          <w:tcPr>
            <w:tcW w:w="3375" w:type="dxa"/>
          </w:tcPr>
          <w:p w:rsidR="001860A3" w:rsidP="00B37537" w14:paraId="1DF6E933" w14:textId="30F3EDF2">
            <w:pPr>
              <w:pStyle w:val="Default"/>
              <w:rPr>
                <w:rFonts w:ascii="Times New Roman" w:hAnsi="Times New Roman" w:cs="Times New Roman"/>
                <w:sz w:val="22"/>
                <w:szCs w:val="22"/>
              </w:rPr>
            </w:pPr>
            <w:r>
              <w:rPr>
                <w:rFonts w:ascii="Times New Roman" w:hAnsi="Times New Roman" w:cs="Times New Roman"/>
                <w:sz w:val="22"/>
                <w:szCs w:val="22"/>
              </w:rPr>
              <w:t>Los Alamos</w:t>
            </w:r>
          </w:p>
        </w:tc>
        <w:tc>
          <w:tcPr>
            <w:tcW w:w="2205" w:type="dxa"/>
          </w:tcPr>
          <w:p w:rsidR="001860A3" w:rsidP="00B37537" w14:paraId="245D1715" w14:textId="18FC1CC1">
            <w:pPr>
              <w:pStyle w:val="Default"/>
              <w:rPr>
                <w:rFonts w:ascii="Times New Roman" w:hAnsi="Times New Roman" w:cs="Times New Roman"/>
                <w:sz w:val="22"/>
                <w:szCs w:val="22"/>
              </w:rPr>
            </w:pPr>
            <w:r>
              <w:rPr>
                <w:rFonts w:ascii="Times New Roman" w:hAnsi="Times New Roman" w:cs="Times New Roman"/>
                <w:sz w:val="22"/>
                <w:szCs w:val="22"/>
              </w:rPr>
              <w:t>35° 46' 30"</w:t>
            </w:r>
          </w:p>
        </w:tc>
        <w:tc>
          <w:tcPr>
            <w:tcW w:w="2655" w:type="dxa"/>
          </w:tcPr>
          <w:p w:rsidR="001860A3" w:rsidP="00B37537" w14:paraId="224B3408" w14:textId="1AE7E8AA">
            <w:pPr>
              <w:pStyle w:val="Default"/>
              <w:rPr>
                <w:rFonts w:ascii="Times New Roman" w:hAnsi="Times New Roman" w:cs="Times New Roman"/>
                <w:sz w:val="22"/>
                <w:szCs w:val="22"/>
              </w:rPr>
            </w:pPr>
            <w:r>
              <w:rPr>
                <w:rFonts w:ascii="Times New Roman" w:hAnsi="Times New Roman" w:cs="Times New Roman"/>
                <w:sz w:val="22"/>
                <w:szCs w:val="22"/>
              </w:rPr>
              <w:t>106° 14' 44"</w:t>
            </w:r>
          </w:p>
        </w:tc>
      </w:tr>
      <w:tr w14:paraId="3A790E8B" w14:textId="77777777" w:rsidTr="00A425CA">
        <w:tblPrEx>
          <w:tblW w:w="0" w:type="auto"/>
          <w:jc w:val="center"/>
          <w:tblLayout w:type="fixed"/>
          <w:tblLook w:val="0000"/>
        </w:tblPrEx>
        <w:trPr>
          <w:trHeight w:val="99"/>
          <w:jc w:val="center"/>
        </w:trPr>
        <w:tc>
          <w:tcPr>
            <w:tcW w:w="1215" w:type="dxa"/>
          </w:tcPr>
          <w:p w:rsidR="001860A3" w:rsidP="00B37537" w14:paraId="4136FB2F" w14:textId="4DD57F59">
            <w:pPr>
              <w:pStyle w:val="Default"/>
              <w:rPr>
                <w:rFonts w:ascii="Times New Roman" w:hAnsi="Times New Roman" w:cs="Times New Roman"/>
                <w:sz w:val="22"/>
                <w:szCs w:val="22"/>
              </w:rPr>
            </w:pPr>
            <w:r>
              <w:rPr>
                <w:rFonts w:ascii="Times New Roman" w:hAnsi="Times New Roman" w:cs="Times New Roman"/>
                <w:sz w:val="22"/>
                <w:szCs w:val="22"/>
              </w:rPr>
              <w:t>NM</w:t>
            </w:r>
          </w:p>
        </w:tc>
        <w:tc>
          <w:tcPr>
            <w:tcW w:w="3375" w:type="dxa"/>
          </w:tcPr>
          <w:p w:rsidR="001860A3" w:rsidP="00B37537" w14:paraId="754F07EC" w14:textId="12835F03">
            <w:pPr>
              <w:pStyle w:val="Default"/>
              <w:rPr>
                <w:rFonts w:ascii="Times New Roman" w:hAnsi="Times New Roman" w:cs="Times New Roman"/>
                <w:sz w:val="22"/>
                <w:szCs w:val="22"/>
              </w:rPr>
            </w:pPr>
            <w:r>
              <w:rPr>
                <w:rFonts w:ascii="Times New Roman" w:hAnsi="Times New Roman" w:cs="Times New Roman"/>
                <w:sz w:val="22"/>
                <w:szCs w:val="22"/>
              </w:rPr>
              <w:t>Pie Town</w:t>
            </w:r>
          </w:p>
        </w:tc>
        <w:tc>
          <w:tcPr>
            <w:tcW w:w="2205" w:type="dxa"/>
          </w:tcPr>
          <w:p w:rsidR="001860A3" w:rsidP="00B37537" w14:paraId="73EFDE5E" w14:textId="54E0BC39">
            <w:pPr>
              <w:pStyle w:val="Default"/>
              <w:rPr>
                <w:rFonts w:ascii="Times New Roman" w:hAnsi="Times New Roman" w:cs="Times New Roman"/>
                <w:sz w:val="22"/>
                <w:szCs w:val="22"/>
              </w:rPr>
            </w:pPr>
            <w:r>
              <w:rPr>
                <w:rFonts w:ascii="Times New Roman" w:hAnsi="Times New Roman" w:cs="Times New Roman"/>
                <w:sz w:val="22"/>
                <w:szCs w:val="22"/>
              </w:rPr>
              <w:t>34° 18' 04"</w:t>
            </w:r>
          </w:p>
        </w:tc>
        <w:tc>
          <w:tcPr>
            <w:tcW w:w="2655" w:type="dxa"/>
          </w:tcPr>
          <w:p w:rsidR="001860A3" w:rsidP="00B37537" w14:paraId="5432C33E" w14:textId="4CA1B125">
            <w:pPr>
              <w:pStyle w:val="Default"/>
              <w:rPr>
                <w:rFonts w:ascii="Times New Roman" w:hAnsi="Times New Roman" w:cs="Times New Roman"/>
                <w:sz w:val="22"/>
                <w:szCs w:val="22"/>
              </w:rPr>
            </w:pPr>
            <w:r>
              <w:rPr>
                <w:rFonts w:ascii="Times New Roman" w:hAnsi="Times New Roman" w:cs="Times New Roman"/>
                <w:sz w:val="22"/>
                <w:szCs w:val="22"/>
              </w:rPr>
              <w:t>108° 07' 09"</w:t>
            </w:r>
          </w:p>
        </w:tc>
      </w:tr>
      <w:tr w14:paraId="346DDE27" w14:textId="77777777" w:rsidTr="00A425CA">
        <w:tblPrEx>
          <w:tblW w:w="0" w:type="auto"/>
          <w:jc w:val="center"/>
          <w:tblLayout w:type="fixed"/>
          <w:tblLook w:val="0000"/>
        </w:tblPrEx>
        <w:trPr>
          <w:trHeight w:val="99"/>
          <w:jc w:val="center"/>
        </w:trPr>
        <w:tc>
          <w:tcPr>
            <w:tcW w:w="1215" w:type="dxa"/>
          </w:tcPr>
          <w:p w:rsidR="001860A3" w:rsidP="00B37537" w14:paraId="512FCF59" w14:textId="7215BB7E">
            <w:pPr>
              <w:pStyle w:val="Default"/>
              <w:rPr>
                <w:rFonts w:ascii="Times New Roman" w:hAnsi="Times New Roman" w:cs="Times New Roman"/>
                <w:sz w:val="22"/>
                <w:szCs w:val="22"/>
              </w:rPr>
            </w:pPr>
            <w:r>
              <w:rPr>
                <w:rFonts w:ascii="Times New Roman" w:hAnsi="Times New Roman" w:cs="Times New Roman"/>
                <w:sz w:val="22"/>
                <w:szCs w:val="22"/>
              </w:rPr>
              <w:t>TX</w:t>
            </w:r>
          </w:p>
        </w:tc>
        <w:tc>
          <w:tcPr>
            <w:tcW w:w="3375" w:type="dxa"/>
          </w:tcPr>
          <w:p w:rsidR="001860A3" w:rsidP="00B37537" w14:paraId="323275E7" w14:textId="46C6D5EC">
            <w:pPr>
              <w:pStyle w:val="Default"/>
              <w:rPr>
                <w:rFonts w:ascii="Times New Roman" w:hAnsi="Times New Roman" w:cs="Times New Roman"/>
                <w:sz w:val="22"/>
                <w:szCs w:val="22"/>
              </w:rPr>
            </w:pPr>
            <w:r>
              <w:rPr>
                <w:rFonts w:ascii="Times New Roman" w:hAnsi="Times New Roman" w:cs="Times New Roman"/>
                <w:sz w:val="22"/>
                <w:szCs w:val="22"/>
              </w:rPr>
              <w:t>Fort Davis</w:t>
            </w:r>
          </w:p>
        </w:tc>
        <w:tc>
          <w:tcPr>
            <w:tcW w:w="2205" w:type="dxa"/>
          </w:tcPr>
          <w:p w:rsidR="001860A3" w:rsidP="00B37537" w14:paraId="54E20053" w14:textId="55099008">
            <w:pPr>
              <w:pStyle w:val="Default"/>
              <w:rPr>
                <w:rFonts w:ascii="Times New Roman" w:hAnsi="Times New Roman" w:cs="Times New Roman"/>
                <w:sz w:val="22"/>
                <w:szCs w:val="22"/>
              </w:rPr>
            </w:pPr>
            <w:r>
              <w:rPr>
                <w:rFonts w:ascii="Times New Roman" w:hAnsi="Times New Roman" w:cs="Times New Roman"/>
                <w:sz w:val="22"/>
                <w:szCs w:val="22"/>
              </w:rPr>
              <w:t>30° 38' 06"</w:t>
            </w:r>
          </w:p>
        </w:tc>
        <w:tc>
          <w:tcPr>
            <w:tcW w:w="2655" w:type="dxa"/>
          </w:tcPr>
          <w:p w:rsidR="001860A3" w:rsidP="00B37537" w14:paraId="7D334F15" w14:textId="6AE75FD1">
            <w:pPr>
              <w:pStyle w:val="Default"/>
              <w:rPr>
                <w:rFonts w:ascii="Times New Roman" w:hAnsi="Times New Roman" w:cs="Times New Roman"/>
                <w:sz w:val="22"/>
                <w:szCs w:val="22"/>
              </w:rPr>
            </w:pPr>
            <w:r>
              <w:rPr>
                <w:rFonts w:ascii="Times New Roman" w:hAnsi="Times New Roman" w:cs="Times New Roman"/>
                <w:sz w:val="22"/>
                <w:szCs w:val="22"/>
              </w:rPr>
              <w:t>103° 56' 41"</w:t>
            </w:r>
          </w:p>
        </w:tc>
      </w:tr>
      <w:tr w14:paraId="063B2F14" w14:textId="77777777" w:rsidTr="00A425CA">
        <w:tblPrEx>
          <w:tblW w:w="0" w:type="auto"/>
          <w:jc w:val="center"/>
          <w:tblLayout w:type="fixed"/>
          <w:tblLook w:val="0000"/>
        </w:tblPrEx>
        <w:trPr>
          <w:trHeight w:val="99"/>
          <w:jc w:val="center"/>
        </w:trPr>
        <w:tc>
          <w:tcPr>
            <w:tcW w:w="1215" w:type="dxa"/>
          </w:tcPr>
          <w:p w:rsidR="001860A3" w:rsidP="00B37537" w14:paraId="75F04C04" w14:textId="4953B7C2">
            <w:pPr>
              <w:pStyle w:val="Default"/>
              <w:rPr>
                <w:rFonts w:ascii="Times New Roman" w:hAnsi="Times New Roman" w:cs="Times New Roman"/>
                <w:sz w:val="22"/>
                <w:szCs w:val="22"/>
              </w:rPr>
            </w:pPr>
            <w:r>
              <w:rPr>
                <w:rFonts w:ascii="Times New Roman" w:hAnsi="Times New Roman" w:cs="Times New Roman"/>
                <w:sz w:val="22"/>
                <w:szCs w:val="22"/>
              </w:rPr>
              <w:t>VI</w:t>
            </w:r>
          </w:p>
        </w:tc>
        <w:tc>
          <w:tcPr>
            <w:tcW w:w="3375" w:type="dxa"/>
          </w:tcPr>
          <w:p w:rsidR="001860A3" w:rsidP="00B37537" w14:paraId="1EA12B18" w14:textId="2BBD576F">
            <w:pPr>
              <w:pStyle w:val="Default"/>
              <w:rPr>
                <w:rFonts w:ascii="Times New Roman" w:hAnsi="Times New Roman" w:cs="Times New Roman"/>
                <w:sz w:val="22"/>
                <w:szCs w:val="22"/>
              </w:rPr>
            </w:pPr>
            <w:r>
              <w:rPr>
                <w:rFonts w:ascii="Times New Roman" w:hAnsi="Times New Roman" w:cs="Times New Roman"/>
                <w:sz w:val="22"/>
                <w:szCs w:val="22"/>
              </w:rPr>
              <w:t>Saint Croix</w:t>
            </w:r>
          </w:p>
        </w:tc>
        <w:tc>
          <w:tcPr>
            <w:tcW w:w="2205" w:type="dxa"/>
          </w:tcPr>
          <w:p w:rsidR="001860A3" w:rsidP="00B37537" w14:paraId="27FEF217" w14:textId="19CFFB84">
            <w:pPr>
              <w:pStyle w:val="Default"/>
              <w:rPr>
                <w:rFonts w:ascii="Times New Roman" w:hAnsi="Times New Roman" w:cs="Times New Roman"/>
                <w:sz w:val="22"/>
                <w:szCs w:val="22"/>
              </w:rPr>
            </w:pPr>
            <w:r>
              <w:rPr>
                <w:rFonts w:ascii="Times New Roman" w:hAnsi="Times New Roman" w:cs="Times New Roman"/>
                <w:sz w:val="22"/>
                <w:szCs w:val="22"/>
              </w:rPr>
              <w:t>17° 45' 24"</w:t>
            </w:r>
          </w:p>
        </w:tc>
        <w:tc>
          <w:tcPr>
            <w:tcW w:w="2655" w:type="dxa"/>
          </w:tcPr>
          <w:p w:rsidR="001860A3" w:rsidP="00B37537" w14:paraId="7A9A22EF" w14:textId="5AF0C7A6">
            <w:pPr>
              <w:pStyle w:val="Default"/>
              <w:rPr>
                <w:rFonts w:ascii="Times New Roman" w:hAnsi="Times New Roman" w:cs="Times New Roman"/>
                <w:sz w:val="22"/>
                <w:szCs w:val="22"/>
              </w:rPr>
            </w:pPr>
            <w:r>
              <w:rPr>
                <w:rFonts w:ascii="Times New Roman" w:hAnsi="Times New Roman" w:cs="Times New Roman"/>
                <w:sz w:val="22"/>
                <w:szCs w:val="22"/>
              </w:rPr>
              <w:t>64° 35' 01"</w:t>
            </w:r>
          </w:p>
        </w:tc>
      </w:tr>
      <w:tr w14:paraId="67B0E2CD" w14:textId="77777777" w:rsidTr="00A425CA">
        <w:tblPrEx>
          <w:tblW w:w="0" w:type="auto"/>
          <w:jc w:val="center"/>
          <w:tblLayout w:type="fixed"/>
          <w:tblLook w:val="0000"/>
        </w:tblPrEx>
        <w:trPr>
          <w:trHeight w:val="99"/>
          <w:jc w:val="center"/>
        </w:trPr>
        <w:tc>
          <w:tcPr>
            <w:tcW w:w="1215" w:type="dxa"/>
          </w:tcPr>
          <w:p w:rsidR="001860A3" w:rsidP="00B37537" w14:paraId="2789B64F" w14:textId="62281D32">
            <w:pPr>
              <w:pStyle w:val="Default"/>
              <w:rPr>
                <w:rFonts w:ascii="Times New Roman" w:hAnsi="Times New Roman" w:cs="Times New Roman"/>
                <w:sz w:val="22"/>
                <w:szCs w:val="22"/>
              </w:rPr>
            </w:pPr>
            <w:r>
              <w:rPr>
                <w:rFonts w:ascii="Times New Roman" w:hAnsi="Times New Roman" w:cs="Times New Roman"/>
                <w:sz w:val="22"/>
                <w:szCs w:val="22"/>
              </w:rPr>
              <w:t>WA</w:t>
            </w:r>
          </w:p>
        </w:tc>
        <w:tc>
          <w:tcPr>
            <w:tcW w:w="3375" w:type="dxa"/>
          </w:tcPr>
          <w:p w:rsidR="001860A3" w:rsidP="00B37537" w14:paraId="6923B656" w14:textId="37F4E49A">
            <w:pPr>
              <w:pStyle w:val="Default"/>
              <w:rPr>
                <w:rFonts w:ascii="Times New Roman" w:hAnsi="Times New Roman" w:cs="Times New Roman"/>
                <w:sz w:val="22"/>
                <w:szCs w:val="22"/>
              </w:rPr>
            </w:pPr>
            <w:r>
              <w:rPr>
                <w:rFonts w:ascii="Times New Roman" w:hAnsi="Times New Roman" w:cs="Times New Roman"/>
                <w:sz w:val="22"/>
                <w:szCs w:val="22"/>
              </w:rPr>
              <w:t>Brewster</w:t>
            </w:r>
          </w:p>
        </w:tc>
        <w:tc>
          <w:tcPr>
            <w:tcW w:w="2205" w:type="dxa"/>
          </w:tcPr>
          <w:p w:rsidR="001860A3" w:rsidP="00B37537" w14:paraId="1A16DF94" w14:textId="48F2AED4">
            <w:pPr>
              <w:pStyle w:val="Default"/>
              <w:rPr>
                <w:rFonts w:ascii="Times New Roman" w:hAnsi="Times New Roman" w:cs="Times New Roman"/>
                <w:sz w:val="22"/>
                <w:szCs w:val="22"/>
              </w:rPr>
            </w:pPr>
            <w:r>
              <w:rPr>
                <w:rFonts w:ascii="Times New Roman" w:hAnsi="Times New Roman" w:cs="Times New Roman"/>
                <w:sz w:val="22"/>
                <w:szCs w:val="22"/>
              </w:rPr>
              <w:t>48° 07' 52"</w:t>
            </w:r>
          </w:p>
        </w:tc>
        <w:tc>
          <w:tcPr>
            <w:tcW w:w="2655" w:type="dxa"/>
          </w:tcPr>
          <w:p w:rsidR="00FE0DB3" w:rsidP="00B37537" w14:paraId="7A8BFE8A" w14:textId="06260069">
            <w:pPr>
              <w:pStyle w:val="Default"/>
              <w:rPr>
                <w:rFonts w:ascii="Times New Roman" w:hAnsi="Times New Roman" w:cs="Times New Roman"/>
                <w:sz w:val="22"/>
                <w:szCs w:val="22"/>
              </w:rPr>
            </w:pPr>
            <w:r>
              <w:rPr>
                <w:rFonts w:ascii="Times New Roman" w:hAnsi="Times New Roman" w:cs="Times New Roman"/>
                <w:sz w:val="22"/>
                <w:szCs w:val="22"/>
              </w:rPr>
              <w:t>119° 41' 00"</w:t>
            </w:r>
          </w:p>
        </w:tc>
      </w:tr>
    </w:tbl>
    <w:p w:rsidR="001F52C8" w:rsidP="00B37537" w14:paraId="0AD9442E" w14:textId="10D0402A">
      <w:pPr>
        <w:pStyle w:val="ParaNum"/>
        <w:numPr>
          <w:ilvl w:val="0"/>
          <w:numId w:val="0"/>
        </w:numPr>
      </w:pPr>
    </w:p>
    <w:p w:rsidR="003E5329" w:rsidP="00234BF5" w14:paraId="1075452B" w14:textId="77777777">
      <w:pPr>
        <w:pStyle w:val="ParaNum"/>
        <w:numPr>
          <w:ilvl w:val="0"/>
          <w:numId w:val="0"/>
        </w:numPr>
      </w:pPr>
    </w:p>
    <w:p w:rsidR="0098773B" w:rsidRPr="00FB451C" w:rsidP="00A425CA" w14:paraId="35A72602" w14:textId="77777777">
      <w:pPr>
        <w:pStyle w:val="ListParagraph"/>
        <w:ind w:left="0"/>
        <w:rPr>
          <w:rFonts w:ascii="Times New Roman" w:hAnsi="Times New Roman" w:cs="Times New Roman"/>
        </w:rPr>
      </w:pPr>
      <w:r w:rsidRPr="00FB451C">
        <w:rPr>
          <w:rFonts w:ascii="Times New Roman" w:hAnsi="Times New Roman" w:cs="Times New Roman"/>
        </w:rPr>
        <w:t xml:space="preserve">(b) Within 150 km of the following observatories: </w:t>
      </w:r>
    </w:p>
    <w:p w:rsidR="00A36D12" w:rsidP="0098773B" w14:paraId="294BD4EF" w14:textId="77777777">
      <w:pPr>
        <w:pStyle w:val="ListParagraph"/>
        <w:ind w:left="0"/>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3628"/>
        <w:gridCol w:w="2132"/>
        <w:gridCol w:w="2700"/>
      </w:tblGrid>
      <w:tr w14:paraId="56FBE52D" w14:textId="77777777" w:rsidTr="00A425CA">
        <w:tblPrEx>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
          <w:jc w:val="center"/>
        </w:trPr>
        <w:tc>
          <w:tcPr>
            <w:tcW w:w="1175" w:type="dxa"/>
            <w:shd w:val="clear" w:color="auto" w:fill="E7E6E6" w:themeFill="background2"/>
          </w:tcPr>
          <w:p w:rsidR="00A36D12" w:rsidRPr="00A425CA" w:rsidP="00B37537" w14:paraId="0247796B" w14:textId="77777777">
            <w:pPr>
              <w:pStyle w:val="Default"/>
              <w:rPr>
                <w:rFonts w:ascii="Times New Roman" w:hAnsi="Times New Roman" w:cs="Times New Roman"/>
                <w:b/>
                <w:bCs/>
                <w:sz w:val="22"/>
                <w:szCs w:val="22"/>
              </w:rPr>
            </w:pPr>
            <w:r w:rsidRPr="00A425CA">
              <w:rPr>
                <w:rFonts w:ascii="Times New Roman" w:hAnsi="Times New Roman" w:cs="Times New Roman"/>
                <w:b/>
                <w:bCs/>
                <w:sz w:val="22"/>
                <w:szCs w:val="22"/>
              </w:rPr>
              <w:t>State</w:t>
            </w:r>
          </w:p>
        </w:tc>
        <w:tc>
          <w:tcPr>
            <w:tcW w:w="3628" w:type="dxa"/>
            <w:shd w:val="clear" w:color="auto" w:fill="E7E6E6" w:themeFill="background2"/>
          </w:tcPr>
          <w:p w:rsidR="00A36D12" w:rsidRPr="00A425CA" w:rsidP="00B37537" w14:paraId="0B099F11" w14:textId="716EFC69">
            <w:pPr>
              <w:pStyle w:val="Default"/>
              <w:rPr>
                <w:rFonts w:ascii="Times New Roman" w:hAnsi="Times New Roman" w:cs="Times New Roman"/>
                <w:b/>
                <w:bCs/>
                <w:sz w:val="22"/>
                <w:szCs w:val="22"/>
              </w:rPr>
            </w:pPr>
            <w:r w:rsidRPr="00A425CA">
              <w:rPr>
                <w:rFonts w:ascii="Times New Roman" w:hAnsi="Times New Roman" w:cs="Times New Roman"/>
                <w:b/>
                <w:bCs/>
                <w:sz w:val="22"/>
                <w:szCs w:val="22"/>
              </w:rPr>
              <w:t xml:space="preserve">Telescope and </w:t>
            </w:r>
            <w:r w:rsidRPr="00A425CA" w:rsidR="00B53532">
              <w:rPr>
                <w:rFonts w:ascii="Times New Roman" w:hAnsi="Times New Roman" w:cs="Times New Roman"/>
                <w:b/>
                <w:bCs/>
                <w:sz w:val="22"/>
                <w:szCs w:val="22"/>
              </w:rPr>
              <w:t>S</w:t>
            </w:r>
            <w:r w:rsidRPr="00A425CA">
              <w:rPr>
                <w:rFonts w:ascii="Times New Roman" w:hAnsi="Times New Roman" w:cs="Times New Roman"/>
                <w:b/>
                <w:bCs/>
                <w:sz w:val="22"/>
                <w:szCs w:val="22"/>
              </w:rPr>
              <w:t>ite</w:t>
            </w:r>
          </w:p>
        </w:tc>
        <w:tc>
          <w:tcPr>
            <w:tcW w:w="2132" w:type="dxa"/>
            <w:shd w:val="clear" w:color="auto" w:fill="E7E6E6" w:themeFill="background2"/>
          </w:tcPr>
          <w:p w:rsidR="00A36D12" w:rsidRPr="00A425CA" w:rsidP="00B37537" w14:paraId="0B281491" w14:textId="77777777">
            <w:pPr>
              <w:pStyle w:val="Default"/>
              <w:rPr>
                <w:rFonts w:ascii="Times New Roman" w:hAnsi="Times New Roman" w:cs="Times New Roman"/>
                <w:b/>
                <w:bCs/>
                <w:sz w:val="22"/>
                <w:szCs w:val="22"/>
              </w:rPr>
            </w:pPr>
            <w:r w:rsidRPr="00A425CA">
              <w:rPr>
                <w:rFonts w:ascii="Times New Roman" w:hAnsi="Times New Roman" w:cs="Times New Roman"/>
                <w:b/>
                <w:bCs/>
                <w:sz w:val="22"/>
                <w:szCs w:val="22"/>
              </w:rPr>
              <w:t>Lat. (N)</w:t>
            </w:r>
          </w:p>
        </w:tc>
        <w:tc>
          <w:tcPr>
            <w:tcW w:w="2700" w:type="dxa"/>
            <w:shd w:val="clear" w:color="auto" w:fill="E7E6E6" w:themeFill="background2"/>
          </w:tcPr>
          <w:p w:rsidR="00A36D12" w:rsidRPr="00A425CA" w:rsidP="00B37537" w14:paraId="1BA9AA6D" w14:textId="77777777">
            <w:pPr>
              <w:pStyle w:val="Default"/>
              <w:rPr>
                <w:rFonts w:ascii="Times New Roman" w:hAnsi="Times New Roman" w:cs="Times New Roman"/>
                <w:b/>
                <w:bCs/>
                <w:sz w:val="22"/>
                <w:szCs w:val="22"/>
              </w:rPr>
            </w:pPr>
            <w:r w:rsidRPr="00A425CA">
              <w:rPr>
                <w:rFonts w:ascii="Times New Roman" w:hAnsi="Times New Roman" w:cs="Times New Roman"/>
                <w:b/>
                <w:bCs/>
                <w:sz w:val="22"/>
                <w:szCs w:val="22"/>
              </w:rPr>
              <w:t>Long. (W)</w:t>
            </w:r>
          </w:p>
        </w:tc>
      </w:tr>
      <w:tr w14:paraId="6E8330FD" w14:textId="77777777" w:rsidTr="00A425CA">
        <w:tblPrEx>
          <w:tblW w:w="9635" w:type="dxa"/>
          <w:jc w:val="center"/>
          <w:tblLayout w:type="fixed"/>
          <w:tblLook w:val="0000"/>
        </w:tblPrEx>
        <w:trPr>
          <w:trHeight w:val="99"/>
          <w:jc w:val="center"/>
        </w:trPr>
        <w:tc>
          <w:tcPr>
            <w:tcW w:w="1175" w:type="dxa"/>
          </w:tcPr>
          <w:p w:rsidR="00A36D12" w:rsidRPr="00DD72D9" w:rsidP="00B37537" w14:paraId="1893D088" w14:textId="77777777">
            <w:pPr>
              <w:pStyle w:val="Default"/>
              <w:rPr>
                <w:rFonts w:ascii="Times New Roman" w:hAnsi="Times New Roman" w:cs="Times New Roman"/>
                <w:sz w:val="22"/>
                <w:szCs w:val="22"/>
              </w:rPr>
            </w:pPr>
            <w:r w:rsidRPr="00DD72D9">
              <w:rPr>
                <w:rFonts w:ascii="Times New Roman" w:hAnsi="Times New Roman" w:cs="Times New Roman"/>
                <w:sz w:val="22"/>
                <w:szCs w:val="22"/>
              </w:rPr>
              <w:t>AZ</w:t>
            </w:r>
          </w:p>
        </w:tc>
        <w:tc>
          <w:tcPr>
            <w:tcW w:w="3628" w:type="dxa"/>
          </w:tcPr>
          <w:p w:rsidR="00A36D12" w:rsidRPr="00DD72D9" w:rsidP="00B37537" w14:paraId="79B3BB6F" w14:textId="51CD2607">
            <w:pPr>
              <w:pStyle w:val="Default"/>
              <w:rPr>
                <w:rFonts w:ascii="Times New Roman" w:hAnsi="Times New Roman" w:cs="Times New Roman"/>
                <w:sz w:val="22"/>
                <w:szCs w:val="22"/>
              </w:rPr>
            </w:pPr>
            <w:r w:rsidRPr="00DD72D9">
              <w:rPr>
                <w:rFonts w:ascii="Times New Roman" w:hAnsi="Times New Roman" w:cs="Times New Roman"/>
                <w:sz w:val="22"/>
                <w:szCs w:val="22"/>
              </w:rPr>
              <w:t>The Submillimeter Telescope, Mt. Graham</w:t>
            </w:r>
          </w:p>
        </w:tc>
        <w:tc>
          <w:tcPr>
            <w:tcW w:w="2132" w:type="dxa"/>
          </w:tcPr>
          <w:p w:rsidR="00A36D12" w:rsidRPr="00DD72D9" w:rsidP="00B37537" w14:paraId="7F2A7CD8" w14:textId="1AA95D6E">
            <w:pPr>
              <w:pStyle w:val="Default"/>
              <w:rPr>
                <w:rFonts w:ascii="Times New Roman" w:hAnsi="Times New Roman" w:cs="Times New Roman"/>
                <w:sz w:val="22"/>
                <w:szCs w:val="22"/>
              </w:rPr>
            </w:pPr>
            <w:r w:rsidRPr="00FB451C">
              <w:rPr>
                <w:rFonts w:ascii="Times New Roman" w:hAnsi="Times New Roman" w:cs="Times New Roman"/>
                <w:sz w:val="22"/>
                <w:szCs w:val="22"/>
              </w:rPr>
              <w:t>32° 42' 06''</w:t>
            </w:r>
          </w:p>
        </w:tc>
        <w:tc>
          <w:tcPr>
            <w:tcW w:w="2700" w:type="dxa"/>
          </w:tcPr>
          <w:p w:rsidR="00A36D12" w:rsidRPr="00DD72D9" w:rsidP="00B37537" w14:paraId="1C045D7C" w14:textId="19892B2C">
            <w:pPr>
              <w:pStyle w:val="Default"/>
              <w:rPr>
                <w:rFonts w:ascii="Times New Roman" w:hAnsi="Times New Roman" w:cs="Times New Roman"/>
                <w:sz w:val="22"/>
                <w:szCs w:val="22"/>
              </w:rPr>
            </w:pPr>
            <w:r w:rsidRPr="00FB451C">
              <w:rPr>
                <w:rFonts w:ascii="Times New Roman" w:hAnsi="Times New Roman" w:cs="Times New Roman"/>
                <w:sz w:val="22"/>
                <w:szCs w:val="22"/>
              </w:rPr>
              <w:t>109° 53' 28''</w:t>
            </w:r>
          </w:p>
        </w:tc>
      </w:tr>
      <w:tr w14:paraId="2B09BAEA" w14:textId="77777777" w:rsidTr="00A425CA">
        <w:tblPrEx>
          <w:tblW w:w="9635" w:type="dxa"/>
          <w:jc w:val="center"/>
          <w:tblLayout w:type="fixed"/>
          <w:tblLook w:val="0000"/>
        </w:tblPrEx>
        <w:trPr>
          <w:trHeight w:val="99"/>
          <w:jc w:val="center"/>
        </w:trPr>
        <w:tc>
          <w:tcPr>
            <w:tcW w:w="1175" w:type="dxa"/>
          </w:tcPr>
          <w:p w:rsidR="00A36D12" w:rsidRPr="00DD72D9" w:rsidP="00B37537" w14:paraId="39FB5D09" w14:textId="77777777">
            <w:pPr>
              <w:pStyle w:val="Default"/>
              <w:rPr>
                <w:rFonts w:ascii="Times New Roman" w:hAnsi="Times New Roman" w:cs="Times New Roman"/>
                <w:sz w:val="22"/>
                <w:szCs w:val="22"/>
              </w:rPr>
            </w:pPr>
            <w:r w:rsidRPr="00DD72D9">
              <w:rPr>
                <w:rFonts w:ascii="Times New Roman" w:hAnsi="Times New Roman" w:cs="Times New Roman"/>
                <w:sz w:val="22"/>
                <w:szCs w:val="22"/>
              </w:rPr>
              <w:t>CA</w:t>
            </w:r>
          </w:p>
        </w:tc>
        <w:tc>
          <w:tcPr>
            <w:tcW w:w="3628" w:type="dxa"/>
          </w:tcPr>
          <w:p w:rsidR="00A36D12" w:rsidRPr="00DD72D9" w:rsidP="00B37537" w14:paraId="7B2CF74F" w14:textId="6A857A50">
            <w:pPr>
              <w:pStyle w:val="Default"/>
              <w:rPr>
                <w:rFonts w:ascii="Times New Roman" w:hAnsi="Times New Roman" w:cs="Times New Roman"/>
                <w:sz w:val="22"/>
                <w:szCs w:val="22"/>
              </w:rPr>
            </w:pPr>
            <w:r w:rsidRPr="00FB451C">
              <w:rPr>
                <w:rFonts w:ascii="Times New Roman" w:hAnsi="Times New Roman" w:cs="Times New Roman"/>
                <w:sz w:val="22"/>
                <w:szCs w:val="22"/>
              </w:rPr>
              <w:t>Caltech Telescope, Owens Valley</w:t>
            </w:r>
          </w:p>
        </w:tc>
        <w:tc>
          <w:tcPr>
            <w:tcW w:w="2132" w:type="dxa"/>
          </w:tcPr>
          <w:p w:rsidR="00A36D12" w:rsidRPr="00DD72D9" w:rsidP="00B37537" w14:paraId="07189820" w14:textId="05DCB304">
            <w:pPr>
              <w:pStyle w:val="Default"/>
              <w:rPr>
                <w:rFonts w:ascii="Times New Roman" w:hAnsi="Times New Roman" w:cs="Times New Roman"/>
                <w:sz w:val="22"/>
                <w:szCs w:val="22"/>
              </w:rPr>
            </w:pPr>
            <w:r w:rsidRPr="00FB451C">
              <w:rPr>
                <w:rFonts w:ascii="Times New Roman" w:hAnsi="Times New Roman" w:cs="Times New Roman"/>
                <w:sz w:val="22"/>
                <w:szCs w:val="22"/>
              </w:rPr>
              <w:t>37° 13' 54''</w:t>
            </w:r>
          </w:p>
        </w:tc>
        <w:tc>
          <w:tcPr>
            <w:tcW w:w="2700" w:type="dxa"/>
          </w:tcPr>
          <w:p w:rsidR="00A36D12" w:rsidRPr="00DD72D9" w:rsidP="00B37537" w14:paraId="5590B201" w14:textId="4A297CA9">
            <w:pPr>
              <w:pStyle w:val="Default"/>
              <w:rPr>
                <w:rFonts w:ascii="Times New Roman" w:hAnsi="Times New Roman" w:cs="Times New Roman"/>
                <w:sz w:val="22"/>
                <w:szCs w:val="22"/>
              </w:rPr>
            </w:pPr>
            <w:r w:rsidRPr="00FB451C">
              <w:rPr>
                <w:rFonts w:ascii="Times New Roman" w:hAnsi="Times New Roman" w:cs="Times New Roman"/>
                <w:sz w:val="22"/>
                <w:szCs w:val="22"/>
              </w:rPr>
              <w:t>118° 17' 36''</w:t>
            </w:r>
          </w:p>
        </w:tc>
      </w:tr>
      <w:tr w14:paraId="42B8FF48" w14:textId="77777777" w:rsidTr="00A425CA">
        <w:tblPrEx>
          <w:tblW w:w="9635" w:type="dxa"/>
          <w:jc w:val="center"/>
          <w:tblLayout w:type="fixed"/>
          <w:tblLook w:val="0000"/>
        </w:tblPrEx>
        <w:trPr>
          <w:trHeight w:val="99"/>
          <w:jc w:val="center"/>
        </w:trPr>
        <w:tc>
          <w:tcPr>
            <w:tcW w:w="1175" w:type="dxa"/>
          </w:tcPr>
          <w:p w:rsidR="00A36D12" w:rsidRPr="00DD72D9" w:rsidP="00B37537" w14:paraId="2F5461B9" w14:textId="77777777">
            <w:pPr>
              <w:pStyle w:val="Default"/>
              <w:rPr>
                <w:rFonts w:ascii="Times New Roman" w:hAnsi="Times New Roman" w:cs="Times New Roman"/>
                <w:sz w:val="22"/>
                <w:szCs w:val="22"/>
              </w:rPr>
            </w:pPr>
            <w:r w:rsidRPr="00DD72D9">
              <w:rPr>
                <w:rFonts w:ascii="Times New Roman" w:hAnsi="Times New Roman" w:cs="Times New Roman"/>
                <w:sz w:val="22"/>
                <w:szCs w:val="22"/>
              </w:rPr>
              <w:t>HI</w:t>
            </w:r>
          </w:p>
        </w:tc>
        <w:tc>
          <w:tcPr>
            <w:tcW w:w="3628" w:type="dxa"/>
          </w:tcPr>
          <w:p w:rsidR="00A36D12" w:rsidRPr="00DD72D9" w:rsidP="00B37537" w14:paraId="5335D152" w14:textId="4E487138">
            <w:pPr>
              <w:pStyle w:val="Default"/>
              <w:rPr>
                <w:rFonts w:ascii="Times New Roman" w:hAnsi="Times New Roman" w:cs="Times New Roman"/>
                <w:sz w:val="22"/>
                <w:szCs w:val="22"/>
              </w:rPr>
            </w:pPr>
            <w:r w:rsidRPr="00FB451C">
              <w:rPr>
                <w:rFonts w:ascii="Times New Roman" w:hAnsi="Times New Roman" w:cs="Times New Roman"/>
                <w:sz w:val="22"/>
                <w:szCs w:val="22"/>
              </w:rPr>
              <w:t>James Clerk Maxwell Telescope, Mauna Kea</w:t>
            </w:r>
          </w:p>
        </w:tc>
        <w:tc>
          <w:tcPr>
            <w:tcW w:w="2132" w:type="dxa"/>
          </w:tcPr>
          <w:p w:rsidR="00A36D12" w:rsidRPr="00DD72D9" w:rsidP="00B37537" w14:paraId="52AC0BD5" w14:textId="2BFC30CC">
            <w:pPr>
              <w:pStyle w:val="Default"/>
              <w:rPr>
                <w:rFonts w:ascii="Times New Roman" w:hAnsi="Times New Roman" w:cs="Times New Roman"/>
                <w:sz w:val="22"/>
                <w:szCs w:val="22"/>
              </w:rPr>
            </w:pPr>
            <w:r w:rsidRPr="00FB451C">
              <w:rPr>
                <w:rFonts w:ascii="Times New Roman" w:hAnsi="Times New Roman" w:cs="Times New Roman"/>
                <w:sz w:val="22"/>
                <w:szCs w:val="22"/>
              </w:rPr>
              <w:t>19° 49' 33''</w:t>
            </w:r>
          </w:p>
        </w:tc>
        <w:tc>
          <w:tcPr>
            <w:tcW w:w="2700" w:type="dxa"/>
          </w:tcPr>
          <w:p w:rsidR="00A36D12" w:rsidRPr="00DD72D9" w:rsidP="00B37537" w14:paraId="2D4ECA70" w14:textId="192CA6CD">
            <w:pPr>
              <w:pStyle w:val="Default"/>
              <w:rPr>
                <w:rFonts w:ascii="Times New Roman" w:hAnsi="Times New Roman" w:cs="Times New Roman"/>
                <w:sz w:val="22"/>
                <w:szCs w:val="22"/>
              </w:rPr>
            </w:pPr>
            <w:r w:rsidRPr="00FB451C">
              <w:rPr>
                <w:rFonts w:ascii="Times New Roman" w:hAnsi="Times New Roman" w:cs="Times New Roman"/>
                <w:sz w:val="22"/>
                <w:szCs w:val="22"/>
              </w:rPr>
              <w:t>155° 28' 47''</w:t>
            </w:r>
          </w:p>
        </w:tc>
      </w:tr>
      <w:tr w14:paraId="10C3FE8A" w14:textId="77777777" w:rsidTr="00A425CA">
        <w:tblPrEx>
          <w:tblW w:w="9635" w:type="dxa"/>
          <w:jc w:val="center"/>
          <w:tblLayout w:type="fixed"/>
          <w:tblLook w:val="0000"/>
        </w:tblPrEx>
        <w:trPr>
          <w:trHeight w:val="99"/>
          <w:jc w:val="center"/>
        </w:trPr>
        <w:tc>
          <w:tcPr>
            <w:tcW w:w="1175" w:type="dxa"/>
          </w:tcPr>
          <w:p w:rsidR="00A36D12" w:rsidRPr="00DD72D9" w:rsidP="00B37537" w14:paraId="4E2649C4" w14:textId="7B3A4F6A">
            <w:pPr>
              <w:pStyle w:val="Default"/>
              <w:rPr>
                <w:rFonts w:ascii="Times New Roman" w:hAnsi="Times New Roman" w:cs="Times New Roman"/>
                <w:sz w:val="22"/>
                <w:szCs w:val="22"/>
              </w:rPr>
            </w:pPr>
            <w:r w:rsidRPr="00FB451C">
              <w:rPr>
                <w:rFonts w:ascii="Times New Roman" w:hAnsi="Times New Roman" w:cs="Times New Roman"/>
                <w:sz w:val="22"/>
                <w:szCs w:val="22"/>
              </w:rPr>
              <w:t>MA</w:t>
            </w:r>
          </w:p>
        </w:tc>
        <w:tc>
          <w:tcPr>
            <w:tcW w:w="3628" w:type="dxa"/>
          </w:tcPr>
          <w:p w:rsidR="00A36D12" w:rsidRPr="00DD72D9" w:rsidP="00B37537" w14:paraId="2DE8D186" w14:textId="575F4659">
            <w:pPr>
              <w:pStyle w:val="Default"/>
              <w:rPr>
                <w:rFonts w:ascii="Times New Roman" w:hAnsi="Times New Roman" w:cs="Times New Roman"/>
                <w:sz w:val="22"/>
                <w:szCs w:val="22"/>
              </w:rPr>
            </w:pPr>
            <w:r w:rsidRPr="00FB451C">
              <w:rPr>
                <w:rFonts w:ascii="Times New Roman" w:hAnsi="Times New Roman" w:cs="Times New Roman"/>
                <w:sz w:val="22"/>
                <w:szCs w:val="22"/>
              </w:rPr>
              <w:t>Haystack Observatory, Westford</w:t>
            </w:r>
          </w:p>
        </w:tc>
        <w:tc>
          <w:tcPr>
            <w:tcW w:w="2132" w:type="dxa"/>
          </w:tcPr>
          <w:p w:rsidR="00A36D12" w:rsidRPr="00DD72D9" w:rsidP="00B37537" w14:paraId="57BADC0B" w14:textId="4F16F95E">
            <w:pPr>
              <w:pStyle w:val="Default"/>
              <w:rPr>
                <w:rFonts w:ascii="Times New Roman" w:hAnsi="Times New Roman" w:cs="Times New Roman"/>
                <w:sz w:val="22"/>
                <w:szCs w:val="22"/>
              </w:rPr>
            </w:pPr>
            <w:r w:rsidRPr="00FB451C">
              <w:rPr>
                <w:rFonts w:ascii="Times New Roman" w:hAnsi="Times New Roman" w:cs="Times New Roman"/>
                <w:sz w:val="22"/>
                <w:szCs w:val="22"/>
              </w:rPr>
              <w:t>42° 37' 24''</w:t>
            </w:r>
          </w:p>
        </w:tc>
        <w:tc>
          <w:tcPr>
            <w:tcW w:w="2700" w:type="dxa"/>
          </w:tcPr>
          <w:p w:rsidR="00A36D12" w:rsidRPr="00DD72D9" w:rsidP="00B37537" w14:paraId="36986E15" w14:textId="3DDAA4D1">
            <w:pPr>
              <w:pStyle w:val="Default"/>
              <w:rPr>
                <w:rFonts w:ascii="Times New Roman" w:hAnsi="Times New Roman" w:cs="Times New Roman"/>
                <w:sz w:val="22"/>
                <w:szCs w:val="22"/>
              </w:rPr>
            </w:pPr>
            <w:r w:rsidRPr="00FB451C">
              <w:rPr>
                <w:rFonts w:ascii="Times New Roman" w:hAnsi="Times New Roman" w:cs="Times New Roman"/>
                <w:sz w:val="22"/>
                <w:szCs w:val="22"/>
              </w:rPr>
              <w:t>071° 29' 18''</w:t>
            </w:r>
          </w:p>
        </w:tc>
      </w:tr>
      <w:tr w14:paraId="52EFF4C7" w14:textId="77777777" w:rsidTr="00A425CA">
        <w:tblPrEx>
          <w:tblW w:w="9635" w:type="dxa"/>
          <w:jc w:val="center"/>
          <w:tblLayout w:type="fixed"/>
          <w:tblLook w:val="0000"/>
        </w:tblPrEx>
        <w:trPr>
          <w:trHeight w:val="99"/>
          <w:jc w:val="center"/>
        </w:trPr>
        <w:tc>
          <w:tcPr>
            <w:tcW w:w="1175" w:type="dxa"/>
          </w:tcPr>
          <w:p w:rsidR="00A36D12" w:rsidRPr="00DD72D9" w:rsidP="00B37537" w14:paraId="4A089E9E" w14:textId="276FE3CB">
            <w:pPr>
              <w:pStyle w:val="Default"/>
              <w:rPr>
                <w:rFonts w:ascii="Times New Roman" w:hAnsi="Times New Roman" w:cs="Times New Roman"/>
                <w:sz w:val="22"/>
                <w:szCs w:val="22"/>
              </w:rPr>
            </w:pPr>
            <w:r w:rsidRPr="00DD72D9">
              <w:rPr>
                <w:rFonts w:ascii="Times New Roman" w:hAnsi="Times New Roman" w:cs="Times New Roman"/>
                <w:sz w:val="22"/>
                <w:szCs w:val="22"/>
              </w:rPr>
              <w:t>N</w:t>
            </w:r>
            <w:r w:rsidRPr="00DD72D9" w:rsidR="00197AB9">
              <w:rPr>
                <w:rFonts w:ascii="Times New Roman" w:hAnsi="Times New Roman" w:cs="Times New Roman"/>
                <w:sz w:val="22"/>
                <w:szCs w:val="22"/>
              </w:rPr>
              <w:t>M</w:t>
            </w:r>
          </w:p>
        </w:tc>
        <w:tc>
          <w:tcPr>
            <w:tcW w:w="3628" w:type="dxa"/>
          </w:tcPr>
          <w:p w:rsidR="00A36D12" w:rsidRPr="00DD72D9" w:rsidP="00B37537" w14:paraId="47B9ECDD" w14:textId="36856168">
            <w:pPr>
              <w:pStyle w:val="Default"/>
              <w:rPr>
                <w:rFonts w:ascii="Times New Roman" w:hAnsi="Times New Roman" w:cs="Times New Roman"/>
                <w:sz w:val="22"/>
                <w:szCs w:val="22"/>
              </w:rPr>
            </w:pPr>
            <w:r w:rsidRPr="00FB451C">
              <w:rPr>
                <w:rFonts w:ascii="Times New Roman" w:hAnsi="Times New Roman" w:cs="Times New Roman"/>
                <w:sz w:val="22"/>
                <w:szCs w:val="22"/>
              </w:rPr>
              <w:t>NRAO’s Very Large Array, Socorro</w:t>
            </w:r>
          </w:p>
        </w:tc>
        <w:tc>
          <w:tcPr>
            <w:tcW w:w="2132" w:type="dxa"/>
          </w:tcPr>
          <w:p w:rsidR="00A36D12" w:rsidRPr="00DD72D9" w:rsidP="00B37537" w14:paraId="42C0AF7B" w14:textId="1BFA6E07">
            <w:pPr>
              <w:pStyle w:val="Default"/>
              <w:rPr>
                <w:rFonts w:ascii="Times New Roman" w:hAnsi="Times New Roman" w:cs="Times New Roman"/>
                <w:sz w:val="22"/>
                <w:szCs w:val="22"/>
              </w:rPr>
            </w:pPr>
            <w:r w:rsidRPr="00FB451C">
              <w:rPr>
                <w:rFonts w:ascii="Times New Roman" w:hAnsi="Times New Roman" w:cs="Times New Roman"/>
                <w:sz w:val="22"/>
                <w:szCs w:val="22"/>
              </w:rPr>
              <w:t>34° 04' 44''</w:t>
            </w:r>
          </w:p>
        </w:tc>
        <w:tc>
          <w:tcPr>
            <w:tcW w:w="2700" w:type="dxa"/>
          </w:tcPr>
          <w:p w:rsidR="00A36D12" w:rsidRPr="00DD72D9" w:rsidP="00B37537" w14:paraId="7518C950" w14:textId="3C7C5458">
            <w:pPr>
              <w:pStyle w:val="Default"/>
              <w:rPr>
                <w:rFonts w:ascii="Times New Roman" w:hAnsi="Times New Roman" w:cs="Times New Roman"/>
                <w:sz w:val="22"/>
                <w:szCs w:val="22"/>
              </w:rPr>
            </w:pPr>
            <w:r w:rsidRPr="00FB451C">
              <w:rPr>
                <w:rFonts w:ascii="Times New Roman" w:hAnsi="Times New Roman" w:cs="Times New Roman"/>
                <w:sz w:val="22"/>
                <w:szCs w:val="22"/>
              </w:rPr>
              <w:t>107° 37' 06''</w:t>
            </w:r>
          </w:p>
        </w:tc>
      </w:tr>
      <w:tr w14:paraId="5429CA2B" w14:textId="77777777" w:rsidTr="00A425CA">
        <w:tblPrEx>
          <w:tblW w:w="9635" w:type="dxa"/>
          <w:jc w:val="center"/>
          <w:tblLayout w:type="fixed"/>
          <w:tblLook w:val="0000"/>
        </w:tblPrEx>
        <w:trPr>
          <w:trHeight w:val="99"/>
          <w:jc w:val="center"/>
        </w:trPr>
        <w:tc>
          <w:tcPr>
            <w:tcW w:w="1175" w:type="dxa"/>
          </w:tcPr>
          <w:p w:rsidR="00A36D12" w:rsidRPr="00DD72D9" w:rsidP="00B37537" w14:paraId="5A8E53BA" w14:textId="0BB1F22B">
            <w:pPr>
              <w:pStyle w:val="Default"/>
              <w:rPr>
                <w:rFonts w:ascii="Times New Roman" w:hAnsi="Times New Roman" w:cs="Times New Roman"/>
                <w:sz w:val="22"/>
                <w:szCs w:val="22"/>
              </w:rPr>
            </w:pPr>
            <w:r w:rsidRPr="00FB451C">
              <w:rPr>
                <w:rFonts w:ascii="Times New Roman" w:hAnsi="Times New Roman" w:cs="Times New Roman"/>
                <w:sz w:val="22"/>
                <w:szCs w:val="22"/>
              </w:rPr>
              <w:t>WV</w:t>
            </w:r>
          </w:p>
        </w:tc>
        <w:tc>
          <w:tcPr>
            <w:tcW w:w="3628" w:type="dxa"/>
          </w:tcPr>
          <w:p w:rsidR="00A36D12" w:rsidRPr="00DD72D9" w:rsidP="00B37537" w14:paraId="212EF3D1" w14:textId="0D42D980">
            <w:pPr>
              <w:pStyle w:val="Default"/>
              <w:rPr>
                <w:rFonts w:ascii="Times New Roman" w:hAnsi="Times New Roman" w:cs="Times New Roman"/>
                <w:sz w:val="22"/>
                <w:szCs w:val="22"/>
              </w:rPr>
            </w:pPr>
            <w:r w:rsidRPr="00FB451C">
              <w:rPr>
                <w:rFonts w:ascii="Times New Roman" w:hAnsi="Times New Roman" w:cs="Times New Roman"/>
                <w:sz w:val="22"/>
                <w:szCs w:val="22"/>
              </w:rPr>
              <w:t>Green Bank Telescope, Green Bank</w:t>
            </w:r>
          </w:p>
        </w:tc>
        <w:tc>
          <w:tcPr>
            <w:tcW w:w="2132" w:type="dxa"/>
          </w:tcPr>
          <w:p w:rsidR="00A36D12" w:rsidRPr="00DD72D9" w:rsidP="00B37537" w14:paraId="214C6C53" w14:textId="33CED1A3">
            <w:pPr>
              <w:pStyle w:val="Default"/>
              <w:rPr>
                <w:rFonts w:ascii="Times New Roman" w:hAnsi="Times New Roman" w:cs="Times New Roman"/>
                <w:sz w:val="22"/>
                <w:szCs w:val="22"/>
              </w:rPr>
            </w:pPr>
            <w:r w:rsidRPr="00FB451C">
              <w:rPr>
                <w:rFonts w:ascii="Times New Roman" w:hAnsi="Times New Roman" w:cs="Times New Roman"/>
                <w:sz w:val="22"/>
                <w:szCs w:val="22"/>
              </w:rPr>
              <w:t>38° 25' 59''</w:t>
            </w:r>
          </w:p>
        </w:tc>
        <w:tc>
          <w:tcPr>
            <w:tcW w:w="2700" w:type="dxa"/>
          </w:tcPr>
          <w:p w:rsidR="00AB2AC8" w:rsidRPr="00FB451C" w:rsidP="00B37537" w14:paraId="088315E1" w14:textId="0296B82B">
            <w:pPr>
              <w:pStyle w:val="ListParagraph"/>
              <w:ind w:left="0"/>
              <w:rPr>
                <w:rFonts w:ascii="Times New Roman" w:hAnsi="Times New Roman" w:cs="Times New Roman"/>
              </w:rPr>
            </w:pPr>
            <w:r w:rsidRPr="00FB451C">
              <w:rPr>
                <w:rFonts w:ascii="Times New Roman" w:hAnsi="Times New Roman" w:cs="Times New Roman"/>
              </w:rPr>
              <w:t>079° 50' 23''</w:t>
            </w:r>
          </w:p>
          <w:p w:rsidR="00A36D12" w:rsidRPr="00DD72D9" w:rsidP="00B37537" w14:paraId="0BE46600" w14:textId="27EB1C7A">
            <w:pPr>
              <w:pStyle w:val="Default"/>
              <w:rPr>
                <w:rFonts w:ascii="Times New Roman" w:hAnsi="Times New Roman" w:cs="Times New Roman"/>
                <w:sz w:val="22"/>
                <w:szCs w:val="22"/>
              </w:rPr>
            </w:pPr>
          </w:p>
        </w:tc>
      </w:tr>
    </w:tbl>
    <w:p w:rsidR="00A36D12" w:rsidP="0098773B" w14:paraId="16125E87" w14:textId="77777777">
      <w:pPr>
        <w:pStyle w:val="ListParagraph"/>
        <w:ind w:left="0"/>
      </w:pPr>
    </w:p>
    <w:p w:rsidR="00A36D12" w:rsidP="0098773B" w14:paraId="47A47B15" w14:textId="77777777">
      <w:pPr>
        <w:pStyle w:val="ListParagraph"/>
        <w:ind w:left="0"/>
      </w:pPr>
    </w:p>
    <w:p w:rsidR="00A36D12" w:rsidP="0098773B" w14:paraId="12A0D65F" w14:textId="77777777">
      <w:pPr>
        <w:pStyle w:val="ListParagraph"/>
        <w:ind w:left="0"/>
      </w:pPr>
    </w:p>
    <w:p w:rsidR="003E5329" w:rsidRPr="00234BF5" w:rsidP="00234BF5" w14:paraId="324CCE29" w14:textId="77777777">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4BF834"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D25FB5" w14:paraId="5C7DD6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9FD34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C42D5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3F7C" w14:paraId="41E249AF" w14:textId="77777777">
      <w:r>
        <w:separator/>
      </w:r>
    </w:p>
  </w:footnote>
  <w:footnote w:type="continuationSeparator" w:id="1">
    <w:p w:rsidR="00DA3F7C" w:rsidP="00C721AC" w14:paraId="064C50B6" w14:textId="77777777">
      <w:pPr>
        <w:spacing w:before="120"/>
        <w:rPr>
          <w:sz w:val="20"/>
        </w:rPr>
      </w:pPr>
      <w:r>
        <w:rPr>
          <w:sz w:val="20"/>
        </w:rPr>
        <w:t xml:space="preserve">(Continued from previous page)  </w:t>
      </w:r>
      <w:r>
        <w:rPr>
          <w:sz w:val="20"/>
        </w:rPr>
        <w:separator/>
      </w:r>
    </w:p>
  </w:footnote>
  <w:footnote w:type="continuationNotice" w:id="2">
    <w:p w:rsidR="00DA3F7C" w:rsidP="00C721AC" w14:paraId="5F270E92" w14:textId="77777777">
      <w:pPr>
        <w:jc w:val="right"/>
        <w:rPr>
          <w:sz w:val="20"/>
        </w:rPr>
      </w:pPr>
      <w:r>
        <w:rPr>
          <w:sz w:val="20"/>
        </w:rPr>
        <w:t>(continued….)</w:t>
      </w:r>
    </w:p>
  </w:footnote>
  <w:footnote w:id="3">
    <w:p w:rsidR="7526DF64" w:rsidP="7526DF64" w14:paraId="44C64150" w14:textId="17845DBE">
      <w:pPr>
        <w:pStyle w:val="FootnoteText"/>
      </w:pPr>
      <w:r w:rsidRPr="7526DF64">
        <w:rPr>
          <w:rStyle w:val="FootnoteReference"/>
        </w:rPr>
        <w:footnoteRef/>
      </w:r>
      <w:r>
        <w:t xml:space="preserve"> </w:t>
      </w:r>
      <w:r w:rsidR="003A2A86">
        <w:t>ContiTech</w:t>
      </w:r>
      <w:r w:rsidR="003A2A86">
        <w:t xml:space="preserve"> USA, Inc. Request for Waiver of Section 90.103 (b) of the Commission’s Rules, WT Docket No. 22-260, at 1 (filed Feb.</w:t>
      </w:r>
      <w:r w:rsidR="00872D3E">
        <w:t xml:space="preserve"> </w:t>
      </w:r>
      <w:r w:rsidR="003A2A86">
        <w:t xml:space="preserve">24, 2022), </w:t>
      </w:r>
      <w:hyperlink r:id="rId1" w:history="1">
        <w:r w:rsidRPr="00BF4D6B" w:rsidR="003A2A86">
          <w:rPr>
            <w:rStyle w:val="Hyperlink"/>
          </w:rPr>
          <w:t>https://www.fcc.gov/ecfs/search/search-filings/filing/1022459833895</w:t>
        </w:r>
      </w:hyperlink>
      <w:r w:rsidR="003A2A86">
        <w:t xml:space="preserve"> (</w:t>
      </w:r>
      <w:r w:rsidRPr="00DF2724" w:rsidR="003A2A86">
        <w:t>Request</w:t>
      </w:r>
      <w:r w:rsidR="003A2A86">
        <w:t xml:space="preserve">).  </w:t>
      </w:r>
    </w:p>
  </w:footnote>
  <w:footnote w:id="4">
    <w:p w:rsidR="001E4CC1" w:rsidP="001E4CC1" w14:paraId="5F734126" w14:textId="2B85525E">
      <w:pPr>
        <w:pStyle w:val="FootnoteText"/>
      </w:pPr>
      <w:r w:rsidRPr="001E4CC1">
        <w:rPr>
          <w:rStyle w:val="FootnoteReference"/>
        </w:rPr>
        <w:footnoteRef/>
      </w:r>
      <w:r>
        <w:t xml:space="preserve"> </w:t>
      </w:r>
      <w:r w:rsidR="00D6494B">
        <w:t>47 CFR</w:t>
      </w:r>
      <w:r w:rsidR="00F155DC">
        <w:t xml:space="preserve"> §</w:t>
      </w:r>
      <w:r w:rsidR="00BF01E4">
        <w:t xml:space="preserve"> </w:t>
      </w:r>
      <w:r w:rsidR="00F155DC">
        <w:t>95.3331</w:t>
      </w:r>
      <w:r w:rsidR="00BF01E4">
        <w:t>.</w:t>
      </w:r>
    </w:p>
  </w:footnote>
  <w:footnote w:id="5">
    <w:p w:rsidR="767792B3" w:rsidP="767792B3" w14:paraId="4FEAE7B7" w14:textId="0B498993">
      <w:pPr>
        <w:pStyle w:val="FootnoteText"/>
      </w:pPr>
      <w:r w:rsidRPr="767792B3">
        <w:rPr>
          <w:rStyle w:val="FootnoteReference"/>
        </w:rPr>
        <w:footnoteRef/>
      </w:r>
      <w:r>
        <w:t xml:space="preserve"> </w:t>
      </w:r>
      <w:r w:rsidR="002B3E22">
        <w:t xml:space="preserve">47 CFR </w:t>
      </w:r>
      <w:r w:rsidR="002F2EA2">
        <w:t>§</w:t>
      </w:r>
      <w:r w:rsidR="00BF01E4">
        <w:t xml:space="preserve"> </w:t>
      </w:r>
      <w:r w:rsidR="002B3E22">
        <w:t>90.103(b)</w:t>
      </w:r>
      <w:r w:rsidR="002F2EA2">
        <w:t>.</w:t>
      </w:r>
    </w:p>
  </w:footnote>
  <w:footnote w:id="6">
    <w:p w:rsidR="006F4C59" w:rsidP="006F4C59" w14:paraId="791B120D" w14:textId="20BC2815">
      <w:pPr>
        <w:pStyle w:val="FootnoteText"/>
      </w:pPr>
      <w:r>
        <w:rPr>
          <w:rStyle w:val="FootnoteReference"/>
        </w:rPr>
        <w:footnoteRef/>
      </w:r>
      <w:r w:rsidR="00FE1E9F">
        <w:t xml:space="preserve"> </w:t>
      </w:r>
      <w:r w:rsidR="00E01840">
        <w:t xml:space="preserve">Request at 1. </w:t>
      </w:r>
    </w:p>
  </w:footnote>
  <w:footnote w:id="7">
    <w:p w:rsidR="00B00076" w14:paraId="784CA4EC" w14:textId="720D2F87">
      <w:pPr>
        <w:pStyle w:val="FootnoteText"/>
      </w:pPr>
      <w:r>
        <w:rPr>
          <w:rStyle w:val="FootnoteReference"/>
        </w:rPr>
        <w:footnoteRef/>
      </w:r>
      <w:r>
        <w:t xml:space="preserve"> </w:t>
      </w:r>
      <w:r w:rsidRPr="00537958" w:rsidR="00CB3B7C">
        <w:rPr>
          <w:i/>
          <w:iCs/>
        </w:rPr>
        <w:t>See</w:t>
      </w:r>
      <w:r w:rsidR="00CB3B7C">
        <w:t xml:space="preserve"> </w:t>
      </w:r>
      <w:r w:rsidRPr="00537958" w:rsidR="003E7E1A">
        <w:rPr>
          <w:i/>
          <w:iCs/>
        </w:rPr>
        <w:t>Amendment</w:t>
      </w:r>
      <w:r w:rsidRPr="00537958" w:rsidR="000C305F">
        <w:rPr>
          <w:i/>
          <w:iCs/>
        </w:rPr>
        <w:t xml:space="preserve"> of Parts 1, 2, 15, 90, and </w:t>
      </w:r>
      <w:r w:rsidRPr="00537958" w:rsidR="00AE3A69">
        <w:rPr>
          <w:i/>
          <w:iCs/>
        </w:rPr>
        <w:t xml:space="preserve">95 of the Commission’s Rules to </w:t>
      </w:r>
      <w:r w:rsidR="000828A7">
        <w:rPr>
          <w:i/>
          <w:iCs/>
        </w:rPr>
        <w:t>P</w:t>
      </w:r>
      <w:r w:rsidRPr="00537958" w:rsidR="00AE3A69">
        <w:rPr>
          <w:i/>
          <w:iCs/>
        </w:rPr>
        <w:t xml:space="preserve">ermit </w:t>
      </w:r>
      <w:r w:rsidRPr="00537958" w:rsidR="003E7E1A">
        <w:rPr>
          <w:i/>
          <w:iCs/>
        </w:rPr>
        <w:t xml:space="preserve">Radar Services in the </w:t>
      </w:r>
      <w:r w:rsidRPr="00537958" w:rsidR="00851A27">
        <w:rPr>
          <w:i/>
          <w:iCs/>
        </w:rPr>
        <w:t>76-81 GHz Band</w:t>
      </w:r>
      <w:r w:rsidR="00851A27">
        <w:t xml:space="preserve">, </w:t>
      </w:r>
      <w:r w:rsidR="00CB3B7C">
        <w:t xml:space="preserve">32 FCC </w:t>
      </w:r>
      <w:r w:rsidR="00CB3B7C">
        <w:t>Rcd</w:t>
      </w:r>
      <w:r w:rsidR="00CB3B7C">
        <w:t xml:space="preserve"> 8822, Report and Order (</w:t>
      </w:r>
      <w:r w:rsidR="00A40E9B">
        <w:t xml:space="preserve">Jul. 14, 2017). </w:t>
      </w:r>
    </w:p>
  </w:footnote>
  <w:footnote w:id="8">
    <w:p w:rsidR="00B24C5B" w:rsidP="00B24C5B" w14:paraId="5EB53E50" w14:textId="77777777">
      <w:pPr>
        <w:pStyle w:val="FootnoteText"/>
      </w:pPr>
      <w:r>
        <w:rPr>
          <w:rStyle w:val="FootnoteReference"/>
        </w:rPr>
        <w:footnoteRef/>
      </w:r>
      <w:r>
        <w:t xml:space="preserve"> </w:t>
      </w:r>
      <w:r w:rsidRPr="0014559A">
        <w:rPr>
          <w:i/>
          <w:iCs/>
        </w:rPr>
        <w:t>See</w:t>
      </w:r>
      <w:r>
        <w:t xml:space="preserve"> 47 CFR §§ 2.106, 90.103(b).</w:t>
      </w:r>
    </w:p>
  </w:footnote>
  <w:footnote w:id="9">
    <w:p w:rsidR="0097496D" w:rsidP="0097496D" w14:paraId="6D2F2102" w14:textId="77777777">
      <w:pPr>
        <w:pStyle w:val="FootnoteText"/>
      </w:pPr>
      <w:r>
        <w:rPr>
          <w:rStyle w:val="FootnoteReference"/>
        </w:rPr>
        <w:footnoteRef/>
      </w:r>
      <w:r>
        <w:t xml:space="preserve"> </w:t>
      </w:r>
      <w:r w:rsidRPr="004B3E88">
        <w:t xml:space="preserve">Request </w:t>
      </w:r>
      <w:r>
        <w:t xml:space="preserve">at 5.  </w:t>
      </w:r>
    </w:p>
  </w:footnote>
  <w:footnote w:id="10">
    <w:p w:rsidR="00377585" w14:paraId="766BBE59" w14:textId="215EBD0A">
      <w:pPr>
        <w:pStyle w:val="FootnoteText"/>
      </w:pPr>
      <w:r>
        <w:rPr>
          <w:rStyle w:val="FootnoteReference"/>
        </w:rPr>
        <w:footnoteRef/>
      </w:r>
      <w:r>
        <w:t xml:space="preserve"> </w:t>
      </w:r>
      <w:r w:rsidRPr="00BE05FF" w:rsidR="00BE05FF">
        <w:t xml:space="preserve">A pseudo noise or pseudo-random noise radar generates a deterministic signal that appears random or noise-like.  Pseudo noise signals often present a lower potential for interference because the signal is spread over a wider bandwidth at a lower power level minimally raising the noise floor.  </w:t>
      </w:r>
    </w:p>
  </w:footnote>
  <w:footnote w:id="11">
    <w:p w:rsidR="0097496D" w:rsidP="0097496D" w14:paraId="44122BA8" w14:textId="77777777">
      <w:pPr>
        <w:pStyle w:val="FootnoteText"/>
      </w:pPr>
      <w:r>
        <w:rPr>
          <w:rStyle w:val="FootnoteReference"/>
        </w:rPr>
        <w:footnoteRef/>
      </w:r>
      <w:r>
        <w:t xml:space="preserve"> </w:t>
      </w:r>
      <w:r w:rsidRPr="00321849">
        <w:rPr>
          <w:i/>
          <w:iCs/>
        </w:rPr>
        <w:t xml:space="preserve">See </w:t>
      </w:r>
      <w:r w:rsidRPr="004B3E88">
        <w:t>Request</w:t>
      </w:r>
      <w:r>
        <w:t xml:space="preserve"> at 7-11. </w:t>
      </w:r>
    </w:p>
  </w:footnote>
  <w:footnote w:id="12">
    <w:p w:rsidR="0062522C" w14:paraId="6BDF4362" w14:textId="107D7CD8">
      <w:pPr>
        <w:pStyle w:val="FootnoteText"/>
      </w:pPr>
      <w:r>
        <w:rPr>
          <w:rStyle w:val="FootnoteReference"/>
        </w:rPr>
        <w:footnoteRef/>
      </w:r>
      <w:r>
        <w:t xml:space="preserve"> </w:t>
      </w:r>
      <w:r w:rsidRPr="00A425CA">
        <w:rPr>
          <w:i/>
          <w:iCs/>
        </w:rPr>
        <w:t>See</w:t>
      </w:r>
      <w:r>
        <w:t xml:space="preserve"> Request at 7. </w:t>
      </w:r>
    </w:p>
  </w:footnote>
  <w:footnote w:id="13">
    <w:p w:rsidR="0097496D" w:rsidP="0097496D" w14:paraId="0821B576" w14:textId="0D326D90">
      <w:pPr>
        <w:pStyle w:val="FootnoteText"/>
      </w:pPr>
      <w:r>
        <w:rPr>
          <w:rStyle w:val="FootnoteReference"/>
        </w:rPr>
        <w:footnoteRef/>
      </w:r>
      <w:r>
        <w:t xml:space="preserve"> </w:t>
      </w:r>
      <w:r w:rsidRPr="00D1677A" w:rsidR="00D1677A">
        <w:rPr>
          <w:i/>
          <w:iCs/>
        </w:rPr>
        <w:t xml:space="preserve">The Wireless Telecommunications Bureau Seeks Comment On </w:t>
      </w:r>
      <w:r w:rsidRPr="00D1677A" w:rsidR="00D1677A">
        <w:rPr>
          <w:i/>
          <w:iCs/>
        </w:rPr>
        <w:t>ContiTech</w:t>
      </w:r>
      <w:r w:rsidRPr="00D1677A" w:rsidR="00D1677A">
        <w:rPr>
          <w:i/>
          <w:iCs/>
        </w:rPr>
        <w:t xml:space="preserve"> USA Inc.'s Request For Waiver Of 76 GHz Radiolocation Rules</w:t>
      </w:r>
      <w:r w:rsidR="00D1677A">
        <w:t xml:space="preserve">, </w:t>
      </w:r>
      <w:r w:rsidR="00810CD7">
        <w:t xml:space="preserve">22-260, </w:t>
      </w:r>
      <w:r w:rsidR="007F18F2">
        <w:t xml:space="preserve">Public Notice, </w:t>
      </w:r>
      <w:r w:rsidR="00AA7A78">
        <w:t xml:space="preserve">DA 22-732 (WTB 2022). </w:t>
      </w:r>
    </w:p>
  </w:footnote>
  <w:footnote w:id="14">
    <w:p w:rsidR="00712535" w14:paraId="31E40DF1" w14:textId="435CAA3E">
      <w:pPr>
        <w:pStyle w:val="FootnoteText"/>
      </w:pPr>
      <w:r>
        <w:rPr>
          <w:rStyle w:val="FootnoteReference"/>
        </w:rPr>
        <w:footnoteRef/>
      </w:r>
      <w:r>
        <w:t xml:space="preserve"> </w:t>
      </w:r>
      <w:r w:rsidR="008E3831">
        <w:t xml:space="preserve">National Telecommunications and Intelligence Association </w:t>
      </w:r>
      <w:r w:rsidR="00DD6B16">
        <w:t xml:space="preserve">(Filed on behalf of the </w:t>
      </w:r>
      <w:r w:rsidR="008E3831">
        <w:t>National Science Foundation</w:t>
      </w:r>
      <w:r w:rsidR="00DD6B16">
        <w:t>)</w:t>
      </w:r>
      <w:r w:rsidR="00AA7A78">
        <w:t>,</w:t>
      </w:r>
      <w:r>
        <w:t xml:space="preserve"> Comment</w:t>
      </w:r>
      <w:r w:rsidR="00AA7A78">
        <w:t xml:space="preserve">s, at </w:t>
      </w:r>
      <w:r w:rsidR="008E3831">
        <w:t>1</w:t>
      </w:r>
      <w:r w:rsidR="008F1733">
        <w:t>,</w:t>
      </w:r>
      <w:r w:rsidR="008E3831">
        <w:t xml:space="preserve"> </w:t>
      </w:r>
      <w:hyperlink r:id="rId2" w:history="1">
        <w:r w:rsidRPr="00F61847" w:rsidR="008E3831">
          <w:rPr>
            <w:rStyle w:val="Hyperlink"/>
          </w:rPr>
          <w:t>https://www.fcc.gov/ecfs/document/108081380801952/2</w:t>
        </w:r>
      </w:hyperlink>
      <w:r w:rsidR="008E3831">
        <w:t xml:space="preserve">. </w:t>
      </w:r>
    </w:p>
  </w:footnote>
  <w:footnote w:id="15">
    <w:p w:rsidR="009A214D" w14:paraId="7D7DAF08" w14:textId="6C81BF5C">
      <w:pPr>
        <w:pStyle w:val="FootnoteText"/>
      </w:pPr>
      <w:r>
        <w:rPr>
          <w:rStyle w:val="FootnoteReference"/>
        </w:rPr>
        <w:footnoteRef/>
      </w:r>
      <w:r>
        <w:t xml:space="preserve"> </w:t>
      </w:r>
      <w:r>
        <w:t>ContiTech</w:t>
      </w:r>
      <w:r w:rsidR="008E3831">
        <w:t xml:space="preserve"> USA Inc.,</w:t>
      </w:r>
      <w:r>
        <w:t xml:space="preserve"> Reply</w:t>
      </w:r>
      <w:r w:rsidR="008E3831">
        <w:t xml:space="preserve">, at 4-5, </w:t>
      </w:r>
      <w:hyperlink r:id="rId3" w:history="1">
        <w:r w:rsidRPr="00F61847" w:rsidR="008E3831">
          <w:rPr>
            <w:rStyle w:val="Hyperlink"/>
          </w:rPr>
          <w:t>https://www.fcc.gov/ecfs/document/10819233447976/1</w:t>
        </w:r>
      </w:hyperlink>
      <w:r w:rsidR="008E3831">
        <w:t xml:space="preserve">. </w:t>
      </w:r>
    </w:p>
  </w:footnote>
  <w:footnote w:id="16">
    <w:p w:rsidR="00F10311" w14:paraId="3B50004D" w14:textId="09F60DC5">
      <w:pPr>
        <w:pStyle w:val="FootnoteText"/>
      </w:pPr>
      <w:r>
        <w:rPr>
          <w:rStyle w:val="FootnoteReference"/>
        </w:rPr>
        <w:footnoteRef/>
      </w:r>
      <w:r>
        <w:t xml:space="preserve"> </w:t>
      </w:r>
      <w:r w:rsidRPr="00CF604F" w:rsidR="00CF604F">
        <w:rPr>
          <w:i/>
          <w:iCs/>
        </w:rPr>
        <w:t>See</w:t>
      </w:r>
      <w:r w:rsidR="00CF604F">
        <w:t xml:space="preserve"> 47 CFR § 1.925(b)(3).</w:t>
      </w:r>
    </w:p>
  </w:footnote>
  <w:footnote w:id="17">
    <w:p w:rsidR="00892323" w14:paraId="0010F24A" w14:textId="18329D3A">
      <w:pPr>
        <w:pStyle w:val="FootnoteText"/>
      </w:pPr>
      <w:r>
        <w:rPr>
          <w:rStyle w:val="FootnoteReference"/>
        </w:rPr>
        <w:footnoteRef/>
      </w:r>
      <w:r>
        <w:t xml:space="preserve"> </w:t>
      </w:r>
      <w:r w:rsidRPr="008F38E0" w:rsidR="008F38E0">
        <w:rPr>
          <w:i/>
          <w:iCs/>
        </w:rPr>
        <w:t>See</w:t>
      </w:r>
      <w:r w:rsidR="008F38E0">
        <w:t xml:space="preserve"> Amendment of Parts 1, 2, 15, 90 and 95 of the Commission’s Rules to Permit Radar Services in the 76-81 GHz Band, Report and Order, 32 FCC </w:t>
      </w:r>
      <w:r w:rsidR="008F38E0">
        <w:t>Rcd</w:t>
      </w:r>
      <w:r w:rsidR="008F38E0">
        <w:t xml:space="preserve"> 8822, 8845, para. 40 (2017) (76-81 GHz Report and Order).</w:t>
      </w:r>
    </w:p>
  </w:footnote>
  <w:footnote w:id="18">
    <w:p w:rsidR="00AC2ABF" w14:paraId="0A2ED872" w14:textId="755570E1">
      <w:pPr>
        <w:pStyle w:val="FootnoteText"/>
      </w:pPr>
      <w:r>
        <w:rPr>
          <w:rStyle w:val="FootnoteReference"/>
        </w:rPr>
        <w:footnoteRef/>
      </w:r>
      <w:r>
        <w:t xml:space="preserve"> </w:t>
      </w:r>
      <w:r w:rsidRPr="007B7B7B" w:rsidR="007B7B7B">
        <w:rPr>
          <w:i/>
          <w:iCs/>
        </w:rPr>
        <w:t>See id.</w:t>
      </w:r>
      <w:r w:rsidR="007B7B7B">
        <w:t xml:space="preserve"> at 8845, para. 42. The air operations area is that part of an airport where aircraft operate, including runways, taxiways, and apron areas (areas where aircraft park and are serviced) within the airport’s perimeter fence. 47 CFR § 87.5.</w:t>
      </w:r>
    </w:p>
  </w:footnote>
  <w:footnote w:id="19">
    <w:p w:rsidR="00A91BB0" w14:paraId="11B8162B" w14:textId="6A4E46A0">
      <w:pPr>
        <w:pStyle w:val="FootnoteText"/>
      </w:pPr>
      <w:r>
        <w:rPr>
          <w:rStyle w:val="FootnoteReference"/>
        </w:rPr>
        <w:footnoteRef/>
      </w:r>
      <w:r>
        <w:t xml:space="preserve"> </w:t>
      </w:r>
      <w:r w:rsidRPr="00A425CA" w:rsidR="001961F6">
        <w:rPr>
          <w:i/>
          <w:iCs/>
        </w:rPr>
        <w:t>76-81 GHz Report and Order</w:t>
      </w:r>
      <w:r w:rsidR="001961F6">
        <w:t xml:space="preserve">, 32 FCC </w:t>
      </w:r>
      <w:r w:rsidR="001961F6">
        <w:t>Rcd</w:t>
      </w:r>
      <w:r w:rsidR="001961F6">
        <w:t xml:space="preserve"> at 8845, para. 40 (footnote omitted).</w:t>
      </w:r>
    </w:p>
  </w:footnote>
  <w:footnote w:id="20">
    <w:p w:rsidR="00BE12E6" w14:paraId="05EEF813" w14:textId="3C18ED7D">
      <w:pPr>
        <w:pStyle w:val="FootnoteText"/>
      </w:pPr>
      <w:r>
        <w:rPr>
          <w:rStyle w:val="FootnoteReference"/>
        </w:rPr>
        <w:footnoteRef/>
      </w:r>
      <w:r>
        <w:t xml:space="preserve"> Request at 6.</w:t>
      </w:r>
    </w:p>
  </w:footnote>
  <w:footnote w:id="21">
    <w:p w:rsidR="00497ED9" w:rsidP="00497ED9" w14:paraId="31085F17" w14:textId="77777777">
      <w:pPr>
        <w:pStyle w:val="FootnoteText"/>
      </w:pPr>
      <w:r>
        <w:rPr>
          <w:rStyle w:val="FootnoteReference"/>
        </w:rPr>
        <w:footnoteRef/>
      </w:r>
      <w:r>
        <w:t xml:space="preserve"> </w:t>
      </w:r>
      <w:r w:rsidRPr="007231D9">
        <w:rPr>
          <w:i/>
          <w:iCs/>
        </w:rPr>
        <w:t>I</w:t>
      </w:r>
      <w:r w:rsidRPr="0082621B">
        <w:rPr>
          <w:i/>
          <w:iCs/>
        </w:rPr>
        <w:t>d</w:t>
      </w:r>
      <w:r w:rsidRPr="007231D9">
        <w:t>.</w:t>
      </w:r>
      <w:r>
        <w:t xml:space="preserve"> at 7-8. </w:t>
      </w:r>
    </w:p>
  </w:footnote>
  <w:footnote w:id="22">
    <w:p w:rsidR="00497ED9" w:rsidP="00497ED9" w14:paraId="2934C767" w14:textId="77777777">
      <w:pPr>
        <w:pStyle w:val="FootnoteText"/>
      </w:pPr>
      <w:r>
        <w:rPr>
          <w:rStyle w:val="FootnoteReference"/>
        </w:rPr>
        <w:footnoteRef/>
      </w:r>
      <w:r>
        <w:t xml:space="preserve"> </w:t>
      </w:r>
      <w:r w:rsidRPr="007231D9">
        <w:rPr>
          <w:i/>
          <w:iCs/>
        </w:rPr>
        <w:t>Id.</w:t>
      </w:r>
      <w:r>
        <w:t xml:space="preserve"> at 10.</w:t>
      </w:r>
    </w:p>
  </w:footnote>
  <w:footnote w:id="23">
    <w:p w:rsidR="00A8078E" w14:paraId="17AB852E" w14:textId="474A0040">
      <w:pPr>
        <w:pStyle w:val="FootnoteText"/>
      </w:pPr>
      <w:r>
        <w:rPr>
          <w:rStyle w:val="FootnoteReference"/>
        </w:rPr>
        <w:footnoteRef/>
      </w:r>
      <w:r>
        <w:t xml:space="preserve"> </w:t>
      </w:r>
      <w:r w:rsidRPr="007231D9" w:rsidR="007231D9">
        <w:rPr>
          <w:i/>
          <w:iCs/>
        </w:rPr>
        <w:t>Id.</w:t>
      </w:r>
      <w:r w:rsidR="007231D9">
        <w:t xml:space="preserve"> </w:t>
      </w:r>
      <w:r>
        <w:t xml:space="preserve">at 12. </w:t>
      </w:r>
    </w:p>
  </w:footnote>
  <w:footnote w:id="24">
    <w:p w:rsidR="00F77064" w14:paraId="684F9DAA" w14:textId="2E8DB55F">
      <w:pPr>
        <w:pStyle w:val="FootnoteText"/>
      </w:pPr>
      <w:r>
        <w:rPr>
          <w:rStyle w:val="FootnoteReference"/>
        </w:rPr>
        <w:footnoteRef/>
      </w:r>
      <w:r>
        <w:t xml:space="preserve"> </w:t>
      </w:r>
      <w:r w:rsidRPr="0082621B" w:rsidR="0082621B">
        <w:rPr>
          <w:i/>
          <w:iCs/>
        </w:rPr>
        <w:t>Id.</w:t>
      </w:r>
      <w:r>
        <w:t xml:space="preserve"> at 14. </w:t>
      </w:r>
    </w:p>
  </w:footnote>
  <w:footnote w:id="25">
    <w:p w:rsidR="0034309D" w14:paraId="522C4AF4" w14:textId="6E5EF8A0">
      <w:pPr>
        <w:pStyle w:val="FootnoteText"/>
      </w:pPr>
      <w:r>
        <w:rPr>
          <w:rStyle w:val="FootnoteReference"/>
        </w:rPr>
        <w:footnoteRef/>
      </w:r>
      <w:r>
        <w:t xml:space="preserve"> </w:t>
      </w:r>
      <w:r w:rsidR="00E24A4F">
        <w:t>This condition applies to both the long</w:t>
      </w:r>
      <w:r w:rsidR="00A45377">
        <w:t>-</w:t>
      </w:r>
      <w:r w:rsidR="00E24A4F">
        <w:t xml:space="preserve"> and short</w:t>
      </w:r>
      <w:r w:rsidR="00A45377">
        <w:t>-</w:t>
      </w:r>
      <w:r w:rsidR="00E24A4F">
        <w:t xml:space="preserve">range Devices </w:t>
      </w:r>
      <w:r w:rsidR="00A45377">
        <w:t xml:space="preserve">that </w:t>
      </w:r>
      <w:r w:rsidR="00E24A4F">
        <w:t>ContiTech</w:t>
      </w:r>
      <w:r w:rsidR="00E24A4F">
        <w:t xml:space="preserve"> is reviewing under the experimental license granted to </w:t>
      </w:r>
      <w:r w:rsidR="00E24A4F">
        <w:t>ContiTech</w:t>
      </w:r>
      <w:r w:rsidR="00E24A4F">
        <w:t xml:space="preserve"> with the call sign WL2XFY.</w:t>
      </w:r>
    </w:p>
  </w:footnote>
  <w:footnote w:id="26">
    <w:p w:rsidR="00F40414" w14:paraId="24C0A90E" w14:textId="537655C4">
      <w:pPr>
        <w:pStyle w:val="FootnoteText"/>
      </w:pPr>
      <w:r>
        <w:rPr>
          <w:rStyle w:val="FootnoteReference"/>
        </w:rPr>
        <w:footnoteRef/>
      </w:r>
      <w:r>
        <w:t xml:space="preserve"> </w:t>
      </w:r>
      <w:r w:rsidRPr="001D5731" w:rsidR="001D5731">
        <w:rPr>
          <w:i/>
          <w:iCs/>
        </w:rPr>
        <w:t>See</w:t>
      </w:r>
      <w:r w:rsidRPr="001D5731" w:rsidR="001D5731">
        <w:t xml:space="preserve"> 47 CFR 2.1043.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98B1BC" w14:textId="7B9ED680">
    <w:pPr>
      <w:pStyle w:val="Header"/>
      <w:rPr>
        <w:b w:val="0"/>
      </w:rPr>
    </w:pPr>
    <w:r>
      <w:tab/>
      <w:t>Federal Communications Commission</w:t>
    </w:r>
    <w:r>
      <w:tab/>
    </w:r>
    <w:r w:rsidR="00E23CFD">
      <w:t>DA 23-1100</w:t>
    </w:r>
  </w:p>
  <w:p w:rsidR="00D25FB5" w14:paraId="5DE766B1" w14:textId="12CACB7C">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5B75A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4E471F" w14:textId="3A184858">
    <w:pPr>
      <w:pStyle w:val="Header"/>
      <w:rPr>
        <w:b w:val="0"/>
      </w:rPr>
    </w:pPr>
    <w:r>
      <w:rPr>
        <w:noProof/>
        <w:color w:val="2B579A"/>
        <w:shd w:val="clear" w:color="auto" w:fill="E6E6E6"/>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3CFD">
      <w:t>DA 23-1100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52145BB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D84DC7"/>
    <w:multiLevelType w:val="hybridMultilevel"/>
    <w:tmpl w:val="812AC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3D3B1B"/>
    <w:multiLevelType w:val="hybridMultilevel"/>
    <w:tmpl w:val="751AD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341A53EE"/>
    <w:lvl w:ilvl="0">
      <w:start w:val="1"/>
      <w:numFmt w:val="decimal"/>
      <w:pStyle w:val="ParaNum"/>
      <w:lvlText w:val="%1."/>
      <w:lvlJc w:val="left"/>
      <w:pPr>
        <w:tabs>
          <w:tab w:val="num" w:pos="1080"/>
        </w:tabs>
        <w:ind w:left="0" w:firstLine="720"/>
      </w:pPr>
      <w:rPr>
        <w:i w:val="0"/>
        <w:iCs w:val="0"/>
      </w:rPr>
    </w:lvl>
  </w:abstractNum>
  <w:abstractNum w:abstractNumId="8">
    <w:nsid w:val="7886B39C"/>
    <w:multiLevelType w:val="hybridMultilevel"/>
    <w:tmpl w:val="DDF45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7"/>
    <w:lvlOverride w:ilvl="0">
      <w:startOverride w:val="1"/>
    </w:lvlOverride>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D"/>
    <w:rsid w:val="000061D6"/>
    <w:rsid w:val="0000689D"/>
    <w:rsid w:val="00013858"/>
    <w:rsid w:val="0002190A"/>
    <w:rsid w:val="00025A23"/>
    <w:rsid w:val="00026138"/>
    <w:rsid w:val="00026230"/>
    <w:rsid w:val="000277D0"/>
    <w:rsid w:val="000310DF"/>
    <w:rsid w:val="00034023"/>
    <w:rsid w:val="00034E55"/>
    <w:rsid w:val="00036039"/>
    <w:rsid w:val="00036A12"/>
    <w:rsid w:val="00037F90"/>
    <w:rsid w:val="00044144"/>
    <w:rsid w:val="000464AF"/>
    <w:rsid w:val="00050D97"/>
    <w:rsid w:val="00053756"/>
    <w:rsid w:val="000564E9"/>
    <w:rsid w:val="00057A9D"/>
    <w:rsid w:val="00070DF0"/>
    <w:rsid w:val="00071B2E"/>
    <w:rsid w:val="00075187"/>
    <w:rsid w:val="000804B1"/>
    <w:rsid w:val="000809EC"/>
    <w:rsid w:val="00082420"/>
    <w:rsid w:val="000828A7"/>
    <w:rsid w:val="000875BF"/>
    <w:rsid w:val="00087FD2"/>
    <w:rsid w:val="00091722"/>
    <w:rsid w:val="00094AAD"/>
    <w:rsid w:val="00096D8C"/>
    <w:rsid w:val="000A177E"/>
    <w:rsid w:val="000B3BBD"/>
    <w:rsid w:val="000B6CB4"/>
    <w:rsid w:val="000C0B65"/>
    <w:rsid w:val="000C305F"/>
    <w:rsid w:val="000C458C"/>
    <w:rsid w:val="000C76A0"/>
    <w:rsid w:val="000D1F80"/>
    <w:rsid w:val="000D31F2"/>
    <w:rsid w:val="000D6FA5"/>
    <w:rsid w:val="000E036B"/>
    <w:rsid w:val="000E05FE"/>
    <w:rsid w:val="000E2C2E"/>
    <w:rsid w:val="000E3D42"/>
    <w:rsid w:val="000E51B6"/>
    <w:rsid w:val="000E5A97"/>
    <w:rsid w:val="000E7170"/>
    <w:rsid w:val="000E7762"/>
    <w:rsid w:val="000F0B39"/>
    <w:rsid w:val="000F0CE0"/>
    <w:rsid w:val="001007FB"/>
    <w:rsid w:val="001017C8"/>
    <w:rsid w:val="00101A64"/>
    <w:rsid w:val="00105296"/>
    <w:rsid w:val="001108D6"/>
    <w:rsid w:val="00111FA0"/>
    <w:rsid w:val="00113D40"/>
    <w:rsid w:val="0011792C"/>
    <w:rsid w:val="00120FD9"/>
    <w:rsid w:val="00122BD5"/>
    <w:rsid w:val="00125D44"/>
    <w:rsid w:val="00127CAD"/>
    <w:rsid w:val="00127F19"/>
    <w:rsid w:val="00131426"/>
    <w:rsid w:val="00131CD7"/>
    <w:rsid w:val="00131D9B"/>
    <w:rsid w:val="00131F03"/>
    <w:rsid w:val="001324A9"/>
    <w:rsid w:val="00133F79"/>
    <w:rsid w:val="0014559A"/>
    <w:rsid w:val="00150635"/>
    <w:rsid w:val="00152299"/>
    <w:rsid w:val="00154AE4"/>
    <w:rsid w:val="00155641"/>
    <w:rsid w:val="001569EF"/>
    <w:rsid w:val="001605B9"/>
    <w:rsid w:val="00160994"/>
    <w:rsid w:val="00164EF6"/>
    <w:rsid w:val="001659A6"/>
    <w:rsid w:val="00170CA5"/>
    <w:rsid w:val="0017314B"/>
    <w:rsid w:val="001816E3"/>
    <w:rsid w:val="00181D7C"/>
    <w:rsid w:val="00181EA1"/>
    <w:rsid w:val="00181FDB"/>
    <w:rsid w:val="00183EE4"/>
    <w:rsid w:val="001860A3"/>
    <w:rsid w:val="001932F3"/>
    <w:rsid w:val="00194098"/>
    <w:rsid w:val="00194A66"/>
    <w:rsid w:val="001955D2"/>
    <w:rsid w:val="001961F6"/>
    <w:rsid w:val="00197AB9"/>
    <w:rsid w:val="001A6395"/>
    <w:rsid w:val="001A757A"/>
    <w:rsid w:val="001B0CDF"/>
    <w:rsid w:val="001B1AAA"/>
    <w:rsid w:val="001B25E2"/>
    <w:rsid w:val="001B4194"/>
    <w:rsid w:val="001C2193"/>
    <w:rsid w:val="001D0541"/>
    <w:rsid w:val="001D0AC9"/>
    <w:rsid w:val="001D0FBF"/>
    <w:rsid w:val="001D2345"/>
    <w:rsid w:val="001D5731"/>
    <w:rsid w:val="001D6BCF"/>
    <w:rsid w:val="001E01CA"/>
    <w:rsid w:val="001E4CC1"/>
    <w:rsid w:val="001E505A"/>
    <w:rsid w:val="001E6B7A"/>
    <w:rsid w:val="001F0AAB"/>
    <w:rsid w:val="001F260B"/>
    <w:rsid w:val="001F2A76"/>
    <w:rsid w:val="001F4774"/>
    <w:rsid w:val="001F52C8"/>
    <w:rsid w:val="00202FE4"/>
    <w:rsid w:val="002053AA"/>
    <w:rsid w:val="00210B33"/>
    <w:rsid w:val="0021166E"/>
    <w:rsid w:val="00213236"/>
    <w:rsid w:val="00217CAD"/>
    <w:rsid w:val="00222377"/>
    <w:rsid w:val="00222B03"/>
    <w:rsid w:val="002232A2"/>
    <w:rsid w:val="00226E27"/>
    <w:rsid w:val="00227D6F"/>
    <w:rsid w:val="00227EC6"/>
    <w:rsid w:val="0023315D"/>
    <w:rsid w:val="00233A54"/>
    <w:rsid w:val="00234BF5"/>
    <w:rsid w:val="00237236"/>
    <w:rsid w:val="0024587F"/>
    <w:rsid w:val="002512BB"/>
    <w:rsid w:val="00255729"/>
    <w:rsid w:val="00260B5E"/>
    <w:rsid w:val="00267162"/>
    <w:rsid w:val="00271F1D"/>
    <w:rsid w:val="002759B2"/>
    <w:rsid w:val="00275CF5"/>
    <w:rsid w:val="00277EDE"/>
    <w:rsid w:val="00282912"/>
    <w:rsid w:val="0028301F"/>
    <w:rsid w:val="00283D7E"/>
    <w:rsid w:val="00285017"/>
    <w:rsid w:val="00285C6C"/>
    <w:rsid w:val="00286D0F"/>
    <w:rsid w:val="00287423"/>
    <w:rsid w:val="0028785C"/>
    <w:rsid w:val="00291A20"/>
    <w:rsid w:val="002A02DF"/>
    <w:rsid w:val="002A0912"/>
    <w:rsid w:val="002A222D"/>
    <w:rsid w:val="002A2A97"/>
    <w:rsid w:val="002A2D2E"/>
    <w:rsid w:val="002A7032"/>
    <w:rsid w:val="002B0AF7"/>
    <w:rsid w:val="002B0D64"/>
    <w:rsid w:val="002B1E00"/>
    <w:rsid w:val="002B2E14"/>
    <w:rsid w:val="002B3E22"/>
    <w:rsid w:val="002C00E8"/>
    <w:rsid w:val="002C23B0"/>
    <w:rsid w:val="002D096D"/>
    <w:rsid w:val="002D2A8B"/>
    <w:rsid w:val="002D371D"/>
    <w:rsid w:val="002E02D1"/>
    <w:rsid w:val="002E0EFE"/>
    <w:rsid w:val="002E60CC"/>
    <w:rsid w:val="002F08C0"/>
    <w:rsid w:val="002F0D78"/>
    <w:rsid w:val="002F2BAC"/>
    <w:rsid w:val="002F2EA2"/>
    <w:rsid w:val="0030292E"/>
    <w:rsid w:val="00303FB0"/>
    <w:rsid w:val="00305923"/>
    <w:rsid w:val="003079A2"/>
    <w:rsid w:val="0031006B"/>
    <w:rsid w:val="0031109B"/>
    <w:rsid w:val="0031360E"/>
    <w:rsid w:val="003156D6"/>
    <w:rsid w:val="00316E75"/>
    <w:rsid w:val="003203CE"/>
    <w:rsid w:val="00321849"/>
    <w:rsid w:val="00327137"/>
    <w:rsid w:val="00340C74"/>
    <w:rsid w:val="0034309D"/>
    <w:rsid w:val="00343749"/>
    <w:rsid w:val="003446F5"/>
    <w:rsid w:val="0034584C"/>
    <w:rsid w:val="00345D3C"/>
    <w:rsid w:val="00347D63"/>
    <w:rsid w:val="00350B7D"/>
    <w:rsid w:val="003531FF"/>
    <w:rsid w:val="0035508A"/>
    <w:rsid w:val="00357185"/>
    <w:rsid w:val="00357F01"/>
    <w:rsid w:val="00363043"/>
    <w:rsid w:val="003642CA"/>
    <w:rsid w:val="003660ED"/>
    <w:rsid w:val="003769B0"/>
    <w:rsid w:val="00377585"/>
    <w:rsid w:val="00385289"/>
    <w:rsid w:val="003872CE"/>
    <w:rsid w:val="003911F6"/>
    <w:rsid w:val="00392825"/>
    <w:rsid w:val="00393289"/>
    <w:rsid w:val="00394EFA"/>
    <w:rsid w:val="003968CE"/>
    <w:rsid w:val="003A263C"/>
    <w:rsid w:val="003A2A86"/>
    <w:rsid w:val="003A41AB"/>
    <w:rsid w:val="003A6C2D"/>
    <w:rsid w:val="003B0550"/>
    <w:rsid w:val="003B079F"/>
    <w:rsid w:val="003B166A"/>
    <w:rsid w:val="003B2153"/>
    <w:rsid w:val="003B2D37"/>
    <w:rsid w:val="003B2E0E"/>
    <w:rsid w:val="003B363B"/>
    <w:rsid w:val="003B694F"/>
    <w:rsid w:val="003C22F9"/>
    <w:rsid w:val="003D05AB"/>
    <w:rsid w:val="003D2F2A"/>
    <w:rsid w:val="003D6719"/>
    <w:rsid w:val="003D7800"/>
    <w:rsid w:val="003E3C1E"/>
    <w:rsid w:val="003E5329"/>
    <w:rsid w:val="003E7E1A"/>
    <w:rsid w:val="003F171C"/>
    <w:rsid w:val="003F2996"/>
    <w:rsid w:val="003F7AE3"/>
    <w:rsid w:val="004004F8"/>
    <w:rsid w:val="0040126B"/>
    <w:rsid w:val="00401B81"/>
    <w:rsid w:val="00401DDC"/>
    <w:rsid w:val="00407401"/>
    <w:rsid w:val="00411BC3"/>
    <w:rsid w:val="00412FC5"/>
    <w:rsid w:val="00414C45"/>
    <w:rsid w:val="00422276"/>
    <w:rsid w:val="004230FB"/>
    <w:rsid w:val="004242F1"/>
    <w:rsid w:val="004309DF"/>
    <w:rsid w:val="00432D6E"/>
    <w:rsid w:val="00440145"/>
    <w:rsid w:val="0044015E"/>
    <w:rsid w:val="00443C60"/>
    <w:rsid w:val="00445A00"/>
    <w:rsid w:val="00451B0F"/>
    <w:rsid w:val="00454F76"/>
    <w:rsid w:val="00454F86"/>
    <w:rsid w:val="004649EE"/>
    <w:rsid w:val="00467040"/>
    <w:rsid w:val="00467DB0"/>
    <w:rsid w:val="00470439"/>
    <w:rsid w:val="00473558"/>
    <w:rsid w:val="0048000C"/>
    <w:rsid w:val="0048050D"/>
    <w:rsid w:val="004829C9"/>
    <w:rsid w:val="00484701"/>
    <w:rsid w:val="00490DDF"/>
    <w:rsid w:val="004934DF"/>
    <w:rsid w:val="0049703C"/>
    <w:rsid w:val="00497DDC"/>
    <w:rsid w:val="00497ED9"/>
    <w:rsid w:val="004A51A6"/>
    <w:rsid w:val="004A57AE"/>
    <w:rsid w:val="004B0BF6"/>
    <w:rsid w:val="004B27FC"/>
    <w:rsid w:val="004B2D23"/>
    <w:rsid w:val="004B3E88"/>
    <w:rsid w:val="004C1CDA"/>
    <w:rsid w:val="004C23B3"/>
    <w:rsid w:val="004C2EE3"/>
    <w:rsid w:val="004C5FED"/>
    <w:rsid w:val="004C632F"/>
    <w:rsid w:val="004C65E6"/>
    <w:rsid w:val="004C6F92"/>
    <w:rsid w:val="004D1455"/>
    <w:rsid w:val="004D265B"/>
    <w:rsid w:val="004E182E"/>
    <w:rsid w:val="004E2F97"/>
    <w:rsid w:val="004E4A22"/>
    <w:rsid w:val="004E4F85"/>
    <w:rsid w:val="004E77AE"/>
    <w:rsid w:val="004F0884"/>
    <w:rsid w:val="004F28AC"/>
    <w:rsid w:val="004F5B45"/>
    <w:rsid w:val="00502166"/>
    <w:rsid w:val="005060A3"/>
    <w:rsid w:val="00510081"/>
    <w:rsid w:val="00511968"/>
    <w:rsid w:val="00523ADD"/>
    <w:rsid w:val="005251B0"/>
    <w:rsid w:val="00525DB0"/>
    <w:rsid w:val="00526991"/>
    <w:rsid w:val="00534287"/>
    <w:rsid w:val="00535E02"/>
    <w:rsid w:val="00537958"/>
    <w:rsid w:val="0054345C"/>
    <w:rsid w:val="00546B17"/>
    <w:rsid w:val="0055056A"/>
    <w:rsid w:val="0055614C"/>
    <w:rsid w:val="0055687F"/>
    <w:rsid w:val="00566D06"/>
    <w:rsid w:val="005713D9"/>
    <w:rsid w:val="00572516"/>
    <w:rsid w:val="005765E8"/>
    <w:rsid w:val="0058419E"/>
    <w:rsid w:val="00585CC9"/>
    <w:rsid w:val="00585D44"/>
    <w:rsid w:val="00587754"/>
    <w:rsid w:val="0059178B"/>
    <w:rsid w:val="00592DDE"/>
    <w:rsid w:val="005965B9"/>
    <w:rsid w:val="005974D3"/>
    <w:rsid w:val="005A7E4E"/>
    <w:rsid w:val="005B022A"/>
    <w:rsid w:val="005B284E"/>
    <w:rsid w:val="005B4297"/>
    <w:rsid w:val="005B4956"/>
    <w:rsid w:val="005C15B8"/>
    <w:rsid w:val="005C21A7"/>
    <w:rsid w:val="005D66BA"/>
    <w:rsid w:val="005D7B09"/>
    <w:rsid w:val="005E14C2"/>
    <w:rsid w:val="005F3B17"/>
    <w:rsid w:val="0060721F"/>
    <w:rsid w:val="006075BC"/>
    <w:rsid w:val="00607BA5"/>
    <w:rsid w:val="0061180A"/>
    <w:rsid w:val="006128EB"/>
    <w:rsid w:val="00614B8E"/>
    <w:rsid w:val="0062030F"/>
    <w:rsid w:val="006221E2"/>
    <w:rsid w:val="0062522C"/>
    <w:rsid w:val="00626EB6"/>
    <w:rsid w:val="0063481F"/>
    <w:rsid w:val="00636364"/>
    <w:rsid w:val="00641BF7"/>
    <w:rsid w:val="0065555E"/>
    <w:rsid w:val="00655D03"/>
    <w:rsid w:val="00661329"/>
    <w:rsid w:val="00662FB0"/>
    <w:rsid w:val="00671DD0"/>
    <w:rsid w:val="00676B7F"/>
    <w:rsid w:val="006811B7"/>
    <w:rsid w:val="00681536"/>
    <w:rsid w:val="00683388"/>
    <w:rsid w:val="006834CB"/>
    <w:rsid w:val="00683F84"/>
    <w:rsid w:val="00687357"/>
    <w:rsid w:val="0069044E"/>
    <w:rsid w:val="006926FD"/>
    <w:rsid w:val="0069328F"/>
    <w:rsid w:val="006A136D"/>
    <w:rsid w:val="006A2FC2"/>
    <w:rsid w:val="006A400C"/>
    <w:rsid w:val="006A6A81"/>
    <w:rsid w:val="006B6984"/>
    <w:rsid w:val="006C02E5"/>
    <w:rsid w:val="006C2E9A"/>
    <w:rsid w:val="006C44BD"/>
    <w:rsid w:val="006C723A"/>
    <w:rsid w:val="006C75FC"/>
    <w:rsid w:val="006D5FAF"/>
    <w:rsid w:val="006D67D2"/>
    <w:rsid w:val="006E2E02"/>
    <w:rsid w:val="006E3DC2"/>
    <w:rsid w:val="006E61BA"/>
    <w:rsid w:val="006F03E2"/>
    <w:rsid w:val="006F20C1"/>
    <w:rsid w:val="006F4C59"/>
    <w:rsid w:val="006F4FDB"/>
    <w:rsid w:val="006F56E7"/>
    <w:rsid w:val="006F6EBD"/>
    <w:rsid w:val="006F7393"/>
    <w:rsid w:val="0070224F"/>
    <w:rsid w:val="00702EF0"/>
    <w:rsid w:val="00707AA7"/>
    <w:rsid w:val="007115F7"/>
    <w:rsid w:val="00712535"/>
    <w:rsid w:val="007231D9"/>
    <w:rsid w:val="0073056B"/>
    <w:rsid w:val="007345C7"/>
    <w:rsid w:val="00740649"/>
    <w:rsid w:val="00742AD8"/>
    <w:rsid w:val="00750050"/>
    <w:rsid w:val="0075155C"/>
    <w:rsid w:val="00762034"/>
    <w:rsid w:val="007673A7"/>
    <w:rsid w:val="00767E00"/>
    <w:rsid w:val="007712FE"/>
    <w:rsid w:val="00774AA6"/>
    <w:rsid w:val="00784EE5"/>
    <w:rsid w:val="00785689"/>
    <w:rsid w:val="0078740A"/>
    <w:rsid w:val="0079332E"/>
    <w:rsid w:val="00796CC4"/>
    <w:rsid w:val="0079754B"/>
    <w:rsid w:val="007A1E6D"/>
    <w:rsid w:val="007A24D4"/>
    <w:rsid w:val="007A37A3"/>
    <w:rsid w:val="007A7722"/>
    <w:rsid w:val="007B0753"/>
    <w:rsid w:val="007B0EB2"/>
    <w:rsid w:val="007B3CE9"/>
    <w:rsid w:val="007B57E6"/>
    <w:rsid w:val="007B6A19"/>
    <w:rsid w:val="007B7B7B"/>
    <w:rsid w:val="007C29E6"/>
    <w:rsid w:val="007C38D1"/>
    <w:rsid w:val="007C54C0"/>
    <w:rsid w:val="007C7437"/>
    <w:rsid w:val="007D2742"/>
    <w:rsid w:val="007D55CC"/>
    <w:rsid w:val="007D6725"/>
    <w:rsid w:val="007D6995"/>
    <w:rsid w:val="007D6B4C"/>
    <w:rsid w:val="007E2795"/>
    <w:rsid w:val="007E5211"/>
    <w:rsid w:val="007F18F2"/>
    <w:rsid w:val="00800E6E"/>
    <w:rsid w:val="00810B6F"/>
    <w:rsid w:val="00810CD7"/>
    <w:rsid w:val="008133E3"/>
    <w:rsid w:val="00815068"/>
    <w:rsid w:val="00820648"/>
    <w:rsid w:val="00820EC0"/>
    <w:rsid w:val="00822CE0"/>
    <w:rsid w:val="00824B47"/>
    <w:rsid w:val="0082621B"/>
    <w:rsid w:val="00827E2C"/>
    <w:rsid w:val="00830359"/>
    <w:rsid w:val="00830F31"/>
    <w:rsid w:val="00835D58"/>
    <w:rsid w:val="00841AB1"/>
    <w:rsid w:val="008455C0"/>
    <w:rsid w:val="00847200"/>
    <w:rsid w:val="008476EA"/>
    <w:rsid w:val="008476EF"/>
    <w:rsid w:val="00850C33"/>
    <w:rsid w:val="00851A27"/>
    <w:rsid w:val="008522CF"/>
    <w:rsid w:val="00853909"/>
    <w:rsid w:val="00855F3D"/>
    <w:rsid w:val="00864EF6"/>
    <w:rsid w:val="00872D3E"/>
    <w:rsid w:val="00875FFA"/>
    <w:rsid w:val="008852CB"/>
    <w:rsid w:val="00892323"/>
    <w:rsid w:val="0089704B"/>
    <w:rsid w:val="008A2515"/>
    <w:rsid w:val="008A5919"/>
    <w:rsid w:val="008A6475"/>
    <w:rsid w:val="008B03B2"/>
    <w:rsid w:val="008B1B33"/>
    <w:rsid w:val="008B3C02"/>
    <w:rsid w:val="008B4D0F"/>
    <w:rsid w:val="008C0643"/>
    <w:rsid w:val="008C186F"/>
    <w:rsid w:val="008C3A11"/>
    <w:rsid w:val="008C3CE9"/>
    <w:rsid w:val="008C68F1"/>
    <w:rsid w:val="008C7018"/>
    <w:rsid w:val="008E1674"/>
    <w:rsid w:val="008E2B9A"/>
    <w:rsid w:val="008E3831"/>
    <w:rsid w:val="008E6179"/>
    <w:rsid w:val="008F1733"/>
    <w:rsid w:val="008F195B"/>
    <w:rsid w:val="008F38E0"/>
    <w:rsid w:val="008F39E4"/>
    <w:rsid w:val="008F44ED"/>
    <w:rsid w:val="008F64B8"/>
    <w:rsid w:val="009032EC"/>
    <w:rsid w:val="00903E5F"/>
    <w:rsid w:val="00906577"/>
    <w:rsid w:val="0091098F"/>
    <w:rsid w:val="00911B0F"/>
    <w:rsid w:val="00921803"/>
    <w:rsid w:val="0092338B"/>
    <w:rsid w:val="00926503"/>
    <w:rsid w:val="00930A5D"/>
    <w:rsid w:val="009322DA"/>
    <w:rsid w:val="009325EC"/>
    <w:rsid w:val="009329A7"/>
    <w:rsid w:val="00934BFD"/>
    <w:rsid w:val="009461BB"/>
    <w:rsid w:val="0095102C"/>
    <w:rsid w:val="00963613"/>
    <w:rsid w:val="0097046D"/>
    <w:rsid w:val="00972332"/>
    <w:rsid w:val="009726D8"/>
    <w:rsid w:val="009736A6"/>
    <w:rsid w:val="0097496D"/>
    <w:rsid w:val="00977D88"/>
    <w:rsid w:val="00987395"/>
    <w:rsid w:val="0098773B"/>
    <w:rsid w:val="0099124B"/>
    <w:rsid w:val="009927F4"/>
    <w:rsid w:val="009931D0"/>
    <w:rsid w:val="00993999"/>
    <w:rsid w:val="00996351"/>
    <w:rsid w:val="009A214D"/>
    <w:rsid w:val="009C15E2"/>
    <w:rsid w:val="009C23C2"/>
    <w:rsid w:val="009C42AB"/>
    <w:rsid w:val="009C4738"/>
    <w:rsid w:val="009D7283"/>
    <w:rsid w:val="009D7308"/>
    <w:rsid w:val="009E3FEF"/>
    <w:rsid w:val="009F76DB"/>
    <w:rsid w:val="009F76F2"/>
    <w:rsid w:val="00A05917"/>
    <w:rsid w:val="00A0631C"/>
    <w:rsid w:val="00A12560"/>
    <w:rsid w:val="00A12CAD"/>
    <w:rsid w:val="00A16551"/>
    <w:rsid w:val="00A171F6"/>
    <w:rsid w:val="00A23D1F"/>
    <w:rsid w:val="00A26060"/>
    <w:rsid w:val="00A26408"/>
    <w:rsid w:val="00A272CF"/>
    <w:rsid w:val="00A32368"/>
    <w:rsid w:val="00A32C3B"/>
    <w:rsid w:val="00A33BC3"/>
    <w:rsid w:val="00A33FC9"/>
    <w:rsid w:val="00A35BEE"/>
    <w:rsid w:val="00A36D12"/>
    <w:rsid w:val="00A40E9B"/>
    <w:rsid w:val="00A425CA"/>
    <w:rsid w:val="00A45064"/>
    <w:rsid w:val="00A45377"/>
    <w:rsid w:val="00A45F4F"/>
    <w:rsid w:val="00A57FE4"/>
    <w:rsid w:val="00A600A9"/>
    <w:rsid w:val="00A60C21"/>
    <w:rsid w:val="00A67BDF"/>
    <w:rsid w:val="00A73C95"/>
    <w:rsid w:val="00A8078E"/>
    <w:rsid w:val="00A80FE2"/>
    <w:rsid w:val="00A902EA"/>
    <w:rsid w:val="00A91BB0"/>
    <w:rsid w:val="00A922DC"/>
    <w:rsid w:val="00A943CF"/>
    <w:rsid w:val="00AA0992"/>
    <w:rsid w:val="00AA3E89"/>
    <w:rsid w:val="00AA55B7"/>
    <w:rsid w:val="00AA5B9E"/>
    <w:rsid w:val="00AA7A78"/>
    <w:rsid w:val="00AA7B94"/>
    <w:rsid w:val="00AB2407"/>
    <w:rsid w:val="00AB2AC8"/>
    <w:rsid w:val="00AB53DF"/>
    <w:rsid w:val="00AB6B60"/>
    <w:rsid w:val="00AC028D"/>
    <w:rsid w:val="00AC2ABF"/>
    <w:rsid w:val="00AC30E5"/>
    <w:rsid w:val="00AD07E7"/>
    <w:rsid w:val="00AD7A55"/>
    <w:rsid w:val="00AE3A69"/>
    <w:rsid w:val="00AF268D"/>
    <w:rsid w:val="00AF68AB"/>
    <w:rsid w:val="00AF6EDA"/>
    <w:rsid w:val="00AF75DF"/>
    <w:rsid w:val="00AF7AEF"/>
    <w:rsid w:val="00B00076"/>
    <w:rsid w:val="00B00607"/>
    <w:rsid w:val="00B05DD6"/>
    <w:rsid w:val="00B06BEB"/>
    <w:rsid w:val="00B07E5C"/>
    <w:rsid w:val="00B105E1"/>
    <w:rsid w:val="00B11A21"/>
    <w:rsid w:val="00B20B7C"/>
    <w:rsid w:val="00B21174"/>
    <w:rsid w:val="00B229D7"/>
    <w:rsid w:val="00B24C5B"/>
    <w:rsid w:val="00B26ED7"/>
    <w:rsid w:val="00B36183"/>
    <w:rsid w:val="00B3628A"/>
    <w:rsid w:val="00B37537"/>
    <w:rsid w:val="00B40793"/>
    <w:rsid w:val="00B41C97"/>
    <w:rsid w:val="00B43226"/>
    <w:rsid w:val="00B44982"/>
    <w:rsid w:val="00B53532"/>
    <w:rsid w:val="00B70B90"/>
    <w:rsid w:val="00B72CAD"/>
    <w:rsid w:val="00B7748E"/>
    <w:rsid w:val="00B803B8"/>
    <w:rsid w:val="00B811F7"/>
    <w:rsid w:val="00B86686"/>
    <w:rsid w:val="00B8735D"/>
    <w:rsid w:val="00B92856"/>
    <w:rsid w:val="00B92D72"/>
    <w:rsid w:val="00B95CBD"/>
    <w:rsid w:val="00B97216"/>
    <w:rsid w:val="00BA49B2"/>
    <w:rsid w:val="00BA5DC6"/>
    <w:rsid w:val="00BA6196"/>
    <w:rsid w:val="00BB18C9"/>
    <w:rsid w:val="00BB2D1F"/>
    <w:rsid w:val="00BB507A"/>
    <w:rsid w:val="00BC29DE"/>
    <w:rsid w:val="00BC6D8C"/>
    <w:rsid w:val="00BC7483"/>
    <w:rsid w:val="00BD148E"/>
    <w:rsid w:val="00BD1D05"/>
    <w:rsid w:val="00BD3B8D"/>
    <w:rsid w:val="00BE05FF"/>
    <w:rsid w:val="00BE12E6"/>
    <w:rsid w:val="00BF01E4"/>
    <w:rsid w:val="00BF1C08"/>
    <w:rsid w:val="00BF221C"/>
    <w:rsid w:val="00BF4587"/>
    <w:rsid w:val="00BF4D6B"/>
    <w:rsid w:val="00C007A3"/>
    <w:rsid w:val="00C04160"/>
    <w:rsid w:val="00C067C7"/>
    <w:rsid w:val="00C10221"/>
    <w:rsid w:val="00C14A63"/>
    <w:rsid w:val="00C266D5"/>
    <w:rsid w:val="00C27060"/>
    <w:rsid w:val="00C32412"/>
    <w:rsid w:val="00C32FB5"/>
    <w:rsid w:val="00C34006"/>
    <w:rsid w:val="00C3693F"/>
    <w:rsid w:val="00C36B4C"/>
    <w:rsid w:val="00C40C74"/>
    <w:rsid w:val="00C40F26"/>
    <w:rsid w:val="00C426B1"/>
    <w:rsid w:val="00C42721"/>
    <w:rsid w:val="00C436DF"/>
    <w:rsid w:val="00C43D29"/>
    <w:rsid w:val="00C51E12"/>
    <w:rsid w:val="00C553BD"/>
    <w:rsid w:val="00C66103"/>
    <w:rsid w:val="00C66160"/>
    <w:rsid w:val="00C70110"/>
    <w:rsid w:val="00C71277"/>
    <w:rsid w:val="00C721AC"/>
    <w:rsid w:val="00C90D6A"/>
    <w:rsid w:val="00C9237C"/>
    <w:rsid w:val="00C979A1"/>
    <w:rsid w:val="00CA0B25"/>
    <w:rsid w:val="00CA247E"/>
    <w:rsid w:val="00CA4E51"/>
    <w:rsid w:val="00CA6D21"/>
    <w:rsid w:val="00CB1B9B"/>
    <w:rsid w:val="00CB3B7C"/>
    <w:rsid w:val="00CB3C5B"/>
    <w:rsid w:val="00CB696C"/>
    <w:rsid w:val="00CC0D17"/>
    <w:rsid w:val="00CC6E64"/>
    <w:rsid w:val="00CC7297"/>
    <w:rsid w:val="00CC72B6"/>
    <w:rsid w:val="00CD25B1"/>
    <w:rsid w:val="00CD5963"/>
    <w:rsid w:val="00CE4769"/>
    <w:rsid w:val="00CE4AD9"/>
    <w:rsid w:val="00CF03B0"/>
    <w:rsid w:val="00CF50A1"/>
    <w:rsid w:val="00CF604F"/>
    <w:rsid w:val="00CF7AE3"/>
    <w:rsid w:val="00D0218D"/>
    <w:rsid w:val="00D06A46"/>
    <w:rsid w:val="00D11A0B"/>
    <w:rsid w:val="00D1200F"/>
    <w:rsid w:val="00D13C61"/>
    <w:rsid w:val="00D14243"/>
    <w:rsid w:val="00D15877"/>
    <w:rsid w:val="00D1677A"/>
    <w:rsid w:val="00D255C7"/>
    <w:rsid w:val="00D25FB5"/>
    <w:rsid w:val="00D31483"/>
    <w:rsid w:val="00D44223"/>
    <w:rsid w:val="00D479DD"/>
    <w:rsid w:val="00D50997"/>
    <w:rsid w:val="00D53DBE"/>
    <w:rsid w:val="00D61AA9"/>
    <w:rsid w:val="00D6494B"/>
    <w:rsid w:val="00D64B67"/>
    <w:rsid w:val="00D72E1C"/>
    <w:rsid w:val="00D7692E"/>
    <w:rsid w:val="00D87AA9"/>
    <w:rsid w:val="00D9526D"/>
    <w:rsid w:val="00DA193F"/>
    <w:rsid w:val="00DA197A"/>
    <w:rsid w:val="00DA2529"/>
    <w:rsid w:val="00DA3F7C"/>
    <w:rsid w:val="00DA42E5"/>
    <w:rsid w:val="00DA5641"/>
    <w:rsid w:val="00DB0FEF"/>
    <w:rsid w:val="00DB130A"/>
    <w:rsid w:val="00DB17B5"/>
    <w:rsid w:val="00DB2EBB"/>
    <w:rsid w:val="00DB3B57"/>
    <w:rsid w:val="00DB6FD8"/>
    <w:rsid w:val="00DC0840"/>
    <w:rsid w:val="00DC10A1"/>
    <w:rsid w:val="00DC42D4"/>
    <w:rsid w:val="00DC655F"/>
    <w:rsid w:val="00DC6A76"/>
    <w:rsid w:val="00DD0B59"/>
    <w:rsid w:val="00DD52AA"/>
    <w:rsid w:val="00DD6B16"/>
    <w:rsid w:val="00DD72D9"/>
    <w:rsid w:val="00DD7EBD"/>
    <w:rsid w:val="00DE4A63"/>
    <w:rsid w:val="00DE4DDE"/>
    <w:rsid w:val="00DF002F"/>
    <w:rsid w:val="00DF2724"/>
    <w:rsid w:val="00DF43E5"/>
    <w:rsid w:val="00DF62B6"/>
    <w:rsid w:val="00DF78DC"/>
    <w:rsid w:val="00DF7C61"/>
    <w:rsid w:val="00E01840"/>
    <w:rsid w:val="00E07225"/>
    <w:rsid w:val="00E10732"/>
    <w:rsid w:val="00E14D81"/>
    <w:rsid w:val="00E21D2A"/>
    <w:rsid w:val="00E23CFD"/>
    <w:rsid w:val="00E24A4F"/>
    <w:rsid w:val="00E272A9"/>
    <w:rsid w:val="00E313C8"/>
    <w:rsid w:val="00E330E8"/>
    <w:rsid w:val="00E362A6"/>
    <w:rsid w:val="00E41396"/>
    <w:rsid w:val="00E4355D"/>
    <w:rsid w:val="00E50272"/>
    <w:rsid w:val="00E519C6"/>
    <w:rsid w:val="00E525D9"/>
    <w:rsid w:val="00E53814"/>
    <w:rsid w:val="00E5409F"/>
    <w:rsid w:val="00E56BDD"/>
    <w:rsid w:val="00E61384"/>
    <w:rsid w:val="00E61847"/>
    <w:rsid w:val="00E62D54"/>
    <w:rsid w:val="00E64D0D"/>
    <w:rsid w:val="00E64DA7"/>
    <w:rsid w:val="00E6693F"/>
    <w:rsid w:val="00E67570"/>
    <w:rsid w:val="00E81063"/>
    <w:rsid w:val="00E825DB"/>
    <w:rsid w:val="00E87309"/>
    <w:rsid w:val="00E90BCE"/>
    <w:rsid w:val="00E926E8"/>
    <w:rsid w:val="00E949F6"/>
    <w:rsid w:val="00E95435"/>
    <w:rsid w:val="00E960DF"/>
    <w:rsid w:val="00EA2307"/>
    <w:rsid w:val="00EA2B70"/>
    <w:rsid w:val="00EA4818"/>
    <w:rsid w:val="00EB4456"/>
    <w:rsid w:val="00EB6C5C"/>
    <w:rsid w:val="00EC5E25"/>
    <w:rsid w:val="00EC69B3"/>
    <w:rsid w:val="00ED1036"/>
    <w:rsid w:val="00ED2E0A"/>
    <w:rsid w:val="00ED6D13"/>
    <w:rsid w:val="00EE6488"/>
    <w:rsid w:val="00EF287C"/>
    <w:rsid w:val="00EF3E9A"/>
    <w:rsid w:val="00EF4726"/>
    <w:rsid w:val="00EF76BF"/>
    <w:rsid w:val="00F0008C"/>
    <w:rsid w:val="00F021FA"/>
    <w:rsid w:val="00F025E2"/>
    <w:rsid w:val="00F05E66"/>
    <w:rsid w:val="00F07887"/>
    <w:rsid w:val="00F10311"/>
    <w:rsid w:val="00F106FD"/>
    <w:rsid w:val="00F155DC"/>
    <w:rsid w:val="00F20007"/>
    <w:rsid w:val="00F25D7A"/>
    <w:rsid w:val="00F27F9E"/>
    <w:rsid w:val="00F36203"/>
    <w:rsid w:val="00F37FD9"/>
    <w:rsid w:val="00F40414"/>
    <w:rsid w:val="00F4435A"/>
    <w:rsid w:val="00F4479B"/>
    <w:rsid w:val="00F61847"/>
    <w:rsid w:val="00F61A05"/>
    <w:rsid w:val="00F62AC4"/>
    <w:rsid w:val="00F62DC0"/>
    <w:rsid w:val="00F62E97"/>
    <w:rsid w:val="00F64209"/>
    <w:rsid w:val="00F71622"/>
    <w:rsid w:val="00F72680"/>
    <w:rsid w:val="00F73AA8"/>
    <w:rsid w:val="00F77064"/>
    <w:rsid w:val="00F77650"/>
    <w:rsid w:val="00F85E85"/>
    <w:rsid w:val="00F86480"/>
    <w:rsid w:val="00F87C2B"/>
    <w:rsid w:val="00F93324"/>
    <w:rsid w:val="00F93A49"/>
    <w:rsid w:val="00F93BF5"/>
    <w:rsid w:val="00F94984"/>
    <w:rsid w:val="00F9559D"/>
    <w:rsid w:val="00F95CE0"/>
    <w:rsid w:val="00F9655F"/>
    <w:rsid w:val="00F96D12"/>
    <w:rsid w:val="00F96ECC"/>
    <w:rsid w:val="00FA22D4"/>
    <w:rsid w:val="00FA2EB7"/>
    <w:rsid w:val="00FA33F2"/>
    <w:rsid w:val="00FA372F"/>
    <w:rsid w:val="00FA3A55"/>
    <w:rsid w:val="00FA3BB4"/>
    <w:rsid w:val="00FA4A74"/>
    <w:rsid w:val="00FB0C14"/>
    <w:rsid w:val="00FB451C"/>
    <w:rsid w:val="00FB7299"/>
    <w:rsid w:val="00FC34C6"/>
    <w:rsid w:val="00FC4EF6"/>
    <w:rsid w:val="00FD0418"/>
    <w:rsid w:val="00FD0B94"/>
    <w:rsid w:val="00FD3346"/>
    <w:rsid w:val="00FD3FEE"/>
    <w:rsid w:val="00FD5B83"/>
    <w:rsid w:val="00FD6328"/>
    <w:rsid w:val="00FD6ED3"/>
    <w:rsid w:val="00FE0DB3"/>
    <w:rsid w:val="00FE1330"/>
    <w:rsid w:val="00FE1E9F"/>
    <w:rsid w:val="00FE4F4E"/>
    <w:rsid w:val="00FE67EB"/>
    <w:rsid w:val="00FF3B1E"/>
    <w:rsid w:val="00FF5828"/>
    <w:rsid w:val="016AA8BB"/>
    <w:rsid w:val="0173353A"/>
    <w:rsid w:val="02820269"/>
    <w:rsid w:val="028785C7"/>
    <w:rsid w:val="02E25667"/>
    <w:rsid w:val="032F3FAD"/>
    <w:rsid w:val="05253981"/>
    <w:rsid w:val="068E901C"/>
    <w:rsid w:val="06BA8E68"/>
    <w:rsid w:val="06EA0E67"/>
    <w:rsid w:val="081FE5C8"/>
    <w:rsid w:val="0851BA36"/>
    <w:rsid w:val="085B3F26"/>
    <w:rsid w:val="087FED82"/>
    <w:rsid w:val="0889EDAE"/>
    <w:rsid w:val="0926E3BF"/>
    <w:rsid w:val="09BBB629"/>
    <w:rsid w:val="0B74EA8F"/>
    <w:rsid w:val="0C08723C"/>
    <w:rsid w:val="0C6EEC00"/>
    <w:rsid w:val="0CBE4410"/>
    <w:rsid w:val="0CCE14E8"/>
    <w:rsid w:val="0CEB3AFB"/>
    <w:rsid w:val="0D0C6C20"/>
    <w:rsid w:val="0D1F2D1D"/>
    <w:rsid w:val="0D566E65"/>
    <w:rsid w:val="0DEFE614"/>
    <w:rsid w:val="0EB58DA8"/>
    <w:rsid w:val="0ED2AA9E"/>
    <w:rsid w:val="0F9B445E"/>
    <w:rsid w:val="115A13FE"/>
    <w:rsid w:val="115EC04F"/>
    <w:rsid w:val="11E50CB0"/>
    <w:rsid w:val="1286735C"/>
    <w:rsid w:val="130107B4"/>
    <w:rsid w:val="139A65F2"/>
    <w:rsid w:val="13BF441E"/>
    <w:rsid w:val="140F5758"/>
    <w:rsid w:val="157DA8A0"/>
    <w:rsid w:val="16145CC4"/>
    <w:rsid w:val="1673671B"/>
    <w:rsid w:val="1726B530"/>
    <w:rsid w:val="1747EC2D"/>
    <w:rsid w:val="179ADB2A"/>
    <w:rsid w:val="17D0D2B9"/>
    <w:rsid w:val="187184A1"/>
    <w:rsid w:val="18795D6B"/>
    <w:rsid w:val="18798CE4"/>
    <w:rsid w:val="187DE1A4"/>
    <w:rsid w:val="190BD36A"/>
    <w:rsid w:val="19319C94"/>
    <w:rsid w:val="1A32799E"/>
    <w:rsid w:val="1AF908BE"/>
    <w:rsid w:val="1BA0F569"/>
    <w:rsid w:val="1C9CC6A5"/>
    <w:rsid w:val="1E04216B"/>
    <w:rsid w:val="1E3B5FEB"/>
    <w:rsid w:val="1E66E78C"/>
    <w:rsid w:val="1ED8B6EE"/>
    <w:rsid w:val="1F45D0A0"/>
    <w:rsid w:val="1F566179"/>
    <w:rsid w:val="1F7A41BB"/>
    <w:rsid w:val="1FBB3F0A"/>
    <w:rsid w:val="20C26829"/>
    <w:rsid w:val="20C56F60"/>
    <w:rsid w:val="217048DB"/>
    <w:rsid w:val="21BAE4E6"/>
    <w:rsid w:val="22189C96"/>
    <w:rsid w:val="228FB2ED"/>
    <w:rsid w:val="22F2DFCC"/>
    <w:rsid w:val="233CE2C5"/>
    <w:rsid w:val="238C4384"/>
    <w:rsid w:val="242E59EC"/>
    <w:rsid w:val="248EB02D"/>
    <w:rsid w:val="249FEB04"/>
    <w:rsid w:val="250CBE07"/>
    <w:rsid w:val="263C321A"/>
    <w:rsid w:val="2759D460"/>
    <w:rsid w:val="27F4EDC9"/>
    <w:rsid w:val="285B2867"/>
    <w:rsid w:val="287D59BE"/>
    <w:rsid w:val="288524A0"/>
    <w:rsid w:val="28A2FF1E"/>
    <w:rsid w:val="28C7EB15"/>
    <w:rsid w:val="2948BEFB"/>
    <w:rsid w:val="29622150"/>
    <w:rsid w:val="2965399D"/>
    <w:rsid w:val="2978B347"/>
    <w:rsid w:val="2A65A985"/>
    <w:rsid w:val="2B5B564B"/>
    <w:rsid w:val="2B7B3BC9"/>
    <w:rsid w:val="2BB538CE"/>
    <w:rsid w:val="2C0F9816"/>
    <w:rsid w:val="2C4DC155"/>
    <w:rsid w:val="2CB05BF7"/>
    <w:rsid w:val="2CD41DE1"/>
    <w:rsid w:val="2CE43371"/>
    <w:rsid w:val="2CF99915"/>
    <w:rsid w:val="2DCAEF6A"/>
    <w:rsid w:val="2DE10F1A"/>
    <w:rsid w:val="2E0548C5"/>
    <w:rsid w:val="2EC95015"/>
    <w:rsid w:val="2EF6C83E"/>
    <w:rsid w:val="2FA7CF53"/>
    <w:rsid w:val="2FBFE70A"/>
    <w:rsid w:val="30C7C639"/>
    <w:rsid w:val="30F46E14"/>
    <w:rsid w:val="3118EA28"/>
    <w:rsid w:val="311E74F8"/>
    <w:rsid w:val="31A2A053"/>
    <w:rsid w:val="3315C088"/>
    <w:rsid w:val="33222BF3"/>
    <w:rsid w:val="33335D3B"/>
    <w:rsid w:val="333E8683"/>
    <w:rsid w:val="337140EB"/>
    <w:rsid w:val="33C98126"/>
    <w:rsid w:val="33F68BDC"/>
    <w:rsid w:val="347AC23C"/>
    <w:rsid w:val="34C21A91"/>
    <w:rsid w:val="3526F7D4"/>
    <w:rsid w:val="3596E349"/>
    <w:rsid w:val="3602E1E8"/>
    <w:rsid w:val="3764653C"/>
    <w:rsid w:val="37F59D16"/>
    <w:rsid w:val="381ED3F1"/>
    <w:rsid w:val="38C942FF"/>
    <w:rsid w:val="3A743201"/>
    <w:rsid w:val="3A84128D"/>
    <w:rsid w:val="3AC3EAD9"/>
    <w:rsid w:val="3B835C0C"/>
    <w:rsid w:val="3C6AB1C3"/>
    <w:rsid w:val="3CB80FD0"/>
    <w:rsid w:val="3E2ACCD3"/>
    <w:rsid w:val="3E489025"/>
    <w:rsid w:val="3E5BCDB7"/>
    <w:rsid w:val="3E7E4365"/>
    <w:rsid w:val="3EBCC72A"/>
    <w:rsid w:val="3EBF8E85"/>
    <w:rsid w:val="3F2E3E59"/>
    <w:rsid w:val="40A71EFC"/>
    <w:rsid w:val="40B8D3E3"/>
    <w:rsid w:val="40CCE254"/>
    <w:rsid w:val="40D9F9B4"/>
    <w:rsid w:val="40E792E1"/>
    <w:rsid w:val="411C9E37"/>
    <w:rsid w:val="416FC75A"/>
    <w:rsid w:val="43384FBD"/>
    <w:rsid w:val="43C98927"/>
    <w:rsid w:val="440AFCCD"/>
    <w:rsid w:val="451F27CE"/>
    <w:rsid w:val="45667D96"/>
    <w:rsid w:val="45E4E5BF"/>
    <w:rsid w:val="45F293C6"/>
    <w:rsid w:val="45FF283D"/>
    <w:rsid w:val="46C93348"/>
    <w:rsid w:val="47424FED"/>
    <w:rsid w:val="480E3F62"/>
    <w:rsid w:val="488DE82D"/>
    <w:rsid w:val="48BBF842"/>
    <w:rsid w:val="4907657D"/>
    <w:rsid w:val="4936C24F"/>
    <w:rsid w:val="4980CCAD"/>
    <w:rsid w:val="499CA65A"/>
    <w:rsid w:val="4AD14EA4"/>
    <w:rsid w:val="4BAC538C"/>
    <w:rsid w:val="4BBB0AE8"/>
    <w:rsid w:val="4BF39904"/>
    <w:rsid w:val="4C3B638D"/>
    <w:rsid w:val="4C427BA9"/>
    <w:rsid w:val="4D4ADB41"/>
    <w:rsid w:val="4D8F6965"/>
    <w:rsid w:val="4DC9E413"/>
    <w:rsid w:val="4E8C0FD0"/>
    <w:rsid w:val="4F0208D8"/>
    <w:rsid w:val="4F1041F2"/>
    <w:rsid w:val="508DD077"/>
    <w:rsid w:val="50F5E20A"/>
    <w:rsid w:val="51C3F80A"/>
    <w:rsid w:val="522D1FF6"/>
    <w:rsid w:val="5267A75B"/>
    <w:rsid w:val="526E38B7"/>
    <w:rsid w:val="52B7B825"/>
    <w:rsid w:val="52E3A04D"/>
    <w:rsid w:val="5415500E"/>
    <w:rsid w:val="5559B9B6"/>
    <w:rsid w:val="5583E8AB"/>
    <w:rsid w:val="55ABB621"/>
    <w:rsid w:val="571B972D"/>
    <w:rsid w:val="5775A4E5"/>
    <w:rsid w:val="57899108"/>
    <w:rsid w:val="5810E641"/>
    <w:rsid w:val="581C4DCF"/>
    <w:rsid w:val="5879FAF4"/>
    <w:rsid w:val="58A20B1A"/>
    <w:rsid w:val="591FC4D5"/>
    <w:rsid w:val="59818D48"/>
    <w:rsid w:val="5A6A000E"/>
    <w:rsid w:val="5ADE306A"/>
    <w:rsid w:val="5AFF1D3D"/>
    <w:rsid w:val="5DDEC628"/>
    <w:rsid w:val="5DE007DD"/>
    <w:rsid w:val="5E479BF7"/>
    <w:rsid w:val="5F8D1315"/>
    <w:rsid w:val="5FABA88E"/>
    <w:rsid w:val="601602DA"/>
    <w:rsid w:val="6084EA9F"/>
    <w:rsid w:val="610FBB19"/>
    <w:rsid w:val="61D9F85F"/>
    <w:rsid w:val="6280FE3C"/>
    <w:rsid w:val="63016BD9"/>
    <w:rsid w:val="6342A5F7"/>
    <w:rsid w:val="639EE77A"/>
    <w:rsid w:val="63CC7DDD"/>
    <w:rsid w:val="6439623C"/>
    <w:rsid w:val="6463EF4A"/>
    <w:rsid w:val="64B3B5C0"/>
    <w:rsid w:val="64B3CE50"/>
    <w:rsid w:val="65484834"/>
    <w:rsid w:val="6648D7AB"/>
    <w:rsid w:val="66C1E065"/>
    <w:rsid w:val="67545CFB"/>
    <w:rsid w:val="67FC5A3A"/>
    <w:rsid w:val="67FDA44C"/>
    <w:rsid w:val="681CEECA"/>
    <w:rsid w:val="6871E2C6"/>
    <w:rsid w:val="6A460E76"/>
    <w:rsid w:val="6B1FBB02"/>
    <w:rsid w:val="6B3F1E10"/>
    <w:rsid w:val="6B5C22C1"/>
    <w:rsid w:val="6C526DC0"/>
    <w:rsid w:val="6CA18177"/>
    <w:rsid w:val="6CA7322B"/>
    <w:rsid w:val="6D6DA5AD"/>
    <w:rsid w:val="6D7D92C4"/>
    <w:rsid w:val="6E8DED67"/>
    <w:rsid w:val="6F39912B"/>
    <w:rsid w:val="6FBDCF59"/>
    <w:rsid w:val="70321BF0"/>
    <w:rsid w:val="70758FD3"/>
    <w:rsid w:val="7114A40C"/>
    <w:rsid w:val="71FC9AD9"/>
    <w:rsid w:val="72B4C49A"/>
    <w:rsid w:val="72F8A3A2"/>
    <w:rsid w:val="7356FF12"/>
    <w:rsid w:val="73671D88"/>
    <w:rsid w:val="7393BC96"/>
    <w:rsid w:val="73E42928"/>
    <w:rsid w:val="73EF8270"/>
    <w:rsid w:val="74441ADA"/>
    <w:rsid w:val="74EE05FB"/>
    <w:rsid w:val="7524EAF4"/>
    <w:rsid w:val="7526DF64"/>
    <w:rsid w:val="760BD62C"/>
    <w:rsid w:val="767792B3"/>
    <w:rsid w:val="76C2AFC5"/>
    <w:rsid w:val="76C89203"/>
    <w:rsid w:val="77DFFC2F"/>
    <w:rsid w:val="783D2DD5"/>
    <w:rsid w:val="78C6F5FE"/>
    <w:rsid w:val="7941FE5E"/>
    <w:rsid w:val="7AE6A79E"/>
    <w:rsid w:val="7BCCE434"/>
    <w:rsid w:val="7C4D0EF0"/>
    <w:rsid w:val="7CCCDB14"/>
    <w:rsid w:val="7D109EF8"/>
    <w:rsid w:val="7D1A8B44"/>
    <w:rsid w:val="7D93176B"/>
    <w:rsid w:val="7E827C5F"/>
    <w:rsid w:val="7EAC6F59"/>
    <w:rsid w:val="7F49C5E3"/>
    <w:rsid w:val="7FACF3D6"/>
    <w:rsid w:val="7FAFA9D4"/>
    <w:rsid w:val="7FD96F0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7F328FB"/>
  <w15:chartTrackingRefBased/>
  <w15:docId w15:val="{12075468-D163-41DA-880E-ED204B4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2CA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97496D"/>
  </w:style>
  <w:style w:type="character" w:styleId="UnresolvedMention">
    <w:name w:val="Unresolved Mention"/>
    <w:uiPriority w:val="99"/>
    <w:semiHidden/>
    <w:unhideWhenUsed/>
    <w:rsid w:val="00712535"/>
    <w:rPr>
      <w:color w:val="605E5C"/>
      <w:shd w:val="clear" w:color="auto" w:fill="E1DFDD"/>
    </w:rPr>
  </w:style>
  <w:style w:type="character" w:styleId="FollowedHyperlink">
    <w:name w:val="FollowedHyperlink"/>
    <w:rsid w:val="00B26ED7"/>
    <w:rPr>
      <w:color w:val="954F72"/>
      <w:u w:val="single"/>
    </w:rPr>
  </w:style>
  <w:style w:type="character" w:styleId="CommentReference">
    <w:name w:val="annotation reference"/>
    <w:rsid w:val="00502166"/>
    <w:rPr>
      <w:sz w:val="16"/>
      <w:szCs w:val="16"/>
    </w:rPr>
  </w:style>
  <w:style w:type="paragraph" w:styleId="CommentText">
    <w:name w:val="annotation text"/>
    <w:basedOn w:val="Normal"/>
    <w:link w:val="CommentTextChar"/>
    <w:rsid w:val="00502166"/>
    <w:rPr>
      <w:sz w:val="20"/>
    </w:rPr>
  </w:style>
  <w:style w:type="character" w:customStyle="1" w:styleId="CommentTextChar">
    <w:name w:val="Comment Text Char"/>
    <w:link w:val="CommentText"/>
    <w:rsid w:val="00502166"/>
    <w:rPr>
      <w:snapToGrid w:val="0"/>
      <w:kern w:val="28"/>
    </w:rPr>
  </w:style>
  <w:style w:type="paragraph" w:styleId="CommentSubject">
    <w:name w:val="annotation subject"/>
    <w:basedOn w:val="CommentText"/>
    <w:next w:val="CommentText"/>
    <w:link w:val="CommentSubjectChar"/>
    <w:rsid w:val="00502166"/>
    <w:rPr>
      <w:b/>
      <w:bCs/>
    </w:rPr>
  </w:style>
  <w:style w:type="character" w:customStyle="1" w:styleId="CommentSubjectChar">
    <w:name w:val="Comment Subject Char"/>
    <w:link w:val="CommentSubject"/>
    <w:rsid w:val="00502166"/>
    <w:rPr>
      <w:b/>
      <w:bCs/>
      <w:snapToGrid w:val="0"/>
      <w:kern w:val="28"/>
    </w:rPr>
  </w:style>
  <w:style w:type="paragraph" w:customStyle="1" w:styleId="Default">
    <w:name w:val="Default"/>
    <w:rsid w:val="001860A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20648"/>
    <w:rPr>
      <w:snapToGrid w:val="0"/>
      <w:kern w:val="28"/>
      <w:sz w:val="22"/>
    </w:rPr>
  </w:style>
  <w:style w:type="paragraph" w:styleId="ListParagraph">
    <w:name w:val="List Paragraph"/>
    <w:basedOn w:val="Normal"/>
    <w:uiPriority w:val="34"/>
    <w:qFormat/>
    <w:rsid w:val="0098773B"/>
    <w:pPr>
      <w:widowControl/>
      <w:spacing w:after="160" w:line="259" w:lineRule="auto"/>
      <w:ind w:left="720"/>
      <w:contextualSpacing/>
    </w:pPr>
    <w:rPr>
      <w:rFonts w:ascii="Calibri" w:eastAsia="Calibri" w:hAnsi="Calibri" w:cs="Arial"/>
      <w:snapToGrid/>
      <w:kern w:val="0"/>
      <w:szCs w:val="22"/>
    </w:rPr>
  </w:style>
  <w:style w:type="table" w:styleId="TableGrid">
    <w:name w:val="Table Grid"/>
    <w:basedOn w:val="TableNormal"/>
    <w:rsid w:val="00E5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22459833895" TargetMode="External" /><Relationship Id="rId2" Type="http://schemas.openxmlformats.org/officeDocument/2006/relationships/hyperlink" Target="https://www.fcc.gov/ecfs/document/108081380801952/2" TargetMode="External" /><Relationship Id="rId3" Type="http://schemas.openxmlformats.org/officeDocument/2006/relationships/hyperlink" Target="https://www.fcc.gov/ecfs/document/10819233447976/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