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44BA19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481F351" w14:textId="77777777">
      <w:pPr>
        <w:pStyle w:val="StyleBoldCentered"/>
      </w:pPr>
      <w:r>
        <w:t>F</w:t>
      </w:r>
      <w:r>
        <w:rPr>
          <w:caps w:val="0"/>
        </w:rPr>
        <w:t>ederal Communications Commission</w:t>
      </w:r>
    </w:p>
    <w:p w:rsidR="004C2EE3" w:rsidP="00096D8C" w14:paraId="68605ABE" w14:textId="77777777">
      <w:pPr>
        <w:pStyle w:val="StyleBoldCentered"/>
      </w:pPr>
      <w:r>
        <w:rPr>
          <w:caps w:val="0"/>
        </w:rPr>
        <w:t>Washington, D.C. 20554</w:t>
      </w:r>
    </w:p>
    <w:p w:rsidR="004C2EE3" w:rsidP="0070224F" w14:paraId="53860F94" w14:textId="77777777"/>
    <w:tbl>
      <w:tblPr>
        <w:tblW w:w="9576" w:type="dxa"/>
        <w:tblLayout w:type="fixed"/>
        <w:tblLook w:val="0000"/>
      </w:tblPr>
      <w:tblGrid>
        <w:gridCol w:w="4698"/>
        <w:gridCol w:w="630"/>
        <w:gridCol w:w="4248"/>
      </w:tblGrid>
      <w:tr w14:paraId="13854A08" w14:textId="77777777" w:rsidTr="00D50856">
        <w:tblPrEx>
          <w:tblW w:w="9576" w:type="dxa"/>
          <w:tblLayout w:type="fixed"/>
          <w:tblLook w:val="0000"/>
        </w:tblPrEx>
        <w:tc>
          <w:tcPr>
            <w:tcW w:w="4698" w:type="dxa"/>
          </w:tcPr>
          <w:p w:rsidR="00D50856" w:rsidP="00427BEC" w14:paraId="59107176" w14:textId="77777777">
            <w:pPr>
              <w:tabs>
                <w:tab w:val="center" w:pos="4680"/>
              </w:tabs>
              <w:rPr>
                <w:spacing w:val="-2"/>
              </w:rPr>
            </w:pPr>
            <w:r>
              <w:rPr>
                <w:spacing w:val="-2"/>
              </w:rPr>
              <w:t>In the Matter of</w:t>
            </w:r>
          </w:p>
          <w:p w:rsidR="00D50856" w:rsidP="00427BEC" w14:paraId="66DDADC2" w14:textId="77777777">
            <w:pPr>
              <w:tabs>
                <w:tab w:val="center" w:pos="4680"/>
              </w:tabs>
              <w:rPr>
                <w:spacing w:val="-2"/>
              </w:rPr>
            </w:pPr>
          </w:p>
          <w:p w:rsidR="00D50856" w:rsidP="00427BEC" w14:paraId="615FC8E9" w14:textId="79DC5F8C">
            <w:pPr>
              <w:tabs>
                <w:tab w:val="center" w:pos="4680"/>
              </w:tabs>
              <w:rPr>
                <w:spacing w:val="-2"/>
              </w:rPr>
            </w:pPr>
            <w:r w:rsidRPr="004F0299">
              <w:rPr>
                <w:spacing w:val="-2"/>
              </w:rPr>
              <w:t>Amendment of section 73.202(b),</w:t>
            </w:r>
            <w:r>
              <w:rPr>
                <w:spacing w:val="-2"/>
              </w:rPr>
              <w:t xml:space="preserve"> </w:t>
            </w:r>
            <w:r w:rsidRPr="004A3C48">
              <w:rPr>
                <w:spacing w:val="-2"/>
              </w:rPr>
              <w:t>Table of Allotments,</w:t>
            </w:r>
            <w:r>
              <w:t xml:space="preserve"> FM Broadcast Stations (</w:t>
            </w:r>
            <w:r w:rsidR="00A15150">
              <w:t>Various Locations</w:t>
            </w:r>
            <w:r>
              <w:t>)</w:t>
            </w:r>
          </w:p>
          <w:p w:rsidR="00D50856" w:rsidRPr="007115F7" w:rsidP="00427BEC" w14:paraId="32AB7FE4" w14:textId="77777777">
            <w:pPr>
              <w:tabs>
                <w:tab w:val="center" w:pos="4680"/>
              </w:tabs>
              <w:rPr>
                <w:spacing w:val="-2"/>
              </w:rPr>
            </w:pPr>
          </w:p>
        </w:tc>
        <w:tc>
          <w:tcPr>
            <w:tcW w:w="630" w:type="dxa"/>
          </w:tcPr>
          <w:p w:rsidR="00D50856" w:rsidP="00427BEC" w14:paraId="78562138" w14:textId="77777777">
            <w:pPr>
              <w:tabs>
                <w:tab w:val="center" w:pos="4680"/>
              </w:tabs>
              <w:rPr>
                <w:b/>
                <w:spacing w:val="-2"/>
              </w:rPr>
            </w:pPr>
            <w:r>
              <w:rPr>
                <w:b/>
                <w:spacing w:val="-2"/>
              </w:rPr>
              <w:t>)</w:t>
            </w:r>
          </w:p>
          <w:p w:rsidR="00D50856" w:rsidP="00427BEC" w14:paraId="1B4567EB" w14:textId="77777777">
            <w:pPr>
              <w:tabs>
                <w:tab w:val="center" w:pos="4680"/>
              </w:tabs>
              <w:rPr>
                <w:b/>
                <w:spacing w:val="-2"/>
              </w:rPr>
            </w:pPr>
            <w:r>
              <w:rPr>
                <w:b/>
                <w:spacing w:val="-2"/>
              </w:rPr>
              <w:t>)</w:t>
            </w:r>
          </w:p>
          <w:p w:rsidR="00D50856" w:rsidP="00427BEC" w14:paraId="50B05E8A" w14:textId="77777777">
            <w:pPr>
              <w:tabs>
                <w:tab w:val="center" w:pos="4680"/>
              </w:tabs>
              <w:rPr>
                <w:b/>
                <w:spacing w:val="-2"/>
              </w:rPr>
            </w:pPr>
            <w:r>
              <w:rPr>
                <w:b/>
                <w:spacing w:val="-2"/>
              </w:rPr>
              <w:t>)</w:t>
            </w:r>
          </w:p>
          <w:p w:rsidR="00D50856" w:rsidP="00427BEC" w14:paraId="1927A881" w14:textId="77777777">
            <w:pPr>
              <w:tabs>
                <w:tab w:val="center" w:pos="4680"/>
              </w:tabs>
              <w:rPr>
                <w:b/>
                <w:spacing w:val="-2"/>
              </w:rPr>
            </w:pPr>
            <w:r>
              <w:rPr>
                <w:b/>
                <w:spacing w:val="-2"/>
              </w:rPr>
              <w:t>)</w:t>
            </w:r>
          </w:p>
          <w:p w:rsidR="00D50856" w:rsidRPr="009F2562" w:rsidP="00427BEC" w14:paraId="21782492" w14:textId="77777777">
            <w:pPr>
              <w:tabs>
                <w:tab w:val="center" w:pos="4680"/>
              </w:tabs>
              <w:rPr>
                <w:b/>
                <w:spacing w:val="-2"/>
              </w:rPr>
            </w:pPr>
            <w:r>
              <w:rPr>
                <w:b/>
                <w:spacing w:val="-2"/>
              </w:rPr>
              <w:t>)</w:t>
            </w:r>
          </w:p>
        </w:tc>
        <w:tc>
          <w:tcPr>
            <w:tcW w:w="4248" w:type="dxa"/>
          </w:tcPr>
          <w:p w:rsidR="00D50856" w:rsidP="00427BEC" w14:paraId="191FC85D" w14:textId="77777777">
            <w:pPr>
              <w:tabs>
                <w:tab w:val="center" w:pos="4680"/>
              </w:tabs>
              <w:rPr>
                <w:spacing w:val="-2"/>
              </w:rPr>
            </w:pPr>
          </w:p>
          <w:p w:rsidR="00D50856" w:rsidP="00427BEC" w14:paraId="73564AA9" w14:textId="77777777">
            <w:pPr>
              <w:pStyle w:val="TOAHeading"/>
              <w:tabs>
                <w:tab w:val="center" w:pos="4680"/>
                <w:tab w:val="clear" w:pos="9360"/>
              </w:tabs>
              <w:suppressAutoHyphens w:val="0"/>
              <w:rPr>
                <w:spacing w:val="-2"/>
              </w:rPr>
            </w:pPr>
          </w:p>
          <w:p w:rsidR="00D50856" w:rsidP="00427BEC" w14:paraId="1DEFCC82" w14:textId="18CC700A">
            <w:pPr>
              <w:tabs>
                <w:tab w:val="center" w:pos="4680"/>
              </w:tabs>
              <w:rPr>
                <w:spacing w:val="-2"/>
              </w:rPr>
            </w:pPr>
          </w:p>
        </w:tc>
      </w:tr>
    </w:tbl>
    <w:p w:rsidR="00BE71FE" w:rsidP="00F021FA" w14:paraId="3A993C53" w14:textId="71F3F2AF">
      <w:pPr>
        <w:pStyle w:val="StyleBoldCentered"/>
      </w:pPr>
      <w:r>
        <w:t>order</w:t>
      </w:r>
    </w:p>
    <w:p w:rsidR="004C2EE3" w14:paraId="23AC1611" w14:textId="77777777">
      <w:pPr>
        <w:tabs>
          <w:tab w:val="left" w:pos="-720"/>
        </w:tabs>
        <w:suppressAutoHyphens/>
        <w:spacing w:line="227" w:lineRule="auto"/>
        <w:rPr>
          <w:spacing w:val="-2"/>
        </w:rPr>
      </w:pPr>
    </w:p>
    <w:p w:rsidR="00A15150" w:rsidRPr="00A15150" w:rsidP="0003218D" w14:paraId="472E6950" w14:textId="528CDE35">
      <w:pPr>
        <w:tabs>
          <w:tab w:val="left" w:pos="720"/>
          <w:tab w:val="left" w:pos="6480"/>
          <w:tab w:val="left" w:pos="7200"/>
          <w:tab w:val="right" w:pos="9360"/>
        </w:tabs>
        <w:suppressAutoHyphens/>
        <w:spacing w:line="227" w:lineRule="auto"/>
        <w:rPr>
          <w:b/>
          <w:spacing w:val="-2"/>
        </w:rPr>
      </w:pPr>
      <w:r>
        <w:rPr>
          <w:b/>
          <w:spacing w:val="-2"/>
        </w:rPr>
        <w:t xml:space="preserve">Adopted:  </w:t>
      </w:r>
      <w:r>
        <w:rPr>
          <w:b/>
          <w:spacing w:val="-2"/>
        </w:rPr>
        <w:t xml:space="preserve">February </w:t>
      </w:r>
      <w:r w:rsidR="00982AC5">
        <w:rPr>
          <w:b/>
          <w:spacing w:val="-2"/>
        </w:rPr>
        <w:t>8</w:t>
      </w:r>
      <w:r w:rsidR="00DC289D">
        <w:rPr>
          <w:b/>
          <w:spacing w:val="-2"/>
        </w:rPr>
        <w:t>, 202</w:t>
      </w:r>
      <w:r>
        <w:rPr>
          <w:b/>
          <w:spacing w:val="-2"/>
        </w:rPr>
        <w:t>3</w:t>
      </w:r>
      <w:r w:rsidR="0003218D">
        <w:rPr>
          <w:b/>
          <w:spacing w:val="-2"/>
        </w:rPr>
        <w:tab/>
      </w:r>
      <w:r w:rsidR="00822CE0">
        <w:rPr>
          <w:b/>
          <w:spacing w:val="-2"/>
        </w:rPr>
        <w:t>Released</w:t>
      </w:r>
      <w:r>
        <w:rPr>
          <w:b/>
          <w:spacing w:val="-2"/>
        </w:rPr>
        <w:t>:</w:t>
      </w:r>
      <w:r w:rsidR="00822CE0">
        <w:rPr>
          <w:b/>
          <w:spacing w:val="-2"/>
        </w:rPr>
        <w:t xml:space="preserve"> </w:t>
      </w:r>
      <w:r>
        <w:rPr>
          <w:b/>
          <w:spacing w:val="-2"/>
        </w:rPr>
        <w:t xml:space="preserve"> </w:t>
      </w:r>
      <w:r>
        <w:rPr>
          <w:b/>
          <w:spacing w:val="-2"/>
        </w:rPr>
        <w:t xml:space="preserve">February </w:t>
      </w:r>
      <w:r w:rsidR="009B3BB9">
        <w:rPr>
          <w:b/>
          <w:spacing w:val="-2"/>
        </w:rPr>
        <w:t>9</w:t>
      </w:r>
      <w:r>
        <w:rPr>
          <w:b/>
          <w:spacing w:val="-2"/>
        </w:rPr>
        <w:t>, 2023</w:t>
      </w:r>
    </w:p>
    <w:p w:rsidR="00822CE0" w14:paraId="30F6C132" w14:textId="77777777"/>
    <w:p w:rsidR="00822CE0" w:rsidP="00861121" w14:paraId="055E69C5" w14:textId="77777777">
      <w:pPr>
        <w:rPr>
          <w:spacing w:val="-2"/>
        </w:rPr>
      </w:pPr>
      <w:r>
        <w:t xml:space="preserve">By </w:t>
      </w:r>
      <w:r w:rsidR="004E4A22">
        <w:t>the</w:t>
      </w:r>
      <w:r w:rsidR="002A2D2E">
        <w:t xml:space="preserve"> </w:t>
      </w:r>
      <w:r w:rsidR="00187E1B">
        <w:t xml:space="preserve">Assistant </w:t>
      </w:r>
      <w:r w:rsidR="00BE71FE">
        <w:rPr>
          <w:spacing w:val="-2"/>
        </w:rPr>
        <w:t>Chief, Audio Division, Media Bureau:</w:t>
      </w:r>
    </w:p>
    <w:p w:rsidR="00BE71FE" w:rsidP="00861121" w14:paraId="120C4C70" w14:textId="77777777">
      <w:pPr>
        <w:rPr>
          <w:spacing w:val="-2"/>
        </w:rPr>
      </w:pPr>
    </w:p>
    <w:p w:rsidR="00861121" w:rsidRPr="00861121" w:rsidP="00861121" w14:paraId="498A4E34" w14:textId="77777777">
      <w:pPr>
        <w:pStyle w:val="ParaNum"/>
        <w:numPr>
          <w:ilvl w:val="0"/>
          <w:numId w:val="0"/>
        </w:numPr>
        <w:spacing w:after="0"/>
        <w:ind w:left="720"/>
      </w:pPr>
    </w:p>
    <w:p w:rsidR="00D50856" w:rsidRPr="00B571E6" w:rsidP="008841E9" w14:paraId="59E70A50" w14:textId="7B14C529">
      <w:pPr>
        <w:pStyle w:val="ParaNum"/>
        <w:spacing w:after="0"/>
        <w:rPr>
          <w:szCs w:val="22"/>
        </w:rPr>
      </w:pPr>
      <w:bookmarkStart w:id="0" w:name="_Hlk72422816"/>
      <w:bookmarkStart w:id="1" w:name="_Hlk72486199"/>
      <w:r w:rsidRPr="00B571E6">
        <w:rPr>
          <w:szCs w:val="22"/>
        </w:rPr>
        <w:t xml:space="preserve">This </w:t>
      </w:r>
      <w:r w:rsidRPr="0095485A">
        <w:rPr>
          <w:i/>
          <w:iCs/>
          <w:szCs w:val="22"/>
        </w:rPr>
        <w:t>Order</w:t>
      </w:r>
      <w:r w:rsidRPr="00B571E6">
        <w:rPr>
          <w:szCs w:val="22"/>
        </w:rPr>
        <w:t xml:space="preserve"> </w:t>
      </w:r>
      <w:r w:rsidR="008841E9">
        <w:rPr>
          <w:szCs w:val="22"/>
        </w:rPr>
        <w:t>updates</w:t>
      </w:r>
      <w:r w:rsidR="00A90D4A">
        <w:rPr>
          <w:szCs w:val="22"/>
        </w:rPr>
        <w:t xml:space="preserve"> </w:t>
      </w:r>
      <w:r w:rsidRPr="00B571E6">
        <w:rPr>
          <w:szCs w:val="22"/>
        </w:rPr>
        <w:t>the FM Table of Allotments (FM Table)</w:t>
      </w:r>
      <w:r w:rsidR="008841E9">
        <w:rPr>
          <w:szCs w:val="22"/>
        </w:rPr>
        <w:t xml:space="preserve">, </w:t>
      </w:r>
      <w:r w:rsidRPr="008841E9" w:rsidR="008841E9">
        <w:rPr>
          <w:szCs w:val="22"/>
        </w:rPr>
        <w:t xml:space="preserve">section 73.202(b) of the Commission’s </w:t>
      </w:r>
      <w:r w:rsidR="00C10D46">
        <w:rPr>
          <w:szCs w:val="22"/>
        </w:rPr>
        <w:t>r</w:t>
      </w:r>
      <w:r w:rsidRPr="008841E9" w:rsidR="008841E9">
        <w:rPr>
          <w:szCs w:val="22"/>
        </w:rPr>
        <w:t>ules</w:t>
      </w:r>
      <w:r w:rsidR="008841E9">
        <w:rPr>
          <w:szCs w:val="22"/>
        </w:rPr>
        <w:t>.</w:t>
      </w:r>
      <w:r>
        <w:rPr>
          <w:rStyle w:val="FootnoteReference"/>
          <w:szCs w:val="22"/>
        </w:rPr>
        <w:footnoteReference w:id="3"/>
      </w:r>
      <w:r w:rsidR="008841E9">
        <w:rPr>
          <w:szCs w:val="22"/>
        </w:rPr>
        <w:t xml:space="preserve">  </w:t>
      </w:r>
      <w:r w:rsidRPr="008841E9" w:rsidR="008841E9">
        <w:rPr>
          <w:szCs w:val="22"/>
        </w:rPr>
        <w:t>For the reasons discussed below, we amend the FM Table</w:t>
      </w:r>
      <w:r w:rsidR="008841E9">
        <w:rPr>
          <w:szCs w:val="22"/>
        </w:rPr>
        <w:t xml:space="preserve"> to </w:t>
      </w:r>
      <w:r w:rsidR="00A90D4A">
        <w:rPr>
          <w:szCs w:val="22"/>
        </w:rPr>
        <w:t>reinstat</w:t>
      </w:r>
      <w:r w:rsidR="008841E9">
        <w:rPr>
          <w:szCs w:val="22"/>
        </w:rPr>
        <w:t>e</w:t>
      </w:r>
      <w:r w:rsidRPr="00B571E6">
        <w:rPr>
          <w:szCs w:val="22"/>
        </w:rPr>
        <w:t xml:space="preserve"> certain</w:t>
      </w:r>
      <w:r w:rsidR="00AF692E">
        <w:rPr>
          <w:szCs w:val="22"/>
        </w:rPr>
        <w:t xml:space="preserve"> channels as a</w:t>
      </w:r>
      <w:r w:rsidRPr="00B571E6">
        <w:rPr>
          <w:szCs w:val="22"/>
        </w:rPr>
        <w:t xml:space="preserve"> vacant FM allotment.</w:t>
      </w:r>
      <w:r w:rsidR="008841E9">
        <w:rPr>
          <w:szCs w:val="22"/>
        </w:rPr>
        <w:t xml:space="preserve">  </w:t>
      </w:r>
      <w:r w:rsidRPr="00B571E6">
        <w:rPr>
          <w:szCs w:val="22"/>
        </w:rPr>
        <w:t>The attached Appendix shows the FM Table, as amended, for those communities.</w:t>
      </w:r>
      <w:r w:rsidR="00A90D4A">
        <w:rPr>
          <w:szCs w:val="22"/>
        </w:rPr>
        <w:t xml:space="preserve"> </w:t>
      </w:r>
    </w:p>
    <w:p w:rsidR="00B571E6" w:rsidRPr="00B571E6" w:rsidP="008841E9" w14:paraId="0AD943A6" w14:textId="77777777">
      <w:pPr>
        <w:pStyle w:val="ParaNum"/>
        <w:numPr>
          <w:ilvl w:val="0"/>
          <w:numId w:val="0"/>
        </w:numPr>
        <w:spacing w:after="0"/>
        <w:ind w:left="720"/>
      </w:pPr>
    </w:p>
    <w:p w:rsidR="0099382E" w:rsidP="008841E9" w14:paraId="271E3CC8" w14:textId="4A7F5D19">
      <w:pPr>
        <w:pStyle w:val="ParaNum"/>
        <w:spacing w:after="0"/>
      </w:pPr>
      <w:bookmarkStart w:id="2" w:name="_Hlk72486263"/>
      <w:r w:rsidRPr="00B571E6">
        <w:t>Formerly, the FM Table listed all vacant FM allotments as well as FM channels and communities occupied by authorized facilities.</w:t>
      </w:r>
      <w:r>
        <w:rPr>
          <w:rStyle w:val="FootnoteReference"/>
        </w:rPr>
        <w:footnoteReference w:id="4"/>
      </w:r>
      <w:r w:rsidRPr="00B571E6">
        <w:t xml:space="preserve">  In 2006, the Commission removed the allotments of authorized and awarded FM facilities from the FM Table in order to accommodate the new application procedures for radio stations to change their communities of license.</w:t>
      </w:r>
      <w:r>
        <w:rPr>
          <w:rStyle w:val="FootnoteReference"/>
        </w:rPr>
        <w:footnoteReference w:id="5"/>
      </w:r>
      <w:r w:rsidRPr="00B571E6">
        <w:t xml:space="preserve">  As contemplated by the </w:t>
      </w:r>
      <w:r w:rsidRPr="00CF64F6">
        <w:rPr>
          <w:i/>
          <w:iCs/>
        </w:rPr>
        <w:t>Changes of Community R&amp;O</w:t>
      </w:r>
      <w:r w:rsidRPr="00B571E6">
        <w:t xml:space="preserve">, when an authorization is cancelled, the vacant FM channel needs to be reinstated in the FM Table in order to be protected for spacing purposes and preserve the opportunity to license a future station in the specified community.  </w:t>
      </w:r>
      <w:r w:rsidR="007B39DA">
        <w:t>W</w:t>
      </w:r>
      <w:r w:rsidRPr="0099382E">
        <w:t>e periodically issue Orders to update the FM Table reinstating allotments that have become vacant due to the cancellation of an authorization or license.</w:t>
      </w:r>
    </w:p>
    <w:p w:rsidR="0099382E" w:rsidP="0099382E" w14:paraId="1F2B9F1C" w14:textId="77777777">
      <w:pPr>
        <w:pStyle w:val="ParaNum"/>
        <w:numPr>
          <w:ilvl w:val="0"/>
          <w:numId w:val="0"/>
        </w:numPr>
        <w:spacing w:after="0"/>
        <w:ind w:left="720"/>
      </w:pPr>
    </w:p>
    <w:p w:rsidR="008B51FE" w:rsidRPr="00832A21" w:rsidP="00832A21" w14:paraId="101E39A1" w14:textId="45EE1287">
      <w:pPr>
        <w:pStyle w:val="ParaNum"/>
        <w:spacing w:after="0"/>
        <w:rPr>
          <w:snapToGrid/>
          <w:kern w:val="0"/>
        </w:rPr>
      </w:pPr>
      <w:r w:rsidRPr="00B571E6">
        <w:t xml:space="preserve">The </w:t>
      </w:r>
      <w:r w:rsidR="0095485A">
        <w:t xml:space="preserve">FM </w:t>
      </w:r>
      <w:r w:rsidRPr="00B571E6">
        <w:t>allotments listed in the attached Appendix were removed from the FM Table because a construction permit and/or license was granted.  These FM allotments</w:t>
      </w:r>
      <w:r w:rsidR="00975C06">
        <w:t>, however,</w:t>
      </w:r>
      <w:r w:rsidRPr="00B571E6">
        <w:t xml:space="preserve"> are </w:t>
      </w:r>
      <w:r w:rsidR="00975C06">
        <w:t xml:space="preserve">now </w:t>
      </w:r>
      <w:r w:rsidRPr="00B571E6">
        <w:t>considered vacant because of the cancellation of the associated authorizations or the dismissal of long-form auction applications.</w:t>
      </w:r>
      <w:r w:rsidR="008841E9">
        <w:t xml:space="preserve">  </w:t>
      </w:r>
    </w:p>
    <w:p w:rsidR="00861121" w:rsidP="00861121" w14:paraId="7183C4AA" w14:textId="77777777">
      <w:pPr>
        <w:pStyle w:val="ParaNum"/>
        <w:numPr>
          <w:ilvl w:val="0"/>
          <w:numId w:val="0"/>
        </w:numPr>
        <w:spacing w:after="0"/>
        <w:ind w:left="720"/>
      </w:pPr>
    </w:p>
    <w:bookmarkEnd w:id="0"/>
    <w:bookmarkEnd w:id="1"/>
    <w:bookmarkEnd w:id="2"/>
    <w:p w:rsidR="00832A21" w:rsidP="00832A21" w14:paraId="46D141F4" w14:textId="586DAF81">
      <w:pPr>
        <w:pStyle w:val="ParaNum"/>
        <w:spacing w:after="0"/>
      </w:pPr>
      <w:r>
        <w:t xml:space="preserve">Accordingly, we </w:t>
      </w:r>
      <w:r w:rsidRPr="00B571E6">
        <w:t>reinstat</w:t>
      </w:r>
      <w:r>
        <w:t>e</w:t>
      </w:r>
      <w:r w:rsidRPr="00B571E6">
        <w:t xml:space="preserve"> the</w:t>
      </w:r>
      <w:r>
        <w:t xml:space="preserve"> vacant FM</w:t>
      </w:r>
      <w:r w:rsidRPr="00B571E6">
        <w:t xml:space="preserve"> allotments set forth in the Appendix.  </w:t>
      </w:r>
      <w:r w:rsidR="00CF64F6">
        <w:t>A s</w:t>
      </w:r>
      <w:r w:rsidRPr="00CF64F6" w:rsidR="00CF64F6">
        <w:t xml:space="preserve">taff engineering analysis confirms that all of the vacant </w:t>
      </w:r>
      <w:r w:rsidR="008841E9">
        <w:t xml:space="preserve">FM </w:t>
      </w:r>
      <w:r w:rsidRPr="00CF64F6" w:rsidR="00CF64F6">
        <w:t>allotments listed in the Appendix meet the minimum distance separation requirements of</w:t>
      </w:r>
      <w:r w:rsidR="00CF64F6">
        <w:t xml:space="preserve"> section </w:t>
      </w:r>
      <w:bookmarkStart w:id="3" w:name="_Hlk126058455"/>
      <w:r w:rsidRPr="00CF64F6" w:rsidR="00CF64F6">
        <w:t>73.207</w:t>
      </w:r>
      <w:bookmarkEnd w:id="3"/>
      <w:r w:rsidR="00CF64F6">
        <w:t xml:space="preserve"> and the city-grade coverage requirements of section </w:t>
      </w:r>
      <w:r w:rsidRPr="00A90D4A" w:rsidR="00CF64F6">
        <w:t>73.</w:t>
      </w:r>
      <w:r w:rsidRPr="00A90D4A" w:rsidR="00A90D4A">
        <w:t>315</w:t>
      </w:r>
      <w:r w:rsidRPr="00A90D4A" w:rsidR="00CF64F6">
        <w:t>.</w:t>
      </w:r>
      <w:r>
        <w:rPr>
          <w:rStyle w:val="FootnoteReference"/>
        </w:rPr>
        <w:footnoteReference w:id="6"/>
      </w:r>
      <w:r w:rsidRPr="00CF64F6" w:rsidR="00CF64F6">
        <w:t xml:space="preserve">  The window period for filing applications</w:t>
      </w:r>
      <w:r w:rsidR="00CF64F6">
        <w:t xml:space="preserve"> for these vacant FM allotments</w:t>
      </w:r>
      <w:r w:rsidRPr="00CF64F6" w:rsidR="00CF64F6">
        <w:t xml:space="preserve"> will not be opened at this time.  Instead, the issue of opening th</w:t>
      </w:r>
      <w:r w:rsidR="00BA4BEA">
        <w:t>ese</w:t>
      </w:r>
      <w:r w:rsidRPr="00CF64F6" w:rsidR="00CF64F6">
        <w:t xml:space="preserve"> allotment</w:t>
      </w:r>
      <w:r w:rsidR="00BA4BEA">
        <w:t>s</w:t>
      </w:r>
      <w:r w:rsidRPr="00CF64F6" w:rsidR="00CF64F6">
        <w:t xml:space="preserve"> for filing will be addressed by the Commission in subsequent order</w:t>
      </w:r>
      <w:r>
        <w:t>.</w:t>
      </w:r>
    </w:p>
    <w:p w:rsidR="00832A21" w:rsidP="00832A21" w14:paraId="02F2DC15" w14:textId="77777777">
      <w:pPr>
        <w:pStyle w:val="ParaNum"/>
        <w:numPr>
          <w:ilvl w:val="0"/>
          <w:numId w:val="0"/>
        </w:numPr>
        <w:spacing w:after="0"/>
        <w:ind w:left="720"/>
      </w:pPr>
    </w:p>
    <w:p w:rsidR="00832A21" w:rsidP="00FE1C63" w14:paraId="7D8F0873" w14:textId="08C7915F">
      <w:pPr>
        <w:pStyle w:val="ParaNum"/>
        <w:tabs>
          <w:tab w:val="left" w:pos="1080"/>
        </w:tabs>
        <w:spacing w:after="0"/>
      </w:pPr>
      <w:r w:rsidRPr="007A093C">
        <w:rPr>
          <w:snapToGrid/>
          <w:kern w:val="0"/>
        </w:rPr>
        <w:t>This action constitutes an editorial change in the FM Table of Allotments</w:t>
      </w:r>
      <w:r>
        <w:rPr>
          <w:snapToGrid/>
          <w:kern w:val="0"/>
        </w:rPr>
        <w:t xml:space="preserve"> because </w:t>
      </w:r>
      <w:r>
        <w:t>t</w:t>
      </w:r>
      <w:r w:rsidRPr="00CF64F6">
        <w:t xml:space="preserve">he vacant </w:t>
      </w:r>
      <w:r w:rsidRPr="00CF64F6">
        <w:t xml:space="preserve">FM allotments listed in the Appendix have previously undergone notice and comment rule making.  </w:t>
      </w:r>
      <w:r w:rsidRPr="007A093C">
        <w:rPr>
          <w:snapToGrid/>
          <w:kern w:val="0"/>
        </w:rPr>
        <w:t xml:space="preserve">Therefore, </w:t>
      </w:r>
      <w:r>
        <w:rPr>
          <w:snapToGrid/>
          <w:kern w:val="0"/>
        </w:rPr>
        <w:t xml:space="preserve">further </w:t>
      </w:r>
      <w:r w:rsidRPr="007A093C">
        <w:rPr>
          <w:snapToGrid/>
          <w:kern w:val="0"/>
        </w:rPr>
        <w:t>notice and comment proceedings are unnecessary.</w:t>
      </w:r>
      <w:r>
        <w:rPr>
          <w:snapToGrid/>
          <w:kern w:val="0"/>
          <w:vertAlign w:val="superscript"/>
        </w:rPr>
        <w:footnoteReference w:id="7"/>
      </w:r>
      <w:r w:rsidRPr="007A093C">
        <w:rPr>
          <w:snapToGrid/>
          <w:kern w:val="0"/>
        </w:rPr>
        <w:t xml:space="preserve"> </w:t>
      </w:r>
    </w:p>
    <w:p w:rsidR="00832A21" w:rsidRPr="00832A21" w:rsidP="00832A21" w14:paraId="398772C5" w14:textId="77777777">
      <w:pPr>
        <w:pStyle w:val="ParaNum"/>
        <w:numPr>
          <w:ilvl w:val="0"/>
          <w:numId w:val="0"/>
        </w:numPr>
        <w:spacing w:after="0"/>
        <w:ind w:left="720"/>
      </w:pPr>
    </w:p>
    <w:p w:rsidR="00F15288" w:rsidRPr="00F15288" w:rsidP="00FE1C63" w14:paraId="656AD8C2" w14:textId="4B6695A3">
      <w:pPr>
        <w:pStyle w:val="ParaNum"/>
        <w:numPr>
          <w:ilvl w:val="0"/>
          <w:numId w:val="58"/>
        </w:numPr>
        <w:tabs>
          <w:tab w:val="left" w:pos="1080"/>
          <w:tab w:val="num" w:pos="1440"/>
        </w:tabs>
        <w:spacing w:after="0"/>
      </w:pPr>
      <w:r w:rsidRPr="008D6791">
        <w:rPr>
          <w:i/>
          <w:iCs/>
        </w:rPr>
        <w:t>Paperwork Reduction and Regulatory Flexibility</w:t>
      </w:r>
      <w:r>
        <w:t>.  The Commission has determined that the relevant provisions of the Regulatory Flexibility Act of 1980, as amended,</w:t>
      </w:r>
      <w:r>
        <w:rPr>
          <w:rStyle w:val="FootnoteReference"/>
        </w:rPr>
        <w:footnoteReference w:id="8"/>
      </w:r>
      <w:r>
        <w:t xml:space="preserve"> do not apply to a rulemaking proceeding to amend the FM Table of Allotments</w:t>
      </w:r>
      <w:r w:rsidR="00DB1B9E">
        <w:t xml:space="preserve"> in</w:t>
      </w:r>
      <w:r>
        <w:t xml:space="preserve"> section </w:t>
      </w:r>
      <w:r w:rsidRPr="005E3497">
        <w:t>73.202(b)</w:t>
      </w:r>
      <w:r>
        <w:t xml:space="preserve"> of the Rules.</w:t>
      </w:r>
      <w:r>
        <w:rPr>
          <w:rStyle w:val="FootnoteReference"/>
        </w:rPr>
        <w:footnoteReference w:id="9"/>
      </w:r>
      <w:r>
        <w:t xml:space="preserve">  This document does not contain information collection requirements subject to the Paperwork Reduction Act of 1995.</w:t>
      </w:r>
      <w:r>
        <w:rPr>
          <w:rStyle w:val="FootnoteReference"/>
        </w:rPr>
        <w:footnoteReference w:id="10"/>
      </w:r>
      <w:r>
        <w:t xml:space="preserve">  In addition, it does not contain any proposed information collection burden “for small business concerns with fewer than 25 employees,” pursuant to the Small Business Paperwork Relief Act of 2002.</w:t>
      </w:r>
      <w:r>
        <w:rPr>
          <w:rStyle w:val="FootnoteReference"/>
        </w:rPr>
        <w:footnoteReference w:id="11"/>
      </w:r>
    </w:p>
    <w:p w:rsidR="00861121" w:rsidRPr="00861121" w:rsidP="00861121" w14:paraId="79B56C7C" w14:textId="77777777">
      <w:pPr>
        <w:pStyle w:val="ParaNum"/>
        <w:numPr>
          <w:ilvl w:val="0"/>
          <w:numId w:val="0"/>
        </w:numPr>
        <w:spacing w:after="0"/>
        <w:ind w:left="720"/>
      </w:pPr>
    </w:p>
    <w:p w:rsidR="0095485A" w:rsidRPr="0095485A" w:rsidP="0095485A" w14:paraId="5586E99B" w14:textId="3B8A588F">
      <w:pPr>
        <w:pStyle w:val="ParaNum"/>
        <w:spacing w:after="0"/>
        <w:rPr>
          <w:color w:val="000000"/>
          <w:szCs w:val="22"/>
        </w:rPr>
      </w:pPr>
      <w:r w:rsidRPr="00FE1C63">
        <w:rPr>
          <w:b/>
          <w:bCs/>
        </w:rPr>
        <w:t>Ordering Clauses</w:t>
      </w:r>
      <w:r>
        <w:t xml:space="preserve">. Accordingly, </w:t>
      </w:r>
      <w:r w:rsidR="00B74F05">
        <w:t>IT IS FURTHER ORDERED that, purs</w:t>
      </w:r>
      <w:r w:rsidR="00B74F05">
        <w:rPr>
          <w:spacing w:val="-3"/>
          <w:szCs w:val="22"/>
        </w:rPr>
        <w:t xml:space="preserve">uant to </w:t>
      </w:r>
      <w:r w:rsidRPr="009F2562" w:rsidR="00B74F05">
        <w:t xml:space="preserve">authority found in 47 U.S.C. sections 4(i), 5(c)(1), 303(g) and (r), and 307(b) of the Communications Act of 1934, as amended, </w:t>
      </w:r>
      <w:r w:rsidRPr="00CE5579" w:rsidR="00B74F05">
        <w:t>47 U.S.C. §§ 154</w:t>
      </w:r>
      <w:r w:rsidR="00B74F05">
        <w:t>(i)</w:t>
      </w:r>
      <w:r w:rsidRPr="00CE5579" w:rsidR="00B74F05">
        <w:t>, 15</w:t>
      </w:r>
      <w:r w:rsidR="00B74F05">
        <w:t>5(c)(1)</w:t>
      </w:r>
      <w:r w:rsidRPr="00CE5579" w:rsidR="00B74F05">
        <w:t>, 303</w:t>
      </w:r>
      <w:r w:rsidR="00B74F05">
        <w:t>(g)</w:t>
      </w:r>
      <w:r w:rsidRPr="00CE5579" w:rsidR="00B74F05">
        <w:t>,</w:t>
      </w:r>
      <w:r w:rsidR="00B74F05">
        <w:t xml:space="preserve"> (r), and</w:t>
      </w:r>
      <w:r w:rsidRPr="00CE5579" w:rsidR="00B74F05">
        <w:t xml:space="preserve"> 307</w:t>
      </w:r>
      <w:r w:rsidR="00B74F05">
        <w:t>(b)</w:t>
      </w:r>
      <w:r w:rsidRPr="00CE5579" w:rsidR="00B74F05">
        <w:t xml:space="preserve"> </w:t>
      </w:r>
      <w:r w:rsidRPr="009F2562" w:rsidR="00B74F05">
        <w:t>and sections 0.61, 0.204(b)</w:t>
      </w:r>
      <w:r w:rsidR="00B74F05">
        <w:t>,</w:t>
      </w:r>
      <w:r w:rsidRPr="009F2562" w:rsidR="00B74F05">
        <w:t xml:space="preserve"> and 0.283</w:t>
      </w:r>
      <w:r w:rsidR="00B74F05">
        <w:t xml:space="preserve"> of the Rules</w:t>
      </w:r>
      <w:r w:rsidRPr="009F2562" w:rsidR="00B74F05">
        <w:t>,</w:t>
      </w:r>
      <w:r w:rsidR="00B74F05">
        <w:t xml:space="preserve"> 47 CFR §§ 0.61, 0.204(b), and 0.283,</w:t>
      </w:r>
      <w:r w:rsidRPr="009F2562" w:rsidR="00B74F05">
        <w:t xml:space="preserve"> </w:t>
      </w:r>
      <w:r w:rsidRPr="0095485A">
        <w:rPr>
          <w:color w:val="000000"/>
          <w:szCs w:val="22"/>
        </w:rPr>
        <w:t>upon publication in the Federal Register, the FM Table of Allotments</w:t>
      </w:r>
      <w:r w:rsidR="00B74F05">
        <w:rPr>
          <w:color w:val="000000"/>
          <w:szCs w:val="22"/>
        </w:rPr>
        <w:t xml:space="preserve">, </w:t>
      </w:r>
      <w:r w:rsidR="00B74F05">
        <w:t>47 CFR § 73.202(b),</w:t>
      </w:r>
      <w:r w:rsidRPr="009F2562" w:rsidR="00B74F05">
        <w:t xml:space="preserve"> </w:t>
      </w:r>
      <w:r w:rsidR="00B74F05">
        <w:rPr>
          <w:color w:val="000000"/>
          <w:szCs w:val="22"/>
        </w:rPr>
        <w:t xml:space="preserve">IS AMENDED, </w:t>
      </w:r>
      <w:r w:rsidRPr="0095485A">
        <w:rPr>
          <w:color w:val="000000"/>
          <w:szCs w:val="22"/>
        </w:rPr>
        <w:t xml:space="preserve">in accordance with the changes set forth in the Appendix to this Order.  </w:t>
      </w:r>
    </w:p>
    <w:p w:rsidR="00DC289D" w:rsidP="0095485A" w14:paraId="47A23D36" w14:textId="77777777">
      <w:pPr>
        <w:pStyle w:val="ParaNum"/>
        <w:numPr>
          <w:ilvl w:val="0"/>
          <w:numId w:val="0"/>
        </w:numPr>
        <w:spacing w:after="0"/>
        <w:ind w:left="720"/>
      </w:pPr>
    </w:p>
    <w:p w:rsidR="00861121" w:rsidP="0095485A" w14:paraId="15389432" w14:textId="60E531A3">
      <w:pPr>
        <w:pStyle w:val="ParaNum"/>
        <w:spacing w:after="0"/>
      </w:pPr>
      <w:r w:rsidRPr="00E90584">
        <w:t>IT IS FURTHER ORDERED</w:t>
      </w:r>
      <w:r w:rsidR="004E4D93">
        <w:t>, T</w:t>
      </w:r>
      <w:r>
        <w:t xml:space="preserve">hat the Commission will </w:t>
      </w:r>
      <w:r w:rsidR="0095485A">
        <w:t>not send</w:t>
      </w:r>
      <w:r>
        <w:t xml:space="preserve"> a copy of this </w:t>
      </w:r>
      <w:r w:rsidRPr="007258BB">
        <w:rPr>
          <w:i/>
          <w:iCs/>
        </w:rPr>
        <w:t>Order</w:t>
      </w:r>
      <w:r>
        <w:t xml:space="preserve"> in a report to Congress and the Government Accountability Office pursuant to the Congressional Review Act, </w:t>
      </w:r>
      <w:r w:rsidRPr="007258BB">
        <w:rPr>
          <w:i/>
          <w:iCs/>
        </w:rPr>
        <w:t>see</w:t>
      </w:r>
      <w:r>
        <w:t xml:space="preserve"> 5 U.S.C. § 801(a)(1)(A</w:t>
      </w:r>
      <w:r w:rsidRPr="0095485A" w:rsidR="0095485A">
        <w:t xml:space="preserve">, because these allotments were previously reported.  </w:t>
      </w:r>
    </w:p>
    <w:p w:rsidR="0095485A" w:rsidP="0095485A" w14:paraId="53AE21C4" w14:textId="77777777">
      <w:pPr>
        <w:pStyle w:val="ParaNum"/>
        <w:numPr>
          <w:ilvl w:val="0"/>
          <w:numId w:val="0"/>
        </w:numPr>
        <w:spacing w:after="0"/>
      </w:pPr>
    </w:p>
    <w:p w:rsidR="00E90584" w:rsidP="0095485A" w14:paraId="5BBDD257" w14:textId="77777777">
      <w:pPr>
        <w:pStyle w:val="ParaNum"/>
        <w:spacing w:after="0"/>
      </w:pPr>
      <w:r>
        <w:t>For further information concerning this proceeding, contact Rolanda F. Smith, Media Bureau, (202) 418-2</w:t>
      </w:r>
      <w:r w:rsidR="007258BB">
        <w:t>054</w:t>
      </w:r>
      <w:r>
        <w:t>.</w:t>
      </w:r>
    </w:p>
    <w:p w:rsidR="00F15288" w:rsidP="0095485A" w14:paraId="1C3B2B20" w14:textId="77777777">
      <w:pPr>
        <w:widowControl/>
        <w:rPr>
          <w:spacing w:val="-2"/>
        </w:rPr>
      </w:pPr>
      <w:r>
        <w:rPr>
          <w:spacing w:val="-2"/>
        </w:rPr>
        <w:tab/>
      </w:r>
    </w:p>
    <w:p w:rsidR="004559D1" w:rsidP="00861121" w14:paraId="24F2241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bookmarkStart w:id="5"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4559D1" w:rsidP="00861121" w14:paraId="785F92C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4559D1" w:rsidP="00861121" w14:paraId="058E788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4559D1" w:rsidP="00861121" w14:paraId="45B3326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5"/>
    <w:p w:rsidR="0073585D" w:rsidP="00861121" w14:paraId="06A18552" w14:textId="77777777">
      <w:pPr>
        <w:ind w:left="3600" w:firstLine="720"/>
      </w:pPr>
      <w:r>
        <w:t>Nazifa Sawez</w:t>
      </w:r>
    </w:p>
    <w:p w:rsidR="0073585D" w:rsidP="00861121" w14:paraId="7D843D7A" w14:textId="77777777">
      <w:pPr>
        <w:ind w:left="3600" w:firstLine="720"/>
      </w:pPr>
      <w:r>
        <w:t xml:space="preserve">Assistant Chief, Audio Division </w:t>
      </w:r>
    </w:p>
    <w:p w:rsidR="00412FC5" w:rsidP="00A85A7B" w14:paraId="55377558" w14:textId="39EB8BAD">
      <w:pPr>
        <w:ind w:left="3600" w:firstLine="720"/>
      </w:pPr>
      <w:r>
        <w:t>Media Bureau</w:t>
      </w:r>
    </w:p>
    <w:p w:rsidR="0095485A" w:rsidP="00A85A7B" w14:paraId="1C5A344E" w14:textId="4B95609D">
      <w:pPr>
        <w:ind w:left="3600" w:firstLine="720"/>
      </w:pPr>
    </w:p>
    <w:p w:rsidR="0095485A" w:rsidP="00A85A7B" w14:paraId="3CA83D6E" w14:textId="1D496900">
      <w:pPr>
        <w:ind w:left="3600" w:firstLine="720"/>
      </w:pPr>
    </w:p>
    <w:p w:rsidR="0095485A" w:rsidP="00A85A7B" w14:paraId="244DD5C8" w14:textId="590F16A6">
      <w:pPr>
        <w:ind w:left="3600" w:firstLine="720"/>
      </w:pPr>
    </w:p>
    <w:p w:rsidR="0095485A" w:rsidP="00A85A7B" w14:paraId="32E4B29A" w14:textId="0AA47EB0">
      <w:pPr>
        <w:ind w:left="3600" w:firstLine="720"/>
      </w:pPr>
    </w:p>
    <w:p w:rsidR="0095485A" w:rsidP="00A85A7B" w14:paraId="639CD704" w14:textId="12F18D52">
      <w:pPr>
        <w:ind w:left="3600" w:firstLine="720"/>
      </w:pPr>
    </w:p>
    <w:p w:rsidR="00FE1C63" w14:paraId="2D6B72AE" w14:textId="77777777">
      <w:pPr>
        <w:widowControl/>
        <w:rPr>
          <w:b/>
          <w:snapToGrid/>
          <w:kern w:val="0"/>
        </w:rPr>
      </w:pPr>
      <w:r>
        <w:rPr>
          <w:b/>
          <w:snapToGrid/>
          <w:kern w:val="0"/>
        </w:rPr>
        <w:br w:type="page"/>
      </w:r>
    </w:p>
    <w:p w:rsidR="0095485A" w:rsidRPr="0095485A" w:rsidP="0095485A" w14:paraId="29BEF3EA" w14:textId="51365BC5">
      <w:pPr>
        <w:widowControl/>
        <w:tabs>
          <w:tab w:val="left" w:pos="1440"/>
        </w:tabs>
        <w:spacing w:after="220"/>
        <w:ind w:firstLine="720"/>
        <w:jc w:val="center"/>
        <w:rPr>
          <w:b/>
          <w:snapToGrid/>
          <w:kern w:val="0"/>
        </w:rPr>
      </w:pPr>
      <w:r w:rsidRPr="0095485A">
        <w:rPr>
          <w:b/>
          <w:snapToGrid/>
          <w:kern w:val="0"/>
        </w:rPr>
        <w:t>APPENDIX</w:t>
      </w:r>
    </w:p>
    <w:p w:rsidR="0095485A" w:rsidRPr="0095485A" w:rsidP="0095485A" w14:paraId="21389676" w14:textId="77777777">
      <w:pPr>
        <w:widowControl/>
        <w:tabs>
          <w:tab w:val="left" w:pos="1440"/>
          <w:tab w:val="left" w:pos="4140"/>
          <w:tab w:val="left" w:pos="4320"/>
          <w:tab w:val="left" w:pos="5760"/>
          <w:tab w:val="left" w:pos="6480"/>
          <w:tab w:val="left" w:pos="7200"/>
        </w:tabs>
        <w:spacing w:after="220"/>
        <w:ind w:firstLine="720"/>
        <w:jc w:val="both"/>
        <w:rPr>
          <w:snapToGrid/>
          <w:kern w:val="0"/>
        </w:rPr>
      </w:pPr>
      <w:r w:rsidRPr="0095485A">
        <w:rPr>
          <w:snapToGrid/>
          <w:kern w:val="0"/>
        </w:rPr>
        <w:t>Community</w:t>
      </w:r>
      <w:r w:rsidRPr="0095485A">
        <w:rPr>
          <w:snapToGrid/>
          <w:kern w:val="0"/>
        </w:rPr>
        <w:tab/>
      </w:r>
      <w:r w:rsidRPr="0095485A">
        <w:rPr>
          <w:snapToGrid/>
          <w:kern w:val="0"/>
        </w:rPr>
        <w:tab/>
        <w:t>Channel Deleted</w:t>
      </w:r>
      <w:r w:rsidRPr="0095485A">
        <w:rPr>
          <w:snapToGrid/>
          <w:kern w:val="0"/>
        </w:rPr>
        <w:tab/>
      </w:r>
      <w:r w:rsidRPr="0095485A">
        <w:rPr>
          <w:snapToGrid/>
          <w:kern w:val="0"/>
        </w:rPr>
        <w:tab/>
        <w:t>Channel Added</w:t>
      </w:r>
    </w:p>
    <w:p w:rsidR="0095485A" w:rsidP="00271D74" w14:paraId="12F0EC56" w14:textId="197C35FD">
      <w:pPr>
        <w:widowControl/>
        <w:tabs>
          <w:tab w:val="left" w:pos="1440"/>
          <w:tab w:val="left" w:pos="4140"/>
          <w:tab w:val="left" w:pos="4320"/>
          <w:tab w:val="left" w:pos="5760"/>
          <w:tab w:val="left" w:pos="6480"/>
          <w:tab w:val="left" w:pos="7200"/>
          <w:tab w:val="left" w:pos="7380"/>
        </w:tabs>
        <w:spacing w:after="220"/>
        <w:ind w:firstLine="720"/>
        <w:jc w:val="both"/>
        <w:rPr>
          <w:snapToGrid/>
          <w:kern w:val="0"/>
        </w:rPr>
      </w:pPr>
      <w:r>
        <w:rPr>
          <w:snapToGrid/>
          <w:kern w:val="0"/>
        </w:rPr>
        <w:t>Ajo, Arizona</w:t>
      </w:r>
      <w:r w:rsidRPr="0095485A">
        <w:rPr>
          <w:snapToGrid/>
          <w:kern w:val="0"/>
        </w:rPr>
        <w:tab/>
      </w:r>
      <w:r w:rsidRPr="0095485A">
        <w:rPr>
          <w:snapToGrid/>
          <w:kern w:val="0"/>
        </w:rPr>
        <w:tab/>
        <w:t>------------------</w:t>
      </w:r>
      <w:r w:rsidRPr="0095485A">
        <w:rPr>
          <w:snapToGrid/>
          <w:kern w:val="0"/>
        </w:rPr>
        <w:tab/>
      </w:r>
      <w:r w:rsidRPr="0095485A">
        <w:rPr>
          <w:snapToGrid/>
          <w:kern w:val="0"/>
        </w:rPr>
        <w:tab/>
      </w:r>
      <w:r w:rsidRPr="0095485A">
        <w:rPr>
          <w:snapToGrid/>
          <w:kern w:val="0"/>
        </w:rPr>
        <w:tab/>
      </w:r>
      <w:r>
        <w:rPr>
          <w:snapToGrid/>
          <w:kern w:val="0"/>
        </w:rPr>
        <w:tab/>
        <w:t>275A</w:t>
      </w:r>
    </w:p>
    <w:p w:rsidR="00853C4F" w:rsidP="00271D74" w14:paraId="4D2FE32E" w14:textId="2884334A">
      <w:pPr>
        <w:widowControl/>
        <w:tabs>
          <w:tab w:val="left" w:pos="1440"/>
          <w:tab w:val="left" w:pos="4140"/>
          <w:tab w:val="left" w:pos="4320"/>
          <w:tab w:val="left" w:pos="5760"/>
          <w:tab w:val="left" w:pos="6480"/>
          <w:tab w:val="left" w:pos="7200"/>
          <w:tab w:val="left" w:pos="7380"/>
        </w:tabs>
        <w:spacing w:after="220"/>
        <w:ind w:firstLine="720"/>
        <w:jc w:val="both"/>
        <w:rPr>
          <w:snapToGrid/>
          <w:kern w:val="0"/>
        </w:rPr>
      </w:pPr>
      <w:r>
        <w:rPr>
          <w:snapToGrid/>
          <w:kern w:val="0"/>
        </w:rPr>
        <w:t>Peach Springs, Arizona</w:t>
      </w:r>
      <w:r>
        <w:rPr>
          <w:snapToGrid/>
          <w:kern w:val="0"/>
        </w:rPr>
        <w:tab/>
      </w:r>
      <w:r>
        <w:rPr>
          <w:snapToGrid/>
          <w:kern w:val="0"/>
        </w:rPr>
        <w:tab/>
        <w:t>------------------</w:t>
      </w:r>
      <w:r>
        <w:rPr>
          <w:snapToGrid/>
          <w:kern w:val="0"/>
        </w:rPr>
        <w:tab/>
      </w:r>
      <w:r>
        <w:rPr>
          <w:snapToGrid/>
          <w:kern w:val="0"/>
        </w:rPr>
        <w:tab/>
      </w:r>
      <w:r>
        <w:rPr>
          <w:snapToGrid/>
          <w:kern w:val="0"/>
        </w:rPr>
        <w:tab/>
      </w:r>
      <w:r>
        <w:rPr>
          <w:snapToGrid/>
          <w:kern w:val="0"/>
        </w:rPr>
        <w:tab/>
        <w:t>280A</w:t>
      </w:r>
    </w:p>
    <w:p w:rsidR="009571C1" w:rsidP="00271D74" w14:paraId="23FFBFA8" w14:textId="209EC663">
      <w:pPr>
        <w:widowControl/>
        <w:tabs>
          <w:tab w:val="left" w:pos="1440"/>
          <w:tab w:val="left" w:pos="4140"/>
          <w:tab w:val="left" w:pos="4320"/>
          <w:tab w:val="left" w:pos="5760"/>
          <w:tab w:val="left" w:pos="7200"/>
          <w:tab w:val="left" w:pos="7380"/>
        </w:tabs>
        <w:spacing w:after="220"/>
        <w:ind w:firstLine="720"/>
        <w:jc w:val="both"/>
        <w:rPr>
          <w:snapToGrid/>
          <w:kern w:val="0"/>
        </w:rPr>
      </w:pPr>
      <w:r w:rsidRPr="009571C1">
        <w:rPr>
          <w:snapToGrid/>
          <w:kern w:val="0"/>
        </w:rPr>
        <w:t>Fredonia</w:t>
      </w:r>
      <w:r w:rsidR="00D62403">
        <w:rPr>
          <w:snapToGrid/>
          <w:kern w:val="0"/>
        </w:rPr>
        <w:t>,</w:t>
      </w:r>
      <w:r w:rsidRPr="009571C1">
        <w:rPr>
          <w:snapToGrid/>
          <w:kern w:val="0"/>
        </w:rPr>
        <w:t xml:space="preserve"> A</w:t>
      </w:r>
      <w:r>
        <w:rPr>
          <w:snapToGrid/>
          <w:kern w:val="0"/>
        </w:rPr>
        <w:t>rizona</w:t>
      </w:r>
      <w:r>
        <w:rPr>
          <w:snapToGrid/>
          <w:kern w:val="0"/>
        </w:rPr>
        <w:tab/>
      </w:r>
      <w:r>
        <w:rPr>
          <w:snapToGrid/>
          <w:kern w:val="0"/>
        </w:rPr>
        <w:tab/>
        <w:t>------------------</w:t>
      </w:r>
      <w:r>
        <w:rPr>
          <w:snapToGrid/>
          <w:kern w:val="0"/>
        </w:rPr>
        <w:tab/>
      </w:r>
      <w:r>
        <w:rPr>
          <w:snapToGrid/>
          <w:kern w:val="0"/>
        </w:rPr>
        <w:tab/>
      </w:r>
      <w:r>
        <w:rPr>
          <w:snapToGrid/>
          <w:kern w:val="0"/>
        </w:rPr>
        <w:tab/>
        <w:t>266C1</w:t>
      </w:r>
    </w:p>
    <w:p w:rsidR="00032B45" w:rsidP="00271D74" w14:paraId="2D2D1EA0" w14:textId="72B054F4">
      <w:pPr>
        <w:widowControl/>
        <w:tabs>
          <w:tab w:val="left" w:pos="1440"/>
          <w:tab w:val="left" w:pos="4140"/>
          <w:tab w:val="left" w:pos="4320"/>
          <w:tab w:val="left" w:pos="5760"/>
          <w:tab w:val="left" w:pos="7200"/>
          <w:tab w:val="left" w:pos="7380"/>
        </w:tabs>
        <w:spacing w:after="220"/>
        <w:ind w:firstLine="720"/>
        <w:jc w:val="both"/>
        <w:rPr>
          <w:snapToGrid/>
          <w:kern w:val="0"/>
        </w:rPr>
      </w:pPr>
      <w:r>
        <w:rPr>
          <w:snapToGrid/>
          <w:kern w:val="0"/>
        </w:rPr>
        <w:t>Lake Village, Arkansas</w:t>
      </w:r>
      <w:r>
        <w:rPr>
          <w:snapToGrid/>
          <w:kern w:val="0"/>
        </w:rPr>
        <w:tab/>
      </w:r>
      <w:r>
        <w:rPr>
          <w:snapToGrid/>
          <w:kern w:val="0"/>
        </w:rPr>
        <w:tab/>
        <w:t>------------------</w:t>
      </w:r>
      <w:r>
        <w:rPr>
          <w:snapToGrid/>
          <w:kern w:val="0"/>
        </w:rPr>
        <w:tab/>
      </w:r>
      <w:r>
        <w:rPr>
          <w:snapToGrid/>
          <w:kern w:val="0"/>
        </w:rPr>
        <w:tab/>
      </w:r>
      <w:r>
        <w:rPr>
          <w:snapToGrid/>
          <w:kern w:val="0"/>
        </w:rPr>
        <w:tab/>
        <w:t>278C3</w:t>
      </w:r>
    </w:p>
    <w:p w:rsidR="00853C4F" w:rsidP="00271D74" w14:paraId="71B801E2" w14:textId="233A15CA">
      <w:pPr>
        <w:widowControl/>
        <w:tabs>
          <w:tab w:val="left" w:pos="1440"/>
          <w:tab w:val="left" w:pos="4140"/>
          <w:tab w:val="left" w:pos="4320"/>
          <w:tab w:val="left" w:pos="5760"/>
          <w:tab w:val="left" w:pos="7200"/>
          <w:tab w:val="left" w:pos="7380"/>
        </w:tabs>
        <w:spacing w:after="220"/>
        <w:ind w:firstLine="720"/>
        <w:jc w:val="both"/>
        <w:rPr>
          <w:snapToGrid/>
          <w:kern w:val="0"/>
        </w:rPr>
      </w:pPr>
      <w:r w:rsidRPr="00853C4F">
        <w:rPr>
          <w:snapToGrid/>
          <w:kern w:val="0"/>
        </w:rPr>
        <w:t>Kettleman City</w:t>
      </w:r>
      <w:r>
        <w:rPr>
          <w:snapToGrid/>
          <w:kern w:val="0"/>
        </w:rPr>
        <w:t>, California</w:t>
      </w:r>
      <w:r>
        <w:rPr>
          <w:snapToGrid/>
          <w:kern w:val="0"/>
        </w:rPr>
        <w:tab/>
      </w:r>
      <w:r>
        <w:rPr>
          <w:snapToGrid/>
          <w:kern w:val="0"/>
        </w:rPr>
        <w:tab/>
        <w:t>-----------------</w:t>
      </w:r>
      <w:r w:rsidR="001B22C7">
        <w:rPr>
          <w:snapToGrid/>
          <w:kern w:val="0"/>
        </w:rPr>
        <w:tab/>
      </w:r>
      <w:r w:rsidR="001B22C7">
        <w:rPr>
          <w:snapToGrid/>
          <w:kern w:val="0"/>
        </w:rPr>
        <w:tab/>
      </w:r>
      <w:r w:rsidR="001B22C7">
        <w:rPr>
          <w:snapToGrid/>
          <w:kern w:val="0"/>
        </w:rPr>
        <w:tab/>
        <w:t>299A</w:t>
      </w:r>
    </w:p>
    <w:p w:rsidR="001B22C7" w:rsidP="00271D74" w14:paraId="06629B49" w14:textId="751E9712">
      <w:pPr>
        <w:widowControl/>
        <w:tabs>
          <w:tab w:val="left" w:pos="1440"/>
          <w:tab w:val="left" w:pos="4140"/>
          <w:tab w:val="left" w:pos="4320"/>
          <w:tab w:val="left" w:pos="5760"/>
          <w:tab w:val="left" w:pos="7200"/>
          <w:tab w:val="left" w:pos="7380"/>
        </w:tabs>
        <w:spacing w:after="220"/>
        <w:ind w:firstLine="720"/>
        <w:jc w:val="both"/>
        <w:rPr>
          <w:snapToGrid/>
          <w:kern w:val="0"/>
        </w:rPr>
      </w:pPr>
      <w:r>
        <w:rPr>
          <w:snapToGrid/>
          <w:kern w:val="0"/>
        </w:rPr>
        <w:t>Tecopa, California</w:t>
      </w:r>
      <w:r>
        <w:rPr>
          <w:snapToGrid/>
          <w:kern w:val="0"/>
        </w:rPr>
        <w:tab/>
      </w:r>
      <w:r>
        <w:rPr>
          <w:snapToGrid/>
          <w:kern w:val="0"/>
        </w:rPr>
        <w:tab/>
        <w:t>-----------------</w:t>
      </w:r>
      <w:r>
        <w:rPr>
          <w:snapToGrid/>
          <w:kern w:val="0"/>
        </w:rPr>
        <w:tab/>
      </w:r>
      <w:r>
        <w:rPr>
          <w:snapToGrid/>
          <w:kern w:val="0"/>
        </w:rPr>
        <w:tab/>
      </w:r>
      <w:r>
        <w:rPr>
          <w:snapToGrid/>
          <w:kern w:val="0"/>
        </w:rPr>
        <w:tab/>
        <w:t>288A</w:t>
      </w:r>
    </w:p>
    <w:p w:rsidR="00271D74" w:rsidP="00271D74" w14:paraId="0BCBDC2C" w14:textId="2B096F4E">
      <w:pPr>
        <w:widowControl/>
        <w:tabs>
          <w:tab w:val="left" w:pos="1440"/>
          <w:tab w:val="left" w:pos="4140"/>
          <w:tab w:val="left" w:pos="4320"/>
          <w:tab w:val="left" w:pos="5760"/>
          <w:tab w:val="left" w:pos="7200"/>
          <w:tab w:val="left" w:pos="7380"/>
        </w:tabs>
        <w:spacing w:after="220"/>
        <w:ind w:firstLine="720"/>
        <w:jc w:val="both"/>
        <w:rPr>
          <w:snapToGrid/>
          <w:kern w:val="0"/>
        </w:rPr>
      </w:pPr>
      <w:r>
        <w:rPr>
          <w:snapToGrid/>
          <w:kern w:val="0"/>
        </w:rPr>
        <w:t>Wasco, California</w:t>
      </w:r>
      <w:r>
        <w:rPr>
          <w:snapToGrid/>
          <w:kern w:val="0"/>
        </w:rPr>
        <w:tab/>
        <w:t xml:space="preserve">   ------------------</w:t>
      </w:r>
      <w:r>
        <w:rPr>
          <w:snapToGrid/>
          <w:kern w:val="0"/>
        </w:rPr>
        <w:tab/>
      </w:r>
      <w:r>
        <w:rPr>
          <w:snapToGrid/>
          <w:kern w:val="0"/>
        </w:rPr>
        <w:tab/>
      </w:r>
      <w:r>
        <w:rPr>
          <w:snapToGrid/>
          <w:kern w:val="0"/>
        </w:rPr>
        <w:tab/>
        <w:t>224A</w:t>
      </w:r>
    </w:p>
    <w:p w:rsidR="00271D74" w:rsidRPr="00271D74" w:rsidP="00271D74" w14:paraId="38700198" w14:textId="46C6C30B">
      <w:pPr>
        <w:widowControl/>
        <w:tabs>
          <w:tab w:val="left" w:pos="1440"/>
          <w:tab w:val="left" w:pos="4140"/>
          <w:tab w:val="left" w:pos="4320"/>
          <w:tab w:val="left" w:pos="5760"/>
          <w:tab w:val="left" w:pos="6480"/>
          <w:tab w:val="left" w:pos="7200"/>
          <w:tab w:val="left" w:pos="7380"/>
        </w:tabs>
        <w:spacing w:after="220"/>
        <w:ind w:firstLine="720"/>
        <w:jc w:val="both"/>
        <w:rPr>
          <w:snapToGrid/>
          <w:kern w:val="0"/>
        </w:rPr>
      </w:pPr>
      <w:r w:rsidRPr="00271D74">
        <w:rPr>
          <w:snapToGrid/>
          <w:kern w:val="0"/>
        </w:rPr>
        <w:t>Bear Lake, M</w:t>
      </w:r>
      <w:r>
        <w:rPr>
          <w:snapToGrid/>
          <w:kern w:val="0"/>
        </w:rPr>
        <w:t>ichigan</w:t>
      </w:r>
      <w:r>
        <w:rPr>
          <w:snapToGrid/>
          <w:kern w:val="0"/>
        </w:rPr>
        <w:tab/>
        <w:t xml:space="preserve">  </w:t>
      </w:r>
      <w:r>
        <w:rPr>
          <w:snapToGrid/>
          <w:kern w:val="0"/>
        </w:rPr>
        <w:tab/>
        <w:t>------------------</w:t>
      </w:r>
      <w:r>
        <w:rPr>
          <w:snapToGrid/>
          <w:kern w:val="0"/>
        </w:rPr>
        <w:tab/>
      </w:r>
      <w:r>
        <w:rPr>
          <w:snapToGrid/>
          <w:kern w:val="0"/>
        </w:rPr>
        <w:tab/>
      </w:r>
      <w:r>
        <w:rPr>
          <w:snapToGrid/>
          <w:kern w:val="0"/>
        </w:rPr>
        <w:tab/>
      </w:r>
      <w:r>
        <w:rPr>
          <w:snapToGrid/>
          <w:kern w:val="0"/>
        </w:rPr>
        <w:tab/>
        <w:t>264C3</w:t>
      </w:r>
      <w:r>
        <w:rPr>
          <w:snapToGrid/>
          <w:kern w:val="0"/>
        </w:rPr>
        <w:tab/>
      </w:r>
      <w:r>
        <w:rPr>
          <w:snapToGrid/>
          <w:kern w:val="0"/>
        </w:rPr>
        <w:tab/>
      </w:r>
    </w:p>
    <w:p w:rsidR="009571C1" w:rsidP="009702C4" w14:paraId="61D27898" w14:textId="5678EBFF">
      <w:pPr>
        <w:widowControl/>
        <w:tabs>
          <w:tab w:val="left" w:pos="1440"/>
          <w:tab w:val="left" w:pos="4140"/>
          <w:tab w:val="left" w:pos="4320"/>
          <w:tab w:val="left" w:pos="5760"/>
          <w:tab w:val="left" w:pos="6480"/>
          <w:tab w:val="left" w:pos="7200"/>
          <w:tab w:val="left" w:pos="7380"/>
        </w:tabs>
        <w:spacing w:after="220"/>
        <w:ind w:firstLine="720"/>
        <w:jc w:val="both"/>
        <w:rPr>
          <w:snapToGrid/>
          <w:kern w:val="0"/>
        </w:rPr>
      </w:pPr>
      <w:r w:rsidRPr="009571C1">
        <w:rPr>
          <w:snapToGrid/>
          <w:kern w:val="0"/>
        </w:rPr>
        <w:t>Grand Portage</w:t>
      </w:r>
      <w:r w:rsidR="00AB79A6">
        <w:rPr>
          <w:snapToGrid/>
          <w:kern w:val="0"/>
        </w:rPr>
        <w:t>,</w:t>
      </w:r>
      <w:r w:rsidRPr="009571C1">
        <w:rPr>
          <w:snapToGrid/>
          <w:kern w:val="0"/>
        </w:rPr>
        <w:t xml:space="preserve"> M</w:t>
      </w:r>
      <w:r>
        <w:rPr>
          <w:snapToGrid/>
          <w:kern w:val="0"/>
        </w:rPr>
        <w:t>innesota</w:t>
      </w:r>
      <w:r>
        <w:rPr>
          <w:snapToGrid/>
          <w:kern w:val="0"/>
        </w:rPr>
        <w:tab/>
      </w:r>
      <w:r>
        <w:rPr>
          <w:snapToGrid/>
          <w:kern w:val="0"/>
        </w:rPr>
        <w:tab/>
        <w:t>------------------</w:t>
      </w:r>
      <w:r>
        <w:rPr>
          <w:snapToGrid/>
          <w:kern w:val="0"/>
        </w:rPr>
        <w:tab/>
      </w:r>
      <w:r>
        <w:rPr>
          <w:snapToGrid/>
          <w:kern w:val="0"/>
        </w:rPr>
        <w:tab/>
      </w:r>
      <w:r>
        <w:rPr>
          <w:snapToGrid/>
          <w:kern w:val="0"/>
        </w:rPr>
        <w:tab/>
      </w:r>
      <w:r>
        <w:rPr>
          <w:snapToGrid/>
          <w:kern w:val="0"/>
        </w:rPr>
        <w:tab/>
        <w:t>251A</w:t>
      </w:r>
    </w:p>
    <w:p w:rsidR="00271D74" w:rsidP="009702C4" w14:paraId="37381FFE" w14:textId="46680140">
      <w:pPr>
        <w:widowControl/>
        <w:tabs>
          <w:tab w:val="left" w:pos="1440"/>
          <w:tab w:val="left" w:pos="4140"/>
          <w:tab w:val="left" w:pos="4320"/>
          <w:tab w:val="left" w:pos="5760"/>
          <w:tab w:val="left" w:pos="6480"/>
          <w:tab w:val="left" w:pos="7200"/>
          <w:tab w:val="left" w:pos="7380"/>
        </w:tabs>
        <w:spacing w:after="220"/>
        <w:ind w:firstLine="720"/>
        <w:jc w:val="both"/>
        <w:rPr>
          <w:snapToGrid/>
          <w:kern w:val="0"/>
        </w:rPr>
      </w:pPr>
      <w:r w:rsidRPr="00271D74">
        <w:rPr>
          <w:snapToGrid/>
          <w:kern w:val="0"/>
        </w:rPr>
        <w:t>Bunker, M</w:t>
      </w:r>
      <w:r>
        <w:rPr>
          <w:snapToGrid/>
          <w:kern w:val="0"/>
        </w:rPr>
        <w:t>issouri</w:t>
      </w:r>
      <w:r w:rsidR="009702C4">
        <w:rPr>
          <w:snapToGrid/>
          <w:kern w:val="0"/>
        </w:rPr>
        <w:tab/>
      </w:r>
      <w:r w:rsidR="009702C4">
        <w:rPr>
          <w:snapToGrid/>
          <w:kern w:val="0"/>
        </w:rPr>
        <w:tab/>
        <w:t>------------------</w:t>
      </w:r>
      <w:r w:rsidR="009702C4">
        <w:rPr>
          <w:snapToGrid/>
          <w:kern w:val="0"/>
        </w:rPr>
        <w:tab/>
      </w:r>
      <w:r w:rsidR="009702C4">
        <w:rPr>
          <w:snapToGrid/>
          <w:kern w:val="0"/>
        </w:rPr>
        <w:tab/>
      </w:r>
      <w:r w:rsidR="009702C4">
        <w:rPr>
          <w:snapToGrid/>
          <w:kern w:val="0"/>
        </w:rPr>
        <w:tab/>
      </w:r>
      <w:r w:rsidR="009702C4">
        <w:rPr>
          <w:snapToGrid/>
          <w:kern w:val="0"/>
        </w:rPr>
        <w:tab/>
        <w:t>292C3</w:t>
      </w:r>
    </w:p>
    <w:p w:rsidR="009571C1" w:rsidP="009702C4" w14:paraId="1F04D2F6" w14:textId="52945C1E">
      <w:pPr>
        <w:widowControl/>
        <w:tabs>
          <w:tab w:val="left" w:pos="1440"/>
          <w:tab w:val="left" w:pos="4140"/>
          <w:tab w:val="left" w:pos="4320"/>
          <w:tab w:val="left" w:pos="5760"/>
          <w:tab w:val="left" w:pos="6480"/>
          <w:tab w:val="left" w:pos="7200"/>
          <w:tab w:val="left" w:pos="7380"/>
        </w:tabs>
        <w:spacing w:after="220"/>
        <w:ind w:firstLine="720"/>
        <w:jc w:val="both"/>
        <w:rPr>
          <w:snapToGrid/>
          <w:kern w:val="0"/>
        </w:rPr>
      </w:pPr>
      <w:r w:rsidRPr="009571C1">
        <w:rPr>
          <w:snapToGrid/>
          <w:kern w:val="0"/>
        </w:rPr>
        <w:t>Greenwood</w:t>
      </w:r>
      <w:r w:rsidR="00D62403">
        <w:rPr>
          <w:snapToGrid/>
          <w:kern w:val="0"/>
        </w:rPr>
        <w:t>,</w:t>
      </w:r>
      <w:r w:rsidRPr="009571C1">
        <w:rPr>
          <w:snapToGrid/>
          <w:kern w:val="0"/>
        </w:rPr>
        <w:t xml:space="preserve"> M</w:t>
      </w:r>
      <w:r>
        <w:rPr>
          <w:snapToGrid/>
          <w:kern w:val="0"/>
        </w:rPr>
        <w:t>ississippi</w:t>
      </w:r>
      <w:r>
        <w:rPr>
          <w:snapToGrid/>
          <w:kern w:val="0"/>
        </w:rPr>
        <w:tab/>
      </w:r>
      <w:r>
        <w:rPr>
          <w:snapToGrid/>
          <w:kern w:val="0"/>
        </w:rPr>
        <w:tab/>
        <w:t>------------------</w:t>
      </w:r>
      <w:r>
        <w:rPr>
          <w:snapToGrid/>
          <w:kern w:val="0"/>
        </w:rPr>
        <w:tab/>
      </w:r>
      <w:r>
        <w:rPr>
          <w:snapToGrid/>
          <w:kern w:val="0"/>
        </w:rPr>
        <w:tab/>
      </w:r>
      <w:r>
        <w:rPr>
          <w:snapToGrid/>
          <w:kern w:val="0"/>
        </w:rPr>
        <w:tab/>
      </w:r>
      <w:r>
        <w:rPr>
          <w:snapToGrid/>
          <w:kern w:val="0"/>
        </w:rPr>
        <w:tab/>
        <w:t>230C3</w:t>
      </w:r>
    </w:p>
    <w:p w:rsidR="00032B45" w:rsidP="009702C4" w14:paraId="1D35428E" w14:textId="4C19804E">
      <w:pPr>
        <w:widowControl/>
        <w:tabs>
          <w:tab w:val="left" w:pos="1440"/>
          <w:tab w:val="left" w:pos="4140"/>
          <w:tab w:val="left" w:pos="4320"/>
          <w:tab w:val="left" w:pos="5760"/>
          <w:tab w:val="left" w:pos="6480"/>
          <w:tab w:val="left" w:pos="7200"/>
          <w:tab w:val="left" w:pos="7380"/>
        </w:tabs>
        <w:spacing w:after="220"/>
        <w:ind w:firstLine="720"/>
        <w:jc w:val="both"/>
        <w:rPr>
          <w:snapToGrid/>
          <w:kern w:val="0"/>
        </w:rPr>
      </w:pPr>
      <w:r>
        <w:rPr>
          <w:snapToGrid/>
          <w:kern w:val="0"/>
        </w:rPr>
        <w:t>Clovis, New Mexico</w:t>
      </w:r>
      <w:r>
        <w:rPr>
          <w:snapToGrid/>
          <w:kern w:val="0"/>
        </w:rPr>
        <w:tab/>
      </w:r>
      <w:r>
        <w:rPr>
          <w:snapToGrid/>
          <w:kern w:val="0"/>
        </w:rPr>
        <w:tab/>
        <w:t>------------------</w:t>
      </w:r>
      <w:r>
        <w:rPr>
          <w:snapToGrid/>
          <w:kern w:val="0"/>
        </w:rPr>
        <w:tab/>
      </w:r>
      <w:r>
        <w:rPr>
          <w:snapToGrid/>
          <w:kern w:val="0"/>
        </w:rPr>
        <w:tab/>
      </w:r>
      <w:r>
        <w:rPr>
          <w:snapToGrid/>
          <w:kern w:val="0"/>
        </w:rPr>
        <w:tab/>
      </w:r>
      <w:r>
        <w:rPr>
          <w:snapToGrid/>
          <w:kern w:val="0"/>
        </w:rPr>
        <w:tab/>
        <w:t>272C3</w:t>
      </w:r>
    </w:p>
    <w:p w:rsidR="00271D74" w:rsidP="00271D74" w14:paraId="449C1BEB" w14:textId="0F0268BF">
      <w:pPr>
        <w:widowControl/>
        <w:tabs>
          <w:tab w:val="left" w:pos="1440"/>
          <w:tab w:val="left" w:pos="4140"/>
          <w:tab w:val="left" w:pos="4320"/>
          <w:tab w:val="left" w:pos="5760"/>
          <w:tab w:val="left" w:pos="6480"/>
          <w:tab w:val="left" w:pos="7200"/>
          <w:tab w:val="left" w:pos="7380"/>
        </w:tabs>
        <w:spacing w:after="220"/>
        <w:ind w:firstLine="720"/>
        <w:jc w:val="both"/>
        <w:rPr>
          <w:snapToGrid/>
          <w:kern w:val="0"/>
        </w:rPr>
      </w:pPr>
      <w:r w:rsidRPr="00271D74">
        <w:rPr>
          <w:snapToGrid/>
          <w:kern w:val="0"/>
        </w:rPr>
        <w:t>Owyhee, N</w:t>
      </w:r>
      <w:r>
        <w:rPr>
          <w:snapToGrid/>
          <w:kern w:val="0"/>
        </w:rPr>
        <w:t>evada</w:t>
      </w:r>
      <w:r>
        <w:rPr>
          <w:snapToGrid/>
          <w:kern w:val="0"/>
        </w:rPr>
        <w:tab/>
        <w:t xml:space="preserve">         247C3</w:t>
      </w:r>
      <w:r>
        <w:rPr>
          <w:snapToGrid/>
          <w:kern w:val="0"/>
        </w:rPr>
        <w:tab/>
      </w:r>
      <w:r>
        <w:rPr>
          <w:snapToGrid/>
          <w:kern w:val="0"/>
        </w:rPr>
        <w:tab/>
      </w:r>
      <w:r>
        <w:rPr>
          <w:snapToGrid/>
          <w:kern w:val="0"/>
        </w:rPr>
        <w:tab/>
      </w:r>
      <w:r>
        <w:rPr>
          <w:snapToGrid/>
          <w:kern w:val="0"/>
        </w:rPr>
        <w:tab/>
        <w:t>247C1</w:t>
      </w:r>
    </w:p>
    <w:p w:rsidR="00032B45" w:rsidP="00271D74" w14:paraId="6A792B92" w14:textId="798E69DD">
      <w:pPr>
        <w:widowControl/>
        <w:tabs>
          <w:tab w:val="left" w:pos="1440"/>
          <w:tab w:val="left" w:pos="4140"/>
          <w:tab w:val="left" w:pos="4320"/>
          <w:tab w:val="left" w:pos="5760"/>
          <w:tab w:val="left" w:pos="6480"/>
          <w:tab w:val="left" w:pos="7200"/>
          <w:tab w:val="left" w:pos="7380"/>
        </w:tabs>
        <w:spacing w:after="220"/>
        <w:ind w:firstLine="720"/>
        <w:jc w:val="both"/>
        <w:rPr>
          <w:snapToGrid/>
          <w:kern w:val="0"/>
        </w:rPr>
      </w:pPr>
      <w:r>
        <w:rPr>
          <w:snapToGrid/>
          <w:kern w:val="0"/>
        </w:rPr>
        <w:t>Junction, Texas</w:t>
      </w:r>
      <w:r>
        <w:rPr>
          <w:snapToGrid/>
          <w:kern w:val="0"/>
        </w:rPr>
        <w:tab/>
      </w:r>
      <w:r>
        <w:rPr>
          <w:snapToGrid/>
          <w:kern w:val="0"/>
        </w:rPr>
        <w:tab/>
        <w:t>-------------------</w:t>
      </w:r>
      <w:r>
        <w:rPr>
          <w:snapToGrid/>
          <w:kern w:val="0"/>
        </w:rPr>
        <w:tab/>
      </w:r>
      <w:r>
        <w:rPr>
          <w:snapToGrid/>
          <w:kern w:val="0"/>
        </w:rPr>
        <w:tab/>
      </w:r>
      <w:r>
        <w:rPr>
          <w:snapToGrid/>
          <w:kern w:val="0"/>
        </w:rPr>
        <w:tab/>
      </w:r>
      <w:r>
        <w:rPr>
          <w:snapToGrid/>
          <w:kern w:val="0"/>
        </w:rPr>
        <w:tab/>
        <w:t>228C2, 290A</w:t>
      </w:r>
    </w:p>
    <w:p w:rsidR="00271D74" w:rsidP="00271D74" w14:paraId="68BBA768" w14:textId="167D4883">
      <w:pPr>
        <w:widowControl/>
        <w:tabs>
          <w:tab w:val="left" w:pos="1440"/>
          <w:tab w:val="left" w:pos="4140"/>
          <w:tab w:val="left" w:pos="4320"/>
          <w:tab w:val="left" w:pos="5760"/>
          <w:tab w:val="left" w:pos="6480"/>
          <w:tab w:val="left" w:pos="7200"/>
          <w:tab w:val="left" w:pos="7380"/>
        </w:tabs>
        <w:spacing w:after="220"/>
        <w:ind w:firstLine="720"/>
        <w:jc w:val="both"/>
        <w:rPr>
          <w:snapToGrid/>
          <w:kern w:val="0"/>
        </w:rPr>
      </w:pPr>
      <w:r>
        <w:rPr>
          <w:snapToGrid/>
          <w:kern w:val="0"/>
        </w:rPr>
        <w:t>Sonora, Texas</w:t>
      </w:r>
      <w:r>
        <w:rPr>
          <w:snapToGrid/>
          <w:kern w:val="0"/>
        </w:rPr>
        <w:tab/>
      </w:r>
      <w:r>
        <w:rPr>
          <w:snapToGrid/>
          <w:kern w:val="0"/>
        </w:rPr>
        <w:tab/>
        <w:t>------------------</w:t>
      </w:r>
      <w:r>
        <w:rPr>
          <w:snapToGrid/>
          <w:kern w:val="0"/>
        </w:rPr>
        <w:tab/>
      </w:r>
      <w:r>
        <w:rPr>
          <w:snapToGrid/>
          <w:kern w:val="0"/>
        </w:rPr>
        <w:tab/>
      </w:r>
      <w:r>
        <w:rPr>
          <w:snapToGrid/>
          <w:kern w:val="0"/>
        </w:rPr>
        <w:tab/>
      </w:r>
      <w:r>
        <w:rPr>
          <w:snapToGrid/>
          <w:kern w:val="0"/>
        </w:rPr>
        <w:tab/>
        <w:t>272C3</w:t>
      </w:r>
    </w:p>
    <w:p w:rsidR="009571C1" w:rsidRPr="0095485A" w:rsidP="00271D74" w14:paraId="5F539544" w14:textId="11521A03">
      <w:pPr>
        <w:widowControl/>
        <w:tabs>
          <w:tab w:val="left" w:pos="1440"/>
          <w:tab w:val="left" w:pos="4140"/>
          <w:tab w:val="left" w:pos="4320"/>
          <w:tab w:val="left" w:pos="5760"/>
          <w:tab w:val="left" w:pos="6480"/>
          <w:tab w:val="left" w:pos="7200"/>
          <w:tab w:val="left" w:pos="7380"/>
        </w:tabs>
        <w:spacing w:after="220"/>
        <w:ind w:firstLine="720"/>
        <w:jc w:val="both"/>
        <w:rPr>
          <w:snapToGrid/>
          <w:kern w:val="0"/>
        </w:rPr>
      </w:pPr>
      <w:r w:rsidRPr="009571C1">
        <w:rPr>
          <w:snapToGrid/>
          <w:kern w:val="0"/>
        </w:rPr>
        <w:t>Barton</w:t>
      </w:r>
      <w:r w:rsidR="00AB79A6">
        <w:rPr>
          <w:snapToGrid/>
          <w:kern w:val="0"/>
        </w:rPr>
        <w:t>,</w:t>
      </w:r>
      <w:r w:rsidRPr="009571C1">
        <w:rPr>
          <w:snapToGrid/>
          <w:kern w:val="0"/>
        </w:rPr>
        <w:t xml:space="preserve"> V</w:t>
      </w:r>
      <w:r>
        <w:rPr>
          <w:snapToGrid/>
          <w:kern w:val="0"/>
        </w:rPr>
        <w:t>ermont</w:t>
      </w:r>
      <w:r>
        <w:rPr>
          <w:snapToGrid/>
          <w:kern w:val="0"/>
        </w:rPr>
        <w:tab/>
      </w:r>
      <w:r>
        <w:rPr>
          <w:snapToGrid/>
          <w:kern w:val="0"/>
        </w:rPr>
        <w:tab/>
        <w:t>------------------</w:t>
      </w:r>
      <w:r>
        <w:rPr>
          <w:snapToGrid/>
          <w:kern w:val="0"/>
        </w:rPr>
        <w:tab/>
      </w:r>
      <w:r>
        <w:rPr>
          <w:snapToGrid/>
          <w:kern w:val="0"/>
        </w:rPr>
        <w:tab/>
      </w:r>
      <w:r>
        <w:rPr>
          <w:snapToGrid/>
          <w:kern w:val="0"/>
        </w:rPr>
        <w:tab/>
      </w:r>
      <w:r>
        <w:rPr>
          <w:snapToGrid/>
          <w:kern w:val="0"/>
        </w:rPr>
        <w:tab/>
        <w:t>262A</w:t>
      </w:r>
    </w:p>
    <w:p w:rsidR="0095485A" w:rsidP="00A85A7B" w14:paraId="57C74699" w14:textId="77777777">
      <w:pPr>
        <w:ind w:left="3600" w:firstLine="720"/>
      </w:pPr>
    </w:p>
    <w:sectPr w:rsidSect="0023200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55614C" w14:paraId="094A7764" w14:textId="77777777">
    <w:pPr>
      <w:pStyle w:val="Footer"/>
      <w:framePr w:wrap="around" w:vAnchor="text" w:hAnchor="margin" w:xAlign="center" w:y="1"/>
    </w:pPr>
    <w:r>
      <w:fldChar w:fldCharType="begin"/>
    </w:r>
    <w:r>
      <w:instrText xml:space="preserve">PAGE  </w:instrText>
    </w:r>
    <w:r w:rsidR="009B3BB9">
      <w:fldChar w:fldCharType="separate"/>
    </w:r>
    <w:r>
      <w:fldChar w:fldCharType="end"/>
    </w:r>
  </w:p>
  <w:p w:rsidR="00C2209B" w14:paraId="08D2F5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130ABE" w14:paraId="265CF8C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14:paraId="42FA2CC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6F58" w14:paraId="51462235" w14:textId="77777777">
      <w:r>
        <w:separator/>
      </w:r>
    </w:p>
  </w:footnote>
  <w:footnote w:type="continuationSeparator" w:id="1">
    <w:p w:rsidR="00B26F58" w:rsidP="00C721AC" w14:paraId="7FED38BA" w14:textId="77777777">
      <w:pPr>
        <w:spacing w:before="120"/>
        <w:rPr>
          <w:sz w:val="20"/>
        </w:rPr>
      </w:pPr>
      <w:r>
        <w:rPr>
          <w:sz w:val="20"/>
        </w:rPr>
        <w:t xml:space="preserve">(Continued from previous page)  </w:t>
      </w:r>
      <w:r>
        <w:rPr>
          <w:sz w:val="20"/>
        </w:rPr>
        <w:separator/>
      </w:r>
    </w:p>
  </w:footnote>
  <w:footnote w:type="continuationNotice" w:id="2">
    <w:p w:rsidR="00B26F58" w:rsidP="00C721AC" w14:paraId="66DBAB7C" w14:textId="77777777">
      <w:pPr>
        <w:jc w:val="right"/>
        <w:rPr>
          <w:sz w:val="20"/>
        </w:rPr>
      </w:pPr>
      <w:r>
        <w:rPr>
          <w:sz w:val="20"/>
        </w:rPr>
        <w:t>(continued….)</w:t>
      </w:r>
    </w:p>
  </w:footnote>
  <w:footnote w:id="3">
    <w:p w:rsidR="008841E9" w:rsidP="008841E9" w14:paraId="76D473BE" w14:textId="77777777">
      <w:pPr>
        <w:pStyle w:val="FootnoteText"/>
      </w:pPr>
      <w:r>
        <w:rPr>
          <w:rStyle w:val="FootnoteReference"/>
        </w:rPr>
        <w:footnoteRef/>
      </w:r>
      <w:r>
        <w:t xml:space="preserve"> </w:t>
      </w:r>
      <w:r w:rsidRPr="00B571E6">
        <w:t>47 CFR § 73.202(b).</w:t>
      </w:r>
    </w:p>
  </w:footnote>
  <w:footnote w:id="4">
    <w:p w:rsidR="00B571E6" w14:paraId="0EA0FE5D" w14:textId="6CF37A27">
      <w:pPr>
        <w:pStyle w:val="FootnoteText"/>
      </w:pPr>
      <w:r>
        <w:rPr>
          <w:rStyle w:val="FootnoteReference"/>
        </w:rPr>
        <w:footnoteRef/>
      </w:r>
      <w:r>
        <w:t xml:space="preserve"> </w:t>
      </w:r>
      <w:r w:rsidRPr="00B571E6">
        <w:rPr>
          <w:i/>
        </w:rPr>
        <w:t xml:space="preserve">See Revision of Procedures Governing Amendments to FM Table of Allotments and Changes of Community of License in the Radio Broadcast Services, </w:t>
      </w:r>
      <w:r w:rsidRPr="00B571E6">
        <w:t xml:space="preserve">Report and Order, 21 FCC Rcd 14212, 14221, ¶ 15 (2006), </w:t>
      </w:r>
      <w:r w:rsidRPr="00964529">
        <w:rPr>
          <w:i/>
        </w:rPr>
        <w:t>recon. pending</w:t>
      </w:r>
      <w:r w:rsidRPr="00B571E6">
        <w:t xml:space="preserve"> (“</w:t>
      </w:r>
      <w:r w:rsidRPr="00B571E6">
        <w:rPr>
          <w:i/>
        </w:rPr>
        <w:t>Changes of Community R&amp;O</w:t>
      </w:r>
      <w:r w:rsidRPr="00B571E6">
        <w:t xml:space="preserve">”). </w:t>
      </w:r>
    </w:p>
  </w:footnote>
  <w:footnote w:id="5">
    <w:p w:rsidR="00B571E6" w:rsidRPr="00B571E6" w14:paraId="0E9997C3" w14:textId="36241579">
      <w:pPr>
        <w:pStyle w:val="FootnoteText"/>
        <w:rPr>
          <w:i/>
          <w:iCs/>
        </w:rPr>
      </w:pPr>
      <w:r>
        <w:rPr>
          <w:rStyle w:val="FootnoteReference"/>
        </w:rPr>
        <w:footnoteRef/>
      </w:r>
      <w:r>
        <w:t xml:space="preserve"> </w:t>
      </w:r>
      <w:r>
        <w:rPr>
          <w:i/>
          <w:iCs/>
        </w:rPr>
        <w:t>Id.</w:t>
      </w:r>
    </w:p>
  </w:footnote>
  <w:footnote w:id="6">
    <w:p w:rsidR="00CF64F6" w14:paraId="681B5DA3" w14:textId="193F2428">
      <w:pPr>
        <w:pStyle w:val="FootnoteText"/>
      </w:pPr>
      <w:r>
        <w:rPr>
          <w:rStyle w:val="FootnoteReference"/>
        </w:rPr>
        <w:footnoteRef/>
      </w:r>
      <w:r>
        <w:t xml:space="preserve"> </w:t>
      </w:r>
      <w:r w:rsidRPr="00CF64F6">
        <w:t xml:space="preserve">47 CFR </w:t>
      </w:r>
      <w:bookmarkStart w:id="4" w:name="_Hlk126058544"/>
      <w:r w:rsidRPr="00CF64F6">
        <w:t>§</w:t>
      </w:r>
      <w:bookmarkEnd w:id="4"/>
      <w:r w:rsidRPr="00CF64F6">
        <w:t>§ 73.207</w:t>
      </w:r>
      <w:r>
        <w:t xml:space="preserve"> and 73.</w:t>
      </w:r>
      <w:r w:rsidR="00A90D4A">
        <w:t>315</w:t>
      </w:r>
      <w:r>
        <w:t>.</w:t>
      </w:r>
    </w:p>
  </w:footnote>
  <w:footnote w:id="7">
    <w:p w:rsidR="00832A21" w:rsidP="00832A21" w14:paraId="6617DA0A" w14:textId="77777777">
      <w:pPr>
        <w:pStyle w:val="FootnoteText"/>
        <w:spacing w:after="0"/>
      </w:pPr>
      <w:r>
        <w:rPr>
          <w:rStyle w:val="FootnoteReference"/>
        </w:rPr>
        <w:footnoteRef/>
      </w:r>
      <w:r>
        <w:t xml:space="preserve"> </w:t>
      </w:r>
      <w:r>
        <w:rPr>
          <w:i/>
        </w:rPr>
        <w:t xml:space="preserve">See </w:t>
      </w:r>
      <w:r>
        <w:t xml:space="preserve">5 U.S.C. § 553(b)(B) (stating that agency may forego notice and comment procedures if it provides a brief statement of reasons showing that such procedures are unnecessary).  </w:t>
      </w:r>
    </w:p>
    <w:p w:rsidR="00832A21" w:rsidP="00832A21" w14:paraId="3C149630" w14:textId="77777777">
      <w:pPr>
        <w:pStyle w:val="FootnoteText"/>
      </w:pPr>
    </w:p>
  </w:footnote>
  <w:footnote w:id="8">
    <w:p w:rsidR="00F15288" w:rsidP="00F15288" w14:paraId="3DFC9DE8"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9">
    <w:p w:rsidR="00F15288" w:rsidP="00F15288" w14:paraId="1F429A76" w14:textId="77777777">
      <w:pPr>
        <w:pStyle w:val="FootnoteText"/>
        <w:widowControl w:val="0"/>
      </w:pPr>
      <w:r>
        <w:rPr>
          <w:rStyle w:val="FootnoteReference"/>
        </w:rPr>
        <w:footnoteRef/>
      </w:r>
      <w:r>
        <w:t xml:space="preserve"> </w:t>
      </w:r>
      <w:r w:rsidRPr="009F2562">
        <w:t>47 CFR § 73.</w:t>
      </w:r>
      <w:r w:rsidR="00315E55">
        <w:t>202</w:t>
      </w:r>
      <w:r w:rsidRPr="009F2562">
        <w:t>(</w:t>
      </w:r>
      <w:r>
        <w:t>b</w:t>
      </w:r>
      <w:r w:rsidRPr="009F2562">
        <w:t>).</w:t>
      </w:r>
    </w:p>
  </w:footnote>
  <w:footnote w:id="10">
    <w:p w:rsidR="00F15288" w:rsidP="00F15288" w14:paraId="592C57CA"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11">
    <w:p w:rsidR="00F15288" w:rsidP="00F15288" w14:paraId="1530BFB2"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810B6F" w14:paraId="63991FD5" w14:textId="0D07314D">
    <w:pPr>
      <w:pStyle w:val="Header"/>
      <w:rPr>
        <w:b w:val="0"/>
      </w:rPr>
    </w:pPr>
    <w:r>
      <w:tab/>
      <w:t>Federal Communications Commission</w:t>
    </w:r>
    <w:r>
      <w:tab/>
    </w:r>
    <w:r w:rsidRPr="001218C8">
      <w:t>DA 2</w:t>
    </w:r>
    <w:r w:rsidR="00AF692E">
      <w:t>3</w:t>
    </w:r>
    <w:r w:rsidRPr="001218C8">
      <w:t>-</w:t>
    </w:r>
    <w:r w:rsidR="00982AC5">
      <w:t>111</w:t>
    </w:r>
  </w:p>
  <w:p w:rsidR="00C2209B" w14:paraId="04671AF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C2209B" w14:paraId="0281BDB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810B6F" w14:paraId="02D8DF63"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Pr="00BE71FE">
      <w:rPr>
        <w:spacing w:val="-2"/>
        <w:highlight w:val="yellow"/>
      </w:rPr>
      <w:t>DA 21-XX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B83765B"/>
    <w:multiLevelType w:val="hybridMultilevel"/>
    <w:tmpl w:val="13E6E47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FC43AE0"/>
    <w:multiLevelType w:val="hybridMultilevel"/>
    <w:tmpl w:val="DF58CB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9"/>
  </w:num>
  <w:num w:numId="3">
    <w:abstractNumId w:val="4"/>
  </w:num>
  <w:num w:numId="4">
    <w:abstractNumId w:val="5"/>
  </w:num>
  <w:num w:numId="5">
    <w:abstractNumId w:val="3"/>
  </w:num>
  <w:num w:numId="6">
    <w:abstractNumId w:val="0"/>
  </w:num>
  <w:num w:numId="7">
    <w:abstractNumId w:val="8"/>
  </w:num>
  <w:num w:numId="8">
    <w:abstractNumId w:val="9"/>
    <w:lvlOverride w:ilvl="0">
      <w:startOverride w:val="1"/>
    </w:lvlOverride>
  </w:num>
  <w:num w:numId="9">
    <w:abstractNumId w:val="7"/>
  </w:num>
  <w:num w:numId="10">
    <w:abstractNumId w:val="6"/>
  </w:num>
  <w:num w:numId="11">
    <w:abstractNumId w:val="6"/>
    <w:lvlOverride w:ilvl="0">
      <w:startOverride w:val="1"/>
    </w:lvlOverride>
  </w:num>
  <w:num w:numId="12">
    <w:abstractNumId w:val="9"/>
    <w:lvlOverride w:ilvl="0">
      <w:startOverride w:val="11"/>
    </w:lvlOverride>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0"/>
  </w:num>
  <w:num w:numId="34">
    <w:abstractNumId w:val="9"/>
    <w:lvlOverride w:ilvl="0">
      <w:startOverride w:val="1"/>
    </w:lvlOverride>
  </w:num>
  <w:num w:numId="35">
    <w:abstractNumId w:val="1"/>
  </w:num>
  <w:num w:numId="36">
    <w:abstractNumId w:val="11"/>
  </w:num>
  <w:num w:numId="37">
    <w:abstractNumId w:val="9"/>
  </w:num>
  <w:num w:numId="38">
    <w:abstractNumId w:val="9"/>
    <w:lvlOverride w:ilvl="0">
      <w:startOverride w:val="3"/>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9"/>
  </w:num>
  <w:num w:numId="43">
    <w:abstractNumId w:val="9"/>
    <w:lvlOverride w:ilvl="0">
      <w:startOverride w:val="1"/>
    </w:lvlOverride>
  </w:num>
  <w:num w:numId="44">
    <w:abstractNumId w:val="9"/>
  </w:num>
  <w:num w:numId="45">
    <w:abstractNumId w:val="9"/>
  </w:num>
  <w:num w:numId="46">
    <w:abstractNumId w:val="9"/>
  </w:num>
  <w:num w:numId="47">
    <w:abstractNumId w:val="9"/>
  </w:num>
  <w:num w:numId="48">
    <w:abstractNumId w:val="9"/>
    <w:lvlOverride w:ilvl="0">
      <w:startOverride w:val="1"/>
    </w:lvlOverride>
  </w:num>
  <w:num w:numId="49">
    <w:abstractNumId w:val="9"/>
  </w:num>
  <w:num w:numId="50">
    <w:abstractNumId w:val="9"/>
  </w:num>
  <w:num w:numId="51">
    <w:abstractNumId w:val="9"/>
    <w:lvlOverride w:ilvl="0">
      <w:startOverride w:val="1"/>
    </w:lvlOverride>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BE"/>
    <w:rsid w:val="00003C3A"/>
    <w:rsid w:val="000201C4"/>
    <w:rsid w:val="00026336"/>
    <w:rsid w:val="00030646"/>
    <w:rsid w:val="0003218D"/>
    <w:rsid w:val="00032B45"/>
    <w:rsid w:val="000348D7"/>
    <w:rsid w:val="00036039"/>
    <w:rsid w:val="00037F90"/>
    <w:rsid w:val="00043C6B"/>
    <w:rsid w:val="00063F4B"/>
    <w:rsid w:val="000742B7"/>
    <w:rsid w:val="00087349"/>
    <w:rsid w:val="000875BF"/>
    <w:rsid w:val="00093EF0"/>
    <w:rsid w:val="00096D8C"/>
    <w:rsid w:val="000A72DA"/>
    <w:rsid w:val="000B6054"/>
    <w:rsid w:val="000C0B65"/>
    <w:rsid w:val="000C0E3A"/>
    <w:rsid w:val="000C634C"/>
    <w:rsid w:val="000E05FE"/>
    <w:rsid w:val="000E3D42"/>
    <w:rsid w:val="00106F83"/>
    <w:rsid w:val="001078C4"/>
    <w:rsid w:val="001078E7"/>
    <w:rsid w:val="001168C6"/>
    <w:rsid w:val="00117AD6"/>
    <w:rsid w:val="001218C8"/>
    <w:rsid w:val="00122BD5"/>
    <w:rsid w:val="00130ABE"/>
    <w:rsid w:val="001334DB"/>
    <w:rsid w:val="00133F79"/>
    <w:rsid w:val="00136FF1"/>
    <w:rsid w:val="00140AD9"/>
    <w:rsid w:val="00140EA0"/>
    <w:rsid w:val="00141BE9"/>
    <w:rsid w:val="0015009B"/>
    <w:rsid w:val="00150172"/>
    <w:rsid w:val="00173667"/>
    <w:rsid w:val="00176266"/>
    <w:rsid w:val="00180144"/>
    <w:rsid w:val="00181079"/>
    <w:rsid w:val="00187E1B"/>
    <w:rsid w:val="00194A66"/>
    <w:rsid w:val="00194E58"/>
    <w:rsid w:val="001A5A25"/>
    <w:rsid w:val="001B22C7"/>
    <w:rsid w:val="001B575D"/>
    <w:rsid w:val="001C59EA"/>
    <w:rsid w:val="001D6BCF"/>
    <w:rsid w:val="001E01CA"/>
    <w:rsid w:val="001E09E3"/>
    <w:rsid w:val="001E1CCF"/>
    <w:rsid w:val="001E74F8"/>
    <w:rsid w:val="001F250D"/>
    <w:rsid w:val="001F63CC"/>
    <w:rsid w:val="00232001"/>
    <w:rsid w:val="00232546"/>
    <w:rsid w:val="00240953"/>
    <w:rsid w:val="00240A70"/>
    <w:rsid w:val="00241A10"/>
    <w:rsid w:val="00244028"/>
    <w:rsid w:val="00247396"/>
    <w:rsid w:val="0025094D"/>
    <w:rsid w:val="00262C8A"/>
    <w:rsid w:val="00264B43"/>
    <w:rsid w:val="00266362"/>
    <w:rsid w:val="00271D74"/>
    <w:rsid w:val="00272C07"/>
    <w:rsid w:val="00275B35"/>
    <w:rsid w:val="00275CF5"/>
    <w:rsid w:val="00280A64"/>
    <w:rsid w:val="0028301F"/>
    <w:rsid w:val="00285017"/>
    <w:rsid w:val="00286EF7"/>
    <w:rsid w:val="002A2D2E"/>
    <w:rsid w:val="002A3645"/>
    <w:rsid w:val="002B13AC"/>
    <w:rsid w:val="002C00E8"/>
    <w:rsid w:val="002C087B"/>
    <w:rsid w:val="002C3027"/>
    <w:rsid w:val="002C4AAE"/>
    <w:rsid w:val="002C4D06"/>
    <w:rsid w:val="002E384C"/>
    <w:rsid w:val="002E77EE"/>
    <w:rsid w:val="002F216F"/>
    <w:rsid w:val="002F74F2"/>
    <w:rsid w:val="00300DE3"/>
    <w:rsid w:val="00310197"/>
    <w:rsid w:val="003109C6"/>
    <w:rsid w:val="00310F41"/>
    <w:rsid w:val="0031292A"/>
    <w:rsid w:val="00315E55"/>
    <w:rsid w:val="003160B9"/>
    <w:rsid w:val="003306AC"/>
    <w:rsid w:val="00342787"/>
    <w:rsid w:val="00343749"/>
    <w:rsid w:val="00344663"/>
    <w:rsid w:val="003528EE"/>
    <w:rsid w:val="0035495B"/>
    <w:rsid w:val="003660ED"/>
    <w:rsid w:val="00367F21"/>
    <w:rsid w:val="003801C1"/>
    <w:rsid w:val="003907DF"/>
    <w:rsid w:val="0039277B"/>
    <w:rsid w:val="003957C2"/>
    <w:rsid w:val="003A7466"/>
    <w:rsid w:val="003B0550"/>
    <w:rsid w:val="003B4380"/>
    <w:rsid w:val="003B694F"/>
    <w:rsid w:val="003B7C5F"/>
    <w:rsid w:val="003C3BA5"/>
    <w:rsid w:val="003C5D37"/>
    <w:rsid w:val="003C6FD9"/>
    <w:rsid w:val="003D4391"/>
    <w:rsid w:val="003D6045"/>
    <w:rsid w:val="003D6CBA"/>
    <w:rsid w:val="003E40FC"/>
    <w:rsid w:val="003F171C"/>
    <w:rsid w:val="00402AD5"/>
    <w:rsid w:val="00412FC5"/>
    <w:rsid w:val="00420A74"/>
    <w:rsid w:val="00422276"/>
    <w:rsid w:val="00423671"/>
    <w:rsid w:val="004242F1"/>
    <w:rsid w:val="00427A25"/>
    <w:rsid w:val="00427BEC"/>
    <w:rsid w:val="004372AA"/>
    <w:rsid w:val="00442FC7"/>
    <w:rsid w:val="00445A00"/>
    <w:rsid w:val="00451B0F"/>
    <w:rsid w:val="004559D1"/>
    <w:rsid w:val="004639AE"/>
    <w:rsid w:val="00463F73"/>
    <w:rsid w:val="00467815"/>
    <w:rsid w:val="0047615F"/>
    <w:rsid w:val="00477592"/>
    <w:rsid w:val="00481178"/>
    <w:rsid w:val="00482B4E"/>
    <w:rsid w:val="0048711B"/>
    <w:rsid w:val="004927D9"/>
    <w:rsid w:val="00492F57"/>
    <w:rsid w:val="00496D0D"/>
    <w:rsid w:val="004A3C48"/>
    <w:rsid w:val="004A52FD"/>
    <w:rsid w:val="004A6044"/>
    <w:rsid w:val="004B62AD"/>
    <w:rsid w:val="004C2EE3"/>
    <w:rsid w:val="004C5267"/>
    <w:rsid w:val="004D0E27"/>
    <w:rsid w:val="004D2394"/>
    <w:rsid w:val="004D7142"/>
    <w:rsid w:val="004E4A22"/>
    <w:rsid w:val="004E4D93"/>
    <w:rsid w:val="004E6573"/>
    <w:rsid w:val="004E788D"/>
    <w:rsid w:val="004F0299"/>
    <w:rsid w:val="005076E5"/>
    <w:rsid w:val="00511968"/>
    <w:rsid w:val="00522221"/>
    <w:rsid w:val="00525DBD"/>
    <w:rsid w:val="00535E1E"/>
    <w:rsid w:val="00537BDF"/>
    <w:rsid w:val="00541284"/>
    <w:rsid w:val="00545634"/>
    <w:rsid w:val="0055614C"/>
    <w:rsid w:val="00561F56"/>
    <w:rsid w:val="00566D06"/>
    <w:rsid w:val="005706D3"/>
    <w:rsid w:val="00577D11"/>
    <w:rsid w:val="005873EB"/>
    <w:rsid w:val="00595657"/>
    <w:rsid w:val="00597C3C"/>
    <w:rsid w:val="005A3372"/>
    <w:rsid w:val="005B5AF2"/>
    <w:rsid w:val="005B6EC6"/>
    <w:rsid w:val="005D4BE9"/>
    <w:rsid w:val="005E14C2"/>
    <w:rsid w:val="005E3497"/>
    <w:rsid w:val="005F609E"/>
    <w:rsid w:val="00600518"/>
    <w:rsid w:val="0060153B"/>
    <w:rsid w:val="00601725"/>
    <w:rsid w:val="00601B27"/>
    <w:rsid w:val="006021E4"/>
    <w:rsid w:val="00607BA5"/>
    <w:rsid w:val="0061180A"/>
    <w:rsid w:val="00626EB6"/>
    <w:rsid w:val="00641C4C"/>
    <w:rsid w:val="006452B4"/>
    <w:rsid w:val="0064670C"/>
    <w:rsid w:val="006526C0"/>
    <w:rsid w:val="00655D03"/>
    <w:rsid w:val="0067553D"/>
    <w:rsid w:val="00682899"/>
    <w:rsid w:val="00682F01"/>
    <w:rsid w:val="00683388"/>
    <w:rsid w:val="00683F84"/>
    <w:rsid w:val="006905B5"/>
    <w:rsid w:val="00697C06"/>
    <w:rsid w:val="006A2A85"/>
    <w:rsid w:val="006A6A18"/>
    <w:rsid w:val="006A6A81"/>
    <w:rsid w:val="006A7080"/>
    <w:rsid w:val="006B3D7F"/>
    <w:rsid w:val="006B7CAA"/>
    <w:rsid w:val="006C59BA"/>
    <w:rsid w:val="006E2C60"/>
    <w:rsid w:val="006F4BD0"/>
    <w:rsid w:val="006F563D"/>
    <w:rsid w:val="006F7393"/>
    <w:rsid w:val="0070224F"/>
    <w:rsid w:val="007051D0"/>
    <w:rsid w:val="007115F7"/>
    <w:rsid w:val="00712D22"/>
    <w:rsid w:val="007248D6"/>
    <w:rsid w:val="007258BB"/>
    <w:rsid w:val="00726173"/>
    <w:rsid w:val="00726B57"/>
    <w:rsid w:val="007314AB"/>
    <w:rsid w:val="007319C6"/>
    <w:rsid w:val="00732AAB"/>
    <w:rsid w:val="0073585D"/>
    <w:rsid w:val="007550CE"/>
    <w:rsid w:val="00760F44"/>
    <w:rsid w:val="00770081"/>
    <w:rsid w:val="0077478F"/>
    <w:rsid w:val="00776245"/>
    <w:rsid w:val="0078203E"/>
    <w:rsid w:val="00785689"/>
    <w:rsid w:val="0079754B"/>
    <w:rsid w:val="007A093C"/>
    <w:rsid w:val="007A1E6D"/>
    <w:rsid w:val="007A3E77"/>
    <w:rsid w:val="007A76D0"/>
    <w:rsid w:val="007B0EB2"/>
    <w:rsid w:val="007B39DA"/>
    <w:rsid w:val="007C254B"/>
    <w:rsid w:val="007C2AB3"/>
    <w:rsid w:val="007C4EB0"/>
    <w:rsid w:val="007C68B1"/>
    <w:rsid w:val="007D6E13"/>
    <w:rsid w:val="007E0236"/>
    <w:rsid w:val="007E1CE9"/>
    <w:rsid w:val="0080462B"/>
    <w:rsid w:val="00807549"/>
    <w:rsid w:val="00810B6F"/>
    <w:rsid w:val="00810BB3"/>
    <w:rsid w:val="008120D0"/>
    <w:rsid w:val="0081678C"/>
    <w:rsid w:val="00821ADC"/>
    <w:rsid w:val="00822CE0"/>
    <w:rsid w:val="00832A21"/>
    <w:rsid w:val="00836298"/>
    <w:rsid w:val="00841AB1"/>
    <w:rsid w:val="00853C4F"/>
    <w:rsid w:val="00861121"/>
    <w:rsid w:val="00872B1E"/>
    <w:rsid w:val="00881EE8"/>
    <w:rsid w:val="0088378E"/>
    <w:rsid w:val="008841E9"/>
    <w:rsid w:val="00890899"/>
    <w:rsid w:val="00890C0F"/>
    <w:rsid w:val="00891F13"/>
    <w:rsid w:val="00897CC7"/>
    <w:rsid w:val="008A6458"/>
    <w:rsid w:val="008A74F2"/>
    <w:rsid w:val="008B51FE"/>
    <w:rsid w:val="008C03C0"/>
    <w:rsid w:val="008C5D86"/>
    <w:rsid w:val="008C68F1"/>
    <w:rsid w:val="008D6791"/>
    <w:rsid w:val="008E6865"/>
    <w:rsid w:val="008F7664"/>
    <w:rsid w:val="0090665A"/>
    <w:rsid w:val="00921803"/>
    <w:rsid w:val="0092467F"/>
    <w:rsid w:val="00926503"/>
    <w:rsid w:val="00930833"/>
    <w:rsid w:val="00931000"/>
    <w:rsid w:val="00936E0E"/>
    <w:rsid w:val="00942274"/>
    <w:rsid w:val="0095485A"/>
    <w:rsid w:val="009571C1"/>
    <w:rsid w:val="00964529"/>
    <w:rsid w:val="00966A4C"/>
    <w:rsid w:val="009702C4"/>
    <w:rsid w:val="009726D8"/>
    <w:rsid w:val="00975C06"/>
    <w:rsid w:val="00982AC5"/>
    <w:rsid w:val="00984E80"/>
    <w:rsid w:val="0098602B"/>
    <w:rsid w:val="00993363"/>
    <w:rsid w:val="0099382E"/>
    <w:rsid w:val="009A00E9"/>
    <w:rsid w:val="009A0D13"/>
    <w:rsid w:val="009A6A84"/>
    <w:rsid w:val="009B2C09"/>
    <w:rsid w:val="009B3BB9"/>
    <w:rsid w:val="009B4543"/>
    <w:rsid w:val="009B4E51"/>
    <w:rsid w:val="009D7308"/>
    <w:rsid w:val="009E1733"/>
    <w:rsid w:val="009E284B"/>
    <w:rsid w:val="009F2562"/>
    <w:rsid w:val="009F3EDB"/>
    <w:rsid w:val="009F76DB"/>
    <w:rsid w:val="00A0244B"/>
    <w:rsid w:val="00A137F5"/>
    <w:rsid w:val="00A15150"/>
    <w:rsid w:val="00A1761E"/>
    <w:rsid w:val="00A31FFF"/>
    <w:rsid w:val="00A32C3B"/>
    <w:rsid w:val="00A32F09"/>
    <w:rsid w:val="00A41E4A"/>
    <w:rsid w:val="00A45F4F"/>
    <w:rsid w:val="00A554A9"/>
    <w:rsid w:val="00A5671B"/>
    <w:rsid w:val="00A56AE0"/>
    <w:rsid w:val="00A600A9"/>
    <w:rsid w:val="00A639AC"/>
    <w:rsid w:val="00A71696"/>
    <w:rsid w:val="00A72CDE"/>
    <w:rsid w:val="00A84284"/>
    <w:rsid w:val="00A85A7B"/>
    <w:rsid w:val="00A90D4A"/>
    <w:rsid w:val="00AA55B7"/>
    <w:rsid w:val="00AA5B9E"/>
    <w:rsid w:val="00AB0BD3"/>
    <w:rsid w:val="00AB2407"/>
    <w:rsid w:val="00AB53DF"/>
    <w:rsid w:val="00AB79A6"/>
    <w:rsid w:val="00AC14DE"/>
    <w:rsid w:val="00AC4E21"/>
    <w:rsid w:val="00AF692E"/>
    <w:rsid w:val="00B01369"/>
    <w:rsid w:val="00B0314F"/>
    <w:rsid w:val="00B07E5C"/>
    <w:rsid w:val="00B12CFF"/>
    <w:rsid w:val="00B24DE4"/>
    <w:rsid w:val="00B26F58"/>
    <w:rsid w:val="00B52530"/>
    <w:rsid w:val="00B56F98"/>
    <w:rsid w:val="00B571E6"/>
    <w:rsid w:val="00B62D98"/>
    <w:rsid w:val="00B63CC8"/>
    <w:rsid w:val="00B64CE7"/>
    <w:rsid w:val="00B71AEF"/>
    <w:rsid w:val="00B72FFB"/>
    <w:rsid w:val="00B73127"/>
    <w:rsid w:val="00B74F05"/>
    <w:rsid w:val="00B811F7"/>
    <w:rsid w:val="00B84DBC"/>
    <w:rsid w:val="00B97491"/>
    <w:rsid w:val="00BA0473"/>
    <w:rsid w:val="00BA4BEA"/>
    <w:rsid w:val="00BA5DC6"/>
    <w:rsid w:val="00BA6196"/>
    <w:rsid w:val="00BA7F4E"/>
    <w:rsid w:val="00BB2F26"/>
    <w:rsid w:val="00BC0942"/>
    <w:rsid w:val="00BC6D8C"/>
    <w:rsid w:val="00BC7C12"/>
    <w:rsid w:val="00BE542E"/>
    <w:rsid w:val="00BE71FE"/>
    <w:rsid w:val="00BF2BFF"/>
    <w:rsid w:val="00BF7554"/>
    <w:rsid w:val="00BF7F4B"/>
    <w:rsid w:val="00C05CE1"/>
    <w:rsid w:val="00C10D46"/>
    <w:rsid w:val="00C20CFA"/>
    <w:rsid w:val="00C2186F"/>
    <w:rsid w:val="00C2209B"/>
    <w:rsid w:val="00C26E6B"/>
    <w:rsid w:val="00C27BAE"/>
    <w:rsid w:val="00C34006"/>
    <w:rsid w:val="00C36B4C"/>
    <w:rsid w:val="00C426B1"/>
    <w:rsid w:val="00C557F5"/>
    <w:rsid w:val="00C61A49"/>
    <w:rsid w:val="00C654F0"/>
    <w:rsid w:val="00C66160"/>
    <w:rsid w:val="00C721AC"/>
    <w:rsid w:val="00C7511F"/>
    <w:rsid w:val="00C804B1"/>
    <w:rsid w:val="00C90D6A"/>
    <w:rsid w:val="00C9429C"/>
    <w:rsid w:val="00C97098"/>
    <w:rsid w:val="00CA1453"/>
    <w:rsid w:val="00CA247E"/>
    <w:rsid w:val="00CA6D21"/>
    <w:rsid w:val="00CA72CC"/>
    <w:rsid w:val="00CC72B6"/>
    <w:rsid w:val="00CE5579"/>
    <w:rsid w:val="00CF153E"/>
    <w:rsid w:val="00CF64F6"/>
    <w:rsid w:val="00D0218D"/>
    <w:rsid w:val="00D13529"/>
    <w:rsid w:val="00D1666E"/>
    <w:rsid w:val="00D16A13"/>
    <w:rsid w:val="00D17708"/>
    <w:rsid w:val="00D20256"/>
    <w:rsid w:val="00D2099D"/>
    <w:rsid w:val="00D22F5B"/>
    <w:rsid w:val="00D23450"/>
    <w:rsid w:val="00D25FB5"/>
    <w:rsid w:val="00D27416"/>
    <w:rsid w:val="00D37F2F"/>
    <w:rsid w:val="00D405E1"/>
    <w:rsid w:val="00D406D4"/>
    <w:rsid w:val="00D44223"/>
    <w:rsid w:val="00D473C2"/>
    <w:rsid w:val="00D50856"/>
    <w:rsid w:val="00D62403"/>
    <w:rsid w:val="00D632C9"/>
    <w:rsid w:val="00D73CE2"/>
    <w:rsid w:val="00D82040"/>
    <w:rsid w:val="00D92908"/>
    <w:rsid w:val="00D9350E"/>
    <w:rsid w:val="00D94AE2"/>
    <w:rsid w:val="00DA2529"/>
    <w:rsid w:val="00DB0978"/>
    <w:rsid w:val="00DB130A"/>
    <w:rsid w:val="00DB1B9E"/>
    <w:rsid w:val="00DB2323"/>
    <w:rsid w:val="00DB2EBB"/>
    <w:rsid w:val="00DB3EDF"/>
    <w:rsid w:val="00DC10A1"/>
    <w:rsid w:val="00DC289D"/>
    <w:rsid w:val="00DC43D4"/>
    <w:rsid w:val="00DC47A6"/>
    <w:rsid w:val="00DC655F"/>
    <w:rsid w:val="00DD0B59"/>
    <w:rsid w:val="00DD7EBD"/>
    <w:rsid w:val="00DE2975"/>
    <w:rsid w:val="00DE38EC"/>
    <w:rsid w:val="00DE6102"/>
    <w:rsid w:val="00DF62B6"/>
    <w:rsid w:val="00E00F16"/>
    <w:rsid w:val="00E03332"/>
    <w:rsid w:val="00E05CFC"/>
    <w:rsid w:val="00E07225"/>
    <w:rsid w:val="00E16D0B"/>
    <w:rsid w:val="00E356DC"/>
    <w:rsid w:val="00E36C1D"/>
    <w:rsid w:val="00E42C52"/>
    <w:rsid w:val="00E454A8"/>
    <w:rsid w:val="00E46A07"/>
    <w:rsid w:val="00E46ABA"/>
    <w:rsid w:val="00E5409F"/>
    <w:rsid w:val="00E62A4B"/>
    <w:rsid w:val="00E661E0"/>
    <w:rsid w:val="00E6749A"/>
    <w:rsid w:val="00E72FB2"/>
    <w:rsid w:val="00E90584"/>
    <w:rsid w:val="00EA5597"/>
    <w:rsid w:val="00EB47F6"/>
    <w:rsid w:val="00EB4CE8"/>
    <w:rsid w:val="00EC5F79"/>
    <w:rsid w:val="00EC7FBE"/>
    <w:rsid w:val="00ED2625"/>
    <w:rsid w:val="00ED4E89"/>
    <w:rsid w:val="00ED5629"/>
    <w:rsid w:val="00EE1261"/>
    <w:rsid w:val="00EE6488"/>
    <w:rsid w:val="00EE7F87"/>
    <w:rsid w:val="00EF67EC"/>
    <w:rsid w:val="00F021FA"/>
    <w:rsid w:val="00F02707"/>
    <w:rsid w:val="00F05721"/>
    <w:rsid w:val="00F14F24"/>
    <w:rsid w:val="00F15288"/>
    <w:rsid w:val="00F155E1"/>
    <w:rsid w:val="00F2353C"/>
    <w:rsid w:val="00F32FD5"/>
    <w:rsid w:val="00F335DC"/>
    <w:rsid w:val="00F34F0A"/>
    <w:rsid w:val="00F34F3D"/>
    <w:rsid w:val="00F353DE"/>
    <w:rsid w:val="00F46971"/>
    <w:rsid w:val="00F6225C"/>
    <w:rsid w:val="00F62E97"/>
    <w:rsid w:val="00F64209"/>
    <w:rsid w:val="00F72AE6"/>
    <w:rsid w:val="00F75F1C"/>
    <w:rsid w:val="00F80E20"/>
    <w:rsid w:val="00F82947"/>
    <w:rsid w:val="00F84CBF"/>
    <w:rsid w:val="00F865C7"/>
    <w:rsid w:val="00F93BF5"/>
    <w:rsid w:val="00F944B7"/>
    <w:rsid w:val="00F97C54"/>
    <w:rsid w:val="00FA350F"/>
    <w:rsid w:val="00FB2443"/>
    <w:rsid w:val="00FB7373"/>
    <w:rsid w:val="00FB795E"/>
    <w:rsid w:val="00FC09D0"/>
    <w:rsid w:val="00FD099E"/>
    <w:rsid w:val="00FD4637"/>
    <w:rsid w:val="00FE1C63"/>
    <w:rsid w:val="00FE623A"/>
    <w:rsid w:val="00FF25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5B4583"/>
  <w15:docId w15:val="{C6E36FB5-DF16-461C-AF8F-D7726365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B3BB9"/>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9B3BB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9B3BB9"/>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9B3BB9"/>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9B3BB9"/>
    <w:pPr>
      <w:keepNext/>
      <w:numPr>
        <w:ilvl w:val="3"/>
        <w:numId w:val="3"/>
      </w:numPr>
      <w:tabs>
        <w:tab w:val="left" w:pos="2880"/>
      </w:tabs>
      <w:spacing w:after="120"/>
      <w:outlineLvl w:val="3"/>
    </w:pPr>
    <w:rPr>
      <w:b/>
    </w:rPr>
  </w:style>
  <w:style w:type="paragraph" w:styleId="Heading5">
    <w:name w:val="heading 5"/>
    <w:basedOn w:val="Normal"/>
    <w:next w:val="ParaNum"/>
    <w:qFormat/>
    <w:rsid w:val="009B3BB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9B3BB9"/>
    <w:pPr>
      <w:numPr>
        <w:ilvl w:val="5"/>
        <w:numId w:val="3"/>
      </w:numPr>
      <w:tabs>
        <w:tab w:val="left" w:pos="4320"/>
      </w:tabs>
      <w:spacing w:after="120"/>
      <w:outlineLvl w:val="5"/>
    </w:pPr>
    <w:rPr>
      <w:b/>
    </w:rPr>
  </w:style>
  <w:style w:type="paragraph" w:styleId="Heading7">
    <w:name w:val="heading 7"/>
    <w:basedOn w:val="Normal"/>
    <w:next w:val="ParaNum"/>
    <w:qFormat/>
    <w:rsid w:val="009B3BB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B3BB9"/>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9B3BB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B3B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3BB9"/>
  </w:style>
  <w:style w:type="paragraph" w:customStyle="1" w:styleId="ParaNum">
    <w:name w:val="ParaNum"/>
    <w:basedOn w:val="Normal"/>
    <w:link w:val="ParaNumChar1"/>
    <w:rsid w:val="009B3BB9"/>
    <w:pPr>
      <w:numPr>
        <w:numId w:val="2"/>
      </w:numPr>
      <w:tabs>
        <w:tab w:val="clear" w:pos="1080"/>
        <w:tab w:val="num" w:pos="1440"/>
      </w:tabs>
      <w:spacing w:after="120"/>
    </w:pPr>
  </w:style>
  <w:style w:type="paragraph" w:styleId="EndnoteText">
    <w:name w:val="endnote text"/>
    <w:basedOn w:val="Normal"/>
    <w:semiHidden/>
    <w:rsid w:val="009B3BB9"/>
    <w:rPr>
      <w:sz w:val="20"/>
    </w:rPr>
  </w:style>
  <w:style w:type="character" w:styleId="EndnoteReference">
    <w:name w:val="endnote reference"/>
    <w:semiHidden/>
    <w:rsid w:val="009B3BB9"/>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9B3BB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B3BB9"/>
    <w:rPr>
      <w:rFonts w:ascii="Times New Roman" w:hAnsi="Times New Roman"/>
      <w:dstrike w:val="0"/>
      <w:color w:val="auto"/>
      <w:sz w:val="20"/>
      <w:vertAlign w:val="superscript"/>
    </w:rPr>
  </w:style>
  <w:style w:type="paragraph" w:styleId="TOC1">
    <w:name w:val="toc 1"/>
    <w:basedOn w:val="Normal"/>
    <w:next w:val="Normal"/>
    <w:semiHidden/>
    <w:rsid w:val="009B3BB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B3BB9"/>
    <w:pPr>
      <w:tabs>
        <w:tab w:val="left" w:pos="720"/>
        <w:tab w:val="right" w:leader="dot" w:pos="9360"/>
      </w:tabs>
      <w:suppressAutoHyphens/>
      <w:ind w:left="720" w:right="720" w:hanging="360"/>
    </w:pPr>
    <w:rPr>
      <w:noProof/>
    </w:rPr>
  </w:style>
  <w:style w:type="paragraph" w:styleId="TOC3">
    <w:name w:val="toc 3"/>
    <w:basedOn w:val="Normal"/>
    <w:next w:val="Normal"/>
    <w:semiHidden/>
    <w:rsid w:val="009B3BB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B3B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B3B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B3B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B3B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B3B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B3B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B3BB9"/>
    <w:pPr>
      <w:tabs>
        <w:tab w:val="right" w:pos="9360"/>
      </w:tabs>
      <w:suppressAutoHyphens/>
    </w:pPr>
  </w:style>
  <w:style w:type="character" w:customStyle="1" w:styleId="EquationCaption">
    <w:name w:val="_Equation Caption"/>
    <w:rsid w:val="009B3BB9"/>
  </w:style>
  <w:style w:type="paragraph" w:styleId="Header">
    <w:name w:val="header"/>
    <w:basedOn w:val="Normal"/>
    <w:autoRedefine/>
    <w:rsid w:val="009B3BB9"/>
    <w:pPr>
      <w:tabs>
        <w:tab w:val="center" w:pos="4680"/>
        <w:tab w:val="right" w:pos="9360"/>
      </w:tabs>
    </w:pPr>
    <w:rPr>
      <w:b/>
    </w:rPr>
  </w:style>
  <w:style w:type="paragraph" w:styleId="Footer">
    <w:name w:val="footer"/>
    <w:basedOn w:val="Normal"/>
    <w:link w:val="FooterChar"/>
    <w:uiPriority w:val="99"/>
    <w:rsid w:val="009B3BB9"/>
    <w:pPr>
      <w:tabs>
        <w:tab w:val="center" w:pos="4320"/>
        <w:tab w:val="right" w:pos="8640"/>
      </w:tabs>
    </w:pPr>
  </w:style>
  <w:style w:type="character" w:styleId="PageNumber">
    <w:name w:val="page number"/>
    <w:basedOn w:val="DefaultParagraphFont"/>
    <w:rsid w:val="009B3BB9"/>
  </w:style>
  <w:style w:type="paragraph" w:styleId="BlockText">
    <w:name w:val="Block Text"/>
    <w:basedOn w:val="Normal"/>
    <w:rsid w:val="009B3BB9"/>
    <w:pPr>
      <w:spacing w:after="240"/>
      <w:ind w:left="1440" w:right="1440"/>
    </w:pPr>
  </w:style>
  <w:style w:type="paragraph" w:customStyle="1" w:styleId="Paratitle">
    <w:name w:val="Para title"/>
    <w:basedOn w:val="Normal"/>
    <w:rsid w:val="009B3BB9"/>
    <w:pPr>
      <w:tabs>
        <w:tab w:val="center" w:pos="9270"/>
      </w:tabs>
      <w:spacing w:after="240"/>
    </w:pPr>
    <w:rPr>
      <w:spacing w:val="-2"/>
    </w:rPr>
  </w:style>
  <w:style w:type="paragraph" w:customStyle="1" w:styleId="Bullet">
    <w:name w:val="Bullet"/>
    <w:basedOn w:val="Normal"/>
    <w:rsid w:val="009B3BB9"/>
    <w:pPr>
      <w:tabs>
        <w:tab w:val="left" w:pos="2160"/>
      </w:tabs>
      <w:spacing w:after="220"/>
      <w:ind w:left="2160" w:hanging="720"/>
    </w:pPr>
  </w:style>
  <w:style w:type="paragraph" w:customStyle="1" w:styleId="TableFormat">
    <w:name w:val="TableFormat"/>
    <w:basedOn w:val="Bullet"/>
    <w:rsid w:val="009B3BB9"/>
    <w:pPr>
      <w:tabs>
        <w:tab w:val="clear" w:pos="2160"/>
        <w:tab w:val="left" w:pos="5040"/>
      </w:tabs>
      <w:ind w:left="5040" w:hanging="3600"/>
    </w:pPr>
  </w:style>
  <w:style w:type="paragraph" w:customStyle="1" w:styleId="TOCTitle">
    <w:name w:val="TOC Title"/>
    <w:basedOn w:val="Normal"/>
    <w:rsid w:val="009B3B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B3BB9"/>
    <w:pPr>
      <w:jc w:val="center"/>
    </w:pPr>
    <w:rPr>
      <w:rFonts w:ascii="Times New Roman Bold" w:hAnsi="Times New Roman Bold"/>
      <w:b/>
      <w:bCs/>
      <w:caps/>
      <w:szCs w:val="22"/>
    </w:rPr>
  </w:style>
  <w:style w:type="character" w:styleId="Hyperlink">
    <w:name w:val="Hyperlink"/>
    <w:rsid w:val="009B3BB9"/>
    <w:rPr>
      <w:color w:val="0000FF"/>
      <w:u w:val="single"/>
    </w:rPr>
  </w:style>
  <w:style w:type="character" w:customStyle="1" w:styleId="FooterChar">
    <w:name w:val="Footer Char"/>
    <w:link w:val="Footer"/>
    <w:uiPriority w:val="99"/>
    <w:rsid w:val="009B3BB9"/>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130ABE"/>
  </w:style>
  <w:style w:type="character" w:customStyle="1" w:styleId="ParaNumChar1">
    <w:name w:val="ParaNum Char1"/>
    <w:link w:val="ParaNum"/>
    <w:locked/>
    <w:rsid w:val="00130ABE"/>
    <w:rPr>
      <w:snapToGrid w:val="0"/>
      <w:kern w:val="28"/>
      <w:sz w:val="22"/>
    </w:rPr>
  </w:style>
  <w:style w:type="character" w:customStyle="1" w:styleId="Heading2Char">
    <w:name w:val="Heading 2 Char"/>
    <w:aliases w:val="Heading 2 Char Char Char Char,Heading 2 Char Char1 Char,Heading 2 Char Char1 Char Char Char Char Char,Heading 2 Char1 Char Char,Heading 2 Char1 Char Char1 Char Char Char Char Char,Heading 2 Char2 Char,Heading 2 Char4 Char Char Char Char"/>
    <w:link w:val="Heading2"/>
    <w:rsid w:val="00130ABE"/>
    <w:rPr>
      <w:b/>
      <w:snapToGrid w:val="0"/>
      <w:kern w:val="28"/>
      <w:sz w:val="22"/>
    </w:rPr>
  </w:style>
  <w:style w:type="character" w:customStyle="1" w:styleId="normaltextrun">
    <w:name w:val="normaltextrun"/>
    <w:rsid w:val="00130ABE"/>
  </w:style>
  <w:style w:type="character" w:customStyle="1" w:styleId="cohovertext">
    <w:name w:val="co_hovertext"/>
    <w:rsid w:val="00130ABE"/>
  </w:style>
  <w:style w:type="character" w:styleId="Emphasis">
    <w:name w:val="Emphasis"/>
    <w:uiPriority w:val="20"/>
    <w:qFormat/>
    <w:rsid w:val="00130ABE"/>
    <w:rPr>
      <w:i/>
      <w:iCs/>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ocked/>
    <w:rsid w:val="00194E58"/>
    <w:rPr>
      <w:lang w:val="en-US" w:eastAsia="en-US" w:bidi="ar-SA"/>
    </w:rPr>
  </w:style>
  <w:style w:type="paragraph" w:styleId="ListParagraph">
    <w:name w:val="List Paragraph"/>
    <w:basedOn w:val="Normal"/>
    <w:uiPriority w:val="34"/>
    <w:qFormat/>
    <w:rsid w:val="000B6054"/>
    <w:pPr>
      <w:ind w:left="720"/>
      <w:contextualSpacing/>
    </w:pPr>
  </w:style>
  <w:style w:type="paragraph" w:styleId="BodyText2">
    <w:name w:val="Body Text 2"/>
    <w:basedOn w:val="Normal"/>
    <w:link w:val="BodyText2Char"/>
    <w:rsid w:val="008C5D86"/>
    <w:rPr>
      <w:kern w:val="0"/>
      <w:sz w:val="24"/>
    </w:rPr>
  </w:style>
  <w:style w:type="character" w:customStyle="1" w:styleId="BodyText2Char">
    <w:name w:val="Body Text 2 Char"/>
    <w:basedOn w:val="DefaultParagraphFont"/>
    <w:link w:val="BodyText2"/>
    <w:rsid w:val="008C5D86"/>
    <w:rPr>
      <w:snapToGrid w:val="0"/>
      <w:sz w:val="24"/>
    </w:rPr>
  </w:style>
  <w:style w:type="character" w:styleId="CommentReference">
    <w:name w:val="annotation reference"/>
    <w:rsid w:val="005706D3"/>
    <w:rPr>
      <w:sz w:val="16"/>
      <w:szCs w:val="16"/>
    </w:rPr>
  </w:style>
  <w:style w:type="paragraph" w:styleId="CommentText">
    <w:name w:val="annotation text"/>
    <w:basedOn w:val="Normal"/>
    <w:link w:val="CommentTextChar"/>
    <w:rsid w:val="005706D3"/>
    <w:rPr>
      <w:sz w:val="20"/>
    </w:rPr>
  </w:style>
  <w:style w:type="character" w:customStyle="1" w:styleId="CommentTextChar">
    <w:name w:val="Comment Text Char"/>
    <w:basedOn w:val="DefaultParagraphFont"/>
    <w:link w:val="CommentText"/>
    <w:rsid w:val="005706D3"/>
    <w:rPr>
      <w:snapToGrid w:val="0"/>
      <w:kern w:val="28"/>
    </w:rPr>
  </w:style>
  <w:style w:type="paragraph" w:styleId="CommentSubject">
    <w:name w:val="annotation subject"/>
    <w:basedOn w:val="CommentText"/>
    <w:next w:val="CommentText"/>
    <w:link w:val="CommentSubjectChar"/>
    <w:rsid w:val="00595657"/>
    <w:rPr>
      <w:b/>
      <w:bCs/>
    </w:rPr>
  </w:style>
  <w:style w:type="character" w:customStyle="1" w:styleId="CommentSubjectChar">
    <w:name w:val="Comment Subject Char"/>
    <w:basedOn w:val="CommentTextChar"/>
    <w:link w:val="CommentSubject"/>
    <w:rsid w:val="00595657"/>
    <w:rPr>
      <w:b/>
      <w:bCs/>
      <w:snapToGrid w:val="0"/>
      <w:kern w:val="28"/>
    </w:rPr>
  </w:style>
  <w:style w:type="paragraph" w:styleId="Revision">
    <w:name w:val="Revision"/>
    <w:hidden/>
    <w:uiPriority w:val="99"/>
    <w:semiHidden/>
    <w:rsid w:val="009E173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